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府政策与集群治理、人才支撑、基础设施建设、技术创新水平、本地电商平台与数字技能、自然环境与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14:paraId="1DCDA221">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_Toc25734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第一章 绪论</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_Toc25734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1</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5F4D1C55">
      <w:pPr>
        <w:pStyle w:val="26"/>
        <w:tabs>
          <w:tab w:val="right" w:leader="dot" w:pos="8787"/>
        </w:tabs>
        <w:spacing w:before="0" w:after="60" w:line="400" w:lineRule="exact"/>
      </w:pPr>
      <w:r>
        <w:rPr>
          <w:rFonts w:eastAsia="宋体" w:ascii="Times New Roman" w:hAnsi="Times New Roman" w:cs="宋体"/>
          <w:color w:val="000000"/>
          <w:sz w:val="24"/>
          <w:szCs w:val="24"/>
        </w:rPr>
        <w:t>1.1研究背景及意义</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1</w:t>
      </w:r>
    </w:p>
    <w:p w14:paraId="2E6745E5">
      <w:pPr>
        <w:pStyle w:val="26"/>
        <w:tabs>
          <w:tab w:val="right" w:leader="dot" w:pos="8787"/>
        </w:tabs>
        <w:spacing w:before="0" w:after="60" w:line="400" w:lineRule="exact"/>
      </w:pPr>
      <w:r>
        <w:rPr>
          <w:rFonts w:eastAsia="宋体" w:ascii="Times New Roman" w:hAnsi="Times New Roman" w:cs="宋体"/>
          <w:color w:val="000000"/>
          <w:sz w:val="24"/>
          <w:szCs w:val="24"/>
        </w:rPr>
        <w:t>1.2国内外研究现状（文献综述）</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2</w:t>
      </w:r>
    </w:p>
    <w:p w14:paraId="15C24EF9">
      <w:pPr>
        <w:pStyle w:val="26"/>
        <w:tabs>
          <w:tab w:val="right" w:leader="dot" w:pos="8787"/>
        </w:tabs>
        <w:spacing w:before="0" w:after="60" w:line="400" w:lineRule="exact"/>
      </w:pPr>
      <w:r>
        <w:rPr>
          <w:rFonts w:eastAsia="宋体" w:ascii="Times New Roman" w:hAnsi="Times New Roman" w:cs="宋体"/>
          <w:color w:val="000000"/>
          <w:sz w:val="24"/>
          <w:szCs w:val="24"/>
        </w:rPr>
        <w:t>1.3研究内容</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5</w:t>
      </w:r>
    </w:p>
    <w:p w14:paraId="153A603F">
      <w:pPr>
        <w:pStyle w:val="26"/>
        <w:tabs>
          <w:tab w:val="right" w:leader="dot" w:pos="8787"/>
        </w:tabs>
        <w:spacing w:before="0" w:after="60" w:line="400" w:lineRule="exact"/>
      </w:pPr>
      <w:r>
        <w:rPr>
          <w:rFonts w:eastAsia="宋体" w:ascii="Times New Roman" w:hAnsi="Times New Roman" w:cs="宋体"/>
          <w:color w:val="000000"/>
          <w:sz w:val="24"/>
          <w:szCs w:val="24"/>
        </w:rPr>
        <w:t>1.4研究创新点</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6</w:t>
      </w:r>
    </w:p>
    <w:p w14:paraId="43AA79C8">
      <w:pPr>
        <w:pStyle w:val="26"/>
        <w:tabs>
          <w:tab w:val="right" w:leader="dot" w:pos="8787"/>
        </w:tabs>
        <w:spacing w:before="0" w:after="60" w:line="400" w:lineRule="exact"/>
      </w:pPr>
      <w:r>
        <w:rPr>
          <w:rFonts w:eastAsia="宋体" w:ascii="Times New Roman" w:hAnsi="Times New Roman" w:cs="宋体"/>
          <w:color w:val="000000"/>
          <w:sz w:val="24"/>
          <w:szCs w:val="24"/>
        </w:rPr>
        <w:t>1.5研究方法与技术路线</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7</w:t>
      </w:r>
    </w:p>
    <w:p w14:paraId="470A8012">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t>第二章 理论基础</w:t>
      </w:r>
      <w:r>
        <w:rPr>
          <w:b/>
          <w:rFonts w:eastAsia="黑体" w:ascii="Times New Roman" w:hAnsi="Times New Roman" w:cs="黑体"/>
          <w:color w:val="000000"/>
          <w:sz w:val="24"/>
          <w:szCs w:val="24"/>
        </w:rPr>
        <w:tab/>
      </w:r>
      <w:r>
        <w:rPr>
          <w:b/>
          <w:rFonts w:eastAsia="黑体" w:ascii="Times New Roman" w:hAnsi="Times New Roman" w:cs="黑体"/>
          <w:color w:val="000000"/>
          <w:sz w:val="24"/>
          <w:szCs w:val="24"/>
        </w:rPr>
        <w:t>8</w:t>
      </w:r>
    </w:p>
    <w:p w14:paraId="0D48734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_Toc21534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2.1</w:t>
      </w:r>
      <w:r>
        <w:rPr>
          <w:rFonts w:hint="eastAsia" w:eastAsia="宋体" w:ascii="Times New Roman" w:hAnsi="Times New Roman" w:cs="宋体"/>
          <w:lang w:val="en-US" w:eastAsia="zh-CN"/>
          <w:sz w:val="24"/>
          <w:szCs w:val="24"/>
        </w:rPr>
        <w:t>核心概念界定</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_Toc21534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5</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9DEBE7F">
      <w:pPr>
        <w:pStyle w:val="26"/>
        <w:tabs>
          <w:tab w:val="right" w:leader="dot" w:pos="8787"/>
        </w:tabs>
        <w:spacing w:before="0" w:after="60" w:line="400" w:lineRule="exact"/>
      </w:pPr>
      <w:r>
        <w:rPr>
          <w:rFonts w:eastAsia="宋体" w:ascii="Times New Roman" w:hAnsi="Times New Roman" w:cs="宋体"/>
          <w:color w:val="000000"/>
          <w:sz w:val="24"/>
          <w:szCs w:val="24"/>
        </w:rPr>
        <w:t>2.2理论基础</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8</w:t>
      </w:r>
    </w:p>
    <w:p w14:paraId="5823082C">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_Toc24454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第三章 研究设计</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_Toc24454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9</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679995E8">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_Toc26904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3.1</w:t>
      </w:r>
      <w:r>
        <w:rPr>
          <w:rFonts w:hint="eastAsia" w:eastAsia="宋体" w:ascii="Times New Roman" w:hAnsi="Times New Roman" w:cs="宋体"/>
          <w:szCs w:val="24"/>
          <w:lang w:val="en-US" w:eastAsia="zh-CN"/>
          <w:sz w:val="24"/>
        </w:rPr>
        <w:t>理论模型构建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_Toc26904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39E58E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_Toc19091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3.2</w:t>
      </w:r>
      <w:r>
        <w:rPr>
          <w:rFonts w:hint="eastAsia" w:eastAsia="宋体" w:ascii="Times New Roman" w:hAnsi="Times New Roman" w:cs="宋体"/>
          <w:szCs w:val="24"/>
          <w:lang w:val="en-US" w:eastAsia="zh-CN"/>
          <w:sz w:val="24"/>
        </w:rPr>
        <w:t>研究假设提出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_Toc19091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EDE65C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_Toc24192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3.3</w:t>
      </w:r>
      <w:r>
        <w:rPr>
          <w:rFonts w:hint="eastAsia" w:eastAsia="宋体" w:ascii="Times New Roman" w:hAnsi="Times New Roman" w:cs="宋体"/>
          <w:szCs w:val="24"/>
          <w:lang w:val="en-US" w:eastAsia="zh-CN"/>
          <w:sz w:val="24"/>
        </w:rPr>
        <w:t>问卷设计与变量测量</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_Toc24192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10</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0B0AB8F">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_Toc8393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.4数据收集方案</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_Toc8393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092130D">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_Toc10800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.5数据分析方法设计</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_Toc10800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25E93BFC">
      <w:pPr>
        <w:spacing w:before="0" w:after="0" w:line="400" w:lineRule="exact"/>
        <w:jc w:val="both"/>
        <w:ind w:firstLine="480"/>
      </w:pPr>
      <w:r>
        <w:rPr>
          <w:rFonts w:eastAsia="宋体" w:ascii="Times New Roman" w:hAnsi="Times New Roman" w:cs="宋体"/>
          <w:sz w:val="24"/>
          <w:szCs w:val="24"/>
        </w:rPr>
        <w:t>3.6预调研结果分析</w:t>
      </w:r>
      <w:r>
        <w:rPr>
          <w:rFonts w:eastAsia="宋体" w:ascii="Times New Roman" w:hAnsi="Times New Roman" w:cs="宋体"/>
          <w:sz w:val="24"/>
          <w:szCs w:val="24"/>
        </w:rPr>
        <w:tab/>
      </w:r>
      <w:r>
        <w:rPr>
          <w:rFonts w:eastAsia="宋体" w:ascii="Times New Roman" w:hAnsi="Times New Roman" w:cs="宋体"/>
          <w:sz w:val="24"/>
          <w:szCs w:val="24"/>
        </w:rPr>
        <w:t>13</w:t>
      </w:r>
    </w:p>
    <w:p w14:paraId="15A4DE5D">
      <w:pPr>
        <w:spacing w:before="0" w:after="0" w:line="400" w:lineRule="exact"/>
        <w:jc w:val="both"/>
        <w:ind w:firstLine="480"/>
      </w:pPr>
      <w:r>
        <w:rPr>
          <w:rFonts w:eastAsia="宋体" w:ascii="Times New Roman" w:hAnsi="Times New Roman" w:cs="宋体"/>
          <w:sz w:val="24"/>
          <w:szCs w:val="24"/>
        </w:rPr>
        <w:t>3.6预调研结果分析</w:t>
      </w:r>
      <w:r>
        <w:rPr>
          <w:rFonts w:eastAsia="宋体" w:ascii="Times New Roman" w:hAnsi="Times New Roman" w:cs="宋体"/>
          <w:sz w:val="24"/>
          <w:szCs w:val="24"/>
        </w:rPr>
        <w:tab/>
      </w:r>
      <w:r>
        <w:rPr>
          <w:rFonts w:eastAsia="宋体" w:ascii="Times New Roman" w:hAnsi="Times New Roman" w:cs="宋体"/>
          <w:sz w:val="24"/>
          <w:szCs w:val="24"/>
        </w:rPr>
        <w:t>13</w:t>
      </w:r>
    </w:p>
    <w:p w14:paraId="2B368E37">
      <w:pPr>
        <w:pStyle w:val="24"/>
        <w:spacing w:line="400" w:lineRule="exact" w:before="0" w:after="60"/>
        <w:rPr>
          <w:color w:val="000000"/>
        </w:rPr>
      </w:pPr>
      <w:r>
        <w:rPr>
          <w:b/>
          <w:rFonts w:eastAsia="黑体" w:ascii="Times New Roman" w:hAnsi="Times New Roman" w:cs="黑体"/>
          <w:color w:val="000000"/>
          <w:sz w:val="24"/>
          <w:szCs w:val="24"/>
        </w:rPr>
        <w:fldChar w:fldCharType="end"/>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footnoteReference w:id="2"/>
      </w:r>
      <w:r>
        <w:rPr>
          <w:rStyle w:val="36"/>
          <w:rFonts w:eastAsia="宋体" w:ascii="Times New Roman" w:hAnsi="Times New Roman" w:cs="宋体"/>
          <w:bCs w:val="0"/>
          <w:color w:val="000000"/>
          <w:sz w:val="24"/>
          <w:szCs w:val="24"/>
        </w:rPr>
        <w:t xml:space="preserve">，用于检验六大维度潜变量之间的因果关系，以基础设施建设与本地电商平台及数字技能为双中介变量，验证各维度变量对烟台集群电商发展的间接影响路径，明确各因素的作用强度与显著性。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footnoteReference w:id="3"/>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footnoteReference w:id="1"/>
      </w:r>
      <w:r>
        <w:rPr>
          <w:rFonts w:ascii="Times New Roman" w:hAnsi="Times New Roman" w:eastAsia="宋体" w:cs="宋体"/>
          <w:color w:val="000000"/>
          <w:kern w:val="0"/>
          <w:sz w:val="24"/>
          <w:szCs w:val="24"/>
          <w:lang w:val="en-US" w:eastAsia="zh-CN" w:bidi="ar"/>
        </w:rPr>
        <w:t xml:space="preserve">，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基于资源编排理论与TOE框架，结合现有文献研究成果及烟台集群电商发展的实际情境，本文构建以基础设施建设与本地电商平台及数字技能为双中介的部分中介结构方程模型，提出以下研究假设：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H1a：政府政策与集群治理对基础设施建设具有显著正向影响。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H2a：技术创新水平对本地电商平台及数字技能具有显著正向影响。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H2b：自然环境与资源禀赋对本地电商平台及数字技能具有显著正向影响。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H3b：本地电商平台及数字技能对集群电商发展水平具有显著正向影响。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H5a：本地电商平台及数字技能在技术创新水平与集群电商发展水平之间发挥部分中介作用。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H5b：本地电商平台及数字技能在自然环境与资源禀赋与集群电商发展水平之间发挥部分中介作用。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footnoteReference w:id="6"/>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政府政策与集群治理（GP）</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8A90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4B78D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B39AFF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29B9D5">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77A21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0E5769">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0004D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26EB0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本地电商平台与数字技能（DS）</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F9CBB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D36BB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自然环境与资源禀赋（EN）</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8390C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F931F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r>
              <w:rPr>
                <w:rFonts w:ascii="Times New Roman" w:hAnsi="Times New Roman" w:eastAsia="宋体" w:cs="宋体"/>
                <w:color w:val="000000"/>
                <w:kern w:val="0"/>
                <w:sz w:val="21"/>
                <w:szCs w:val="21"/>
                <w:lang w:val="en-US" w:eastAsia="zh-CN" w:bidi="ar"/>
              </w:rPr>
              <w:t>CDL3：烟台集群电商的数字化运营水平与长期可持续发展能力总体上处于较好状态</w:t>
            </w: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p>
        </w:tc>
        <w:tc>
          <w:tcPr>
            <w:tcW w:w="3001"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footnoteReference w:id="4"/>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w:t>
      </w:r>
      <w:r>
        <w:rPr>
          <w:rFonts w:ascii="Times New Roman" w:hAnsi="Times New Roman" w:eastAsia="宋体" w:cs="宋体"/>
          <w:color w:val="000000"/>
          <w:kern w:val="0"/>
          <w:sz w:val="24"/>
          <w:szCs w:val="24"/>
          <w:highlight w:val="yellow"/>
          <w:lang w:val="en-US" w:eastAsia="zh-CN" w:bidi="ar"/>
        </w:rPr>
        <w:t>以样本数据的 95% 分位数、50% 分位数、5% 分位数分别设定为完全隶属、交叉点、完全不隶属三个校准锚点，将四大前因变量与结果变量转换为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本文采用Cronbach α系数对预调研数据（N=157）各维度量表进行信度检验，以评估题项内部一致性。通常认为α≥0.700表示量表具有可接受的信度（Nunnally，1978）。检验结果如表3-1所示。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3B27C">
            <w:pPr>
              <w:ind/>
              <w:jc w:val="center"/>
              <w:rPr>
                <w:b w:val="0"/>
                <w:bCs/>
              </w:rPr>
              <w:spacing w:before="60" w:after="60" w:line="320" w:lineRule="exact"/>
            </w:pPr>
            <w:r>
              <w:rPr>
                <w:rFonts w:eastAsia="宋体" w:ascii="Times New Roman" w:hAnsi="Times New Roman" w:cs="宋体"/>
                <w:bCs/>
                <w:sz w:val="21"/>
                <w:szCs w:val="21"/>
              </w:rPr>
              <w:t>政府政策与集群治理</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E412E3">
            <w:pPr>
              <w:ind/>
              <w:jc w:val="center"/>
              <w:rPr>
                <w:b w:val="0"/>
                <w:bCs/>
              </w:rPr>
              <w:spacing w:before="60" w:after="60" w:line="320" w:lineRule="exact"/>
            </w:pPr>
            <w:r>
              <w:rPr>
                <w:rFonts w:eastAsia="宋体" w:ascii="Times New Roman" w:hAnsi="Times New Roman" w:cs="宋体"/>
                <w:bCs/>
                <w:sz w:val="21"/>
                <w:szCs w:val="21"/>
              </w:rPr>
              <w:t>本地电商平台与数字技能</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6311D98">
            <w:pPr>
              <w:ind/>
              <w:jc w:val="center"/>
              <w:rPr>
                <w:b w:val="0"/>
                <w:bCs/>
              </w:rPr>
              <w:spacing w:before="60" w:after="60" w:line="320" w:lineRule="exact"/>
            </w:pPr>
            <w:r>
              <w:rPr>
                <w:rFonts w:eastAsia="宋体" w:ascii="Times New Roman" w:hAnsi="Times New Roman" w:cs="宋体"/>
                <w:bCs/>
                <w:sz w:val="21"/>
                <w:szCs w:val="21"/>
              </w:rPr>
              <w:t>自然环境与资源禀赋</w:t>
            </w:r>
          </w:p>
        </w:tc>
        <w:tc>
          <w:tcPr>
            <w:tcW w:w="1280"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EFBEDD1">
            <w:pPr>
              <w:ind/>
              <w:jc w:val="center"/>
              <w:rPr>
                <w:rFonts w:hint="eastAsia" w:ascii="宋体" w:hAnsi="宋体" w:eastAsia="宋体" w:cs="宋体"/>
                <w:b w:val="0"/>
                <w:bCs/>
              </w:rPr>
              <w:spacing w:before="60" w:after="60" w:line="320" w:lineRule="exact"/>
            </w:pP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l2br w:val="nil"/>
              <w:tr2bl w:val="nil"/>
            </w:tcBorders>
          </w:tcPr>
          <w:p w14:paraId="0D0F97DB">
            <w:pPr>
              <w:ind w:firstLine="0"/>
              <w:jc w:val="center"/>
              <w:rPr>
                <w:rFonts w:hint="eastAsia" w:ascii="宋体" w:hAnsi="宋体" w:eastAsia="宋体" w:cs="宋体"/>
                <w:b w:val="0"/>
                <w:bCs/>
              </w:rPr>
            </w:pP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5，超过0.700标准，达到"良好"水平（Kaiser，1974）；</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blPrEx>
          <w:tblCellMar>
            <w:top w:w="0" w:type="dxa"/>
            <w:left w:w="108" w:type="dxa"/>
            <w:bottom w:w="0" w:type="dxa"/>
            <w:right w:w="108" w:type="dxa"/>
          </w:tblCellMar>
        </w:tblPrEx>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blPrEx>
          <w:tblCellMar>
            <w:top w:w="0" w:type="dxa"/>
            <w:left w:w="108" w:type="dxa"/>
            <w:bottom w:w="0" w:type="dxa"/>
            <w:right w:w="108" w:type="dxa"/>
          </w:tblCellMar>
        </w:tblPrEx>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91897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B2771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3FEBE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79DBE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08C4CA">
            <w:pPr>
              <w:ind/>
              <w:jc w:val="center"/>
              <w:rPr>
                <w:b w:val="0"/>
                <w:bCs/>
              </w:rPr>
              <w:spacing w:before="60" w:after="60" w:line="320" w:lineRule="exact"/>
            </w:pPr>
          </w:p>
        </w:tc>
      </w:tr>
      <w:tr w14:paraId="1BABD0AC">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69BA9E">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AEC28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1E079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2382F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527F853">
            <w:pPr>
              <w:ind/>
              <w:jc w:val="center"/>
              <w:rPr>
                <w:b w:val="0"/>
                <w:bCs/>
              </w:rPr>
              <w:spacing w:before="60" w:after="60" w:line="320" w:lineRule="exact"/>
            </w:pPr>
          </w:p>
        </w:tc>
      </w:tr>
      <w:tr w14:paraId="21F27997">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8D4D6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A982F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C6B7B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9F9B2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43CF4EB">
            <w:pPr>
              <w:ind/>
              <w:jc w:val="center"/>
              <w:rPr>
                <w:b w:val="0"/>
                <w:bCs/>
              </w:rPr>
              <w:spacing w:before="60" w:after="60" w:line="320" w:lineRule="exact"/>
            </w:pPr>
          </w:p>
        </w:tc>
      </w:tr>
      <w:tr w14:paraId="179270DC">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B94AB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A547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3C160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30A9C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04114A">
            <w:pPr>
              <w:ind/>
              <w:jc w:val="center"/>
              <w:rPr>
                <w:b w:val="0"/>
                <w:bCs/>
              </w:rPr>
              <w:spacing w:before="60" w:after="60" w:line="320" w:lineRule="exact"/>
            </w:pPr>
          </w:p>
        </w:tc>
      </w:tr>
      <w:tr w14:paraId="385A90C8">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05ABD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1DD71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ADB2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7B4B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7C6CD4">
            <w:pPr>
              <w:ind/>
              <w:jc w:val="center"/>
              <w:rPr>
                <w:b w:val="0"/>
                <w:bCs/>
              </w:rPr>
              <w:spacing w:before="60" w:after="60" w:line="320" w:lineRule="exact"/>
            </w:pPr>
          </w:p>
        </w:tc>
      </w:tr>
      <w:tr w14:paraId="20882EE3">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6248C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5BD10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D6F8B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D531B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BF3C30">
            <w:pPr>
              <w:ind/>
              <w:jc w:val="center"/>
              <w:rPr>
                <w:b w:val="0"/>
                <w:bCs/>
              </w:rPr>
              <w:spacing w:before="60" w:after="60" w:line="320" w:lineRule="exact"/>
            </w:pPr>
          </w:p>
        </w:tc>
      </w:tr>
      <w:tr w14:paraId="1C8D1ECB">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7ED56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FD416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5D8BC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DF0444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2ACBF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04272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F2677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A0385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124DD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6C0CF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19778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503CB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56FF2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DBBC83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E28E0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B9F02C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D99B7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EC5D8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24931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27BBF5">
            <w:pPr>
              <w:ind/>
              <w:jc w:val="center"/>
              <w:rPr>
                <w:b w:val="0"/>
                <w:bCs/>
              </w:rPr>
              <w:spacing w:before="60" w:after="60" w:line="320" w:lineRule="exact"/>
            </w:pPr>
          </w:p>
        </w:tc>
      </w:tr>
      <w:tr w14:paraId="63E4C89E">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04ADD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65656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09E46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3EDF4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DD6797">
            <w:pPr>
              <w:ind/>
              <w:jc w:val="center"/>
              <w:rPr>
                <w:b w:val="0"/>
                <w:bCs/>
              </w:rPr>
              <w:spacing w:before="60" w:after="60" w:line="320" w:lineRule="exact"/>
            </w:pPr>
          </w:p>
        </w:tc>
      </w:tr>
      <w:tr w14:paraId="47C43166">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C09DB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5063B0">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B606B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9A3A8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AAF991">
            <w:pPr>
              <w:ind/>
              <w:jc w:val="center"/>
              <w:rPr>
                <w:b w:val="0"/>
                <w:bCs/>
              </w:rPr>
              <w:spacing w:before="60" w:after="60" w:line="320" w:lineRule="exact"/>
            </w:pPr>
          </w:p>
        </w:tc>
      </w:tr>
      <w:tr w14:paraId="3786E849">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0EAAF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7A7700">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F9DB8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024A1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BBD524">
            <w:pPr>
              <w:ind/>
              <w:jc w:val="center"/>
              <w:rPr>
                <w:b w:val="0"/>
                <w:bCs/>
              </w:rPr>
              <w:spacing w:before="60" w:after="60" w:line="320" w:lineRule="exact"/>
            </w:pPr>
          </w:p>
        </w:tc>
      </w:tr>
      <w:tr w14:paraId="102D6742">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670FE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14717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6B8DF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843D3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4F563F">
            <w:pPr>
              <w:ind/>
              <w:jc w:val="center"/>
              <w:rPr>
                <w:b w:val="0"/>
                <w:bCs/>
              </w:rPr>
              <w:spacing w:before="60" w:after="60" w:line="320" w:lineRule="exact"/>
            </w:pPr>
          </w:p>
        </w:tc>
      </w:tr>
      <w:tr w14:paraId="231C04D6">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D3A49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B61D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3955F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CA4EDE">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37A591">
            <w:pPr>
              <w:ind/>
              <w:jc w:val="center"/>
              <w:rPr>
                <w:b w:val="0"/>
                <w:bCs/>
              </w:rPr>
              <w:spacing w:before="60" w:after="60" w:line="320" w:lineRule="exact"/>
            </w:pPr>
          </w:p>
        </w:tc>
      </w:tr>
      <w:tr w14:paraId="2A9D477D">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10D1B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0ED9B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883FB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D6820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1C50AC">
            <w:pPr>
              <w:ind/>
              <w:jc w:val="center"/>
              <w:rPr>
                <w:b w:val="0"/>
                <w:bCs/>
              </w:rPr>
              <w:spacing w:before="60" w:after="60" w:line="320" w:lineRule="exact"/>
            </w:pPr>
          </w:p>
        </w:tc>
      </w:tr>
      <w:tr w14:paraId="49CFD2BD">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F75E2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BBCD1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23B010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BF318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311FEB">
            <w:pPr>
              <w:ind/>
              <w:jc w:val="center"/>
              <w:rPr>
                <w:b w:val="0"/>
                <w:bCs/>
              </w:rPr>
              <w:spacing w:before="60" w:after="60" w:line="320" w:lineRule="exact"/>
            </w:pPr>
          </w:p>
        </w:tc>
      </w:tr>
      <w:tr w14:paraId="518EE7E4">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1554950">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AA67D03">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1FB817">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11A6B33">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rPr>
          <w:rFonts w:eastAsia="宋体" w:ascii="Times New Roman" w:hAnsi="Times New Roman" w:cs="宋体"/>
          <w:sz w:val="24"/>
          <w:szCs w:val="24"/>
        </w:rPr>
        <w:t>本次正式调研以烟台地区集群电商经济相关从业者、经营者及政府工作人员为调查对象，采用问卷星平台进行在线发放，共回收问卷508份，全部为有效问卷，有效</w:t>
      </w:r>
      <w:bookmarkStart w:id="56" w:name="_GoBack"/>
      <w:r>
        <w:rPr>
          <w:rFonts w:eastAsia="宋体" w:ascii="Times New Roman" w:hAnsi="Times New Roman" w:cs="宋体"/>
          <w:highlight w:val="yellow"/>
          <w:sz w:val="24"/>
          <w:szCs w:val="24"/>
        </w:rPr>
        <w:t>回收率为100%</w:t>
      </w:r>
      <w:bookmarkEnd w:id="56"/>
      <w:r>
        <w:rPr>
          <w:rFonts w:eastAsia="宋体" w:ascii="Times New Roman" w:hAnsi="Times New Roman" w:cs="宋体"/>
          <w:sz w:val="24"/>
          <w:szCs w:val="24"/>
        </w:rPr>
        <w:t>。样本基本特征如下：</w:t>
      </w:r>
    </w:p>
    <w:p w14:paraId="7C3156CD">
      <w:pPr>
        <w:spacing w:before="0" w:after="0" w:line="400" w:lineRule="exact"/>
        <w:jc w:val="both"/>
        <w:ind w:firstLine="480"/>
      </w:pPr>
      <w:r>
        <w:rPr>
          <w:rFonts w:eastAsia="宋体" w:ascii="Times New Roman" w:hAnsi="Times New Roman" w:cs="宋体"/>
          <w:sz w:val="24"/>
          <w:szCs w:val="24"/>
        </w:rP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B606414">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F901C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B6AC6FF">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34295C3">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302055D6">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BF397BC">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C7C3A2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4635D21">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CF20A09">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B0653DF">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B00264A">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761E4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A5B9B9E">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5A948EC">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7E0423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299AAB5">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194C533">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3C038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0030CB4">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D25D6C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1F7D61">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2D4D009">
            <w:pPr>
              <w:jc w:val="center"/>
            </w:pP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府政策与集群治理（GP）、人才支撑（TS）、基础设施建设（IF）、技术创新水平（TI）、本地电商平台与数字技能（DS）、自然环境与资源禀赋（EN）的α值分别为0.865、0.854、0.844、0.808、0.870、0.857，均显著超过0.700的可接受</w:t>
      </w:r>
      <w:r>
        <w:rPr>
          <w:rFonts w:eastAsia="宋体" w:ascii="Times New Roman" w:hAnsi="Times New Roman" w:cs="宋体"/>
          <w:highlight w:val="yellow"/>
          <w:sz w:val="24"/>
          <w:szCs w:val="24"/>
        </w:rPr>
        <w:t>标准（Nunnally，1978），</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政府政策与集群治理</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人才支撑</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基础设施建设</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技术创新水平</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本地电商平台与数字技能</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自然环境与资源禀赋</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EN</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3</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0.761</w:t>
            </w:r>
          </w:p>
        </w:tc>
      </w:tr>
      <w:tr>
        <w:tc>
          <w:tcPr>
            <w:tcW w:type="dxa" w:w="2197"/>
          </w:tcPr>
          <w:p>
            <w:r>
              <w:t xml:space="preserve">集群电商发展水平</w:t>
            </w:r>
          </w:p>
        </w:tc>
        <w:tc>
          <w:tcPr>
            <w:tcW w:type="dxa" w:w="2197"/>
          </w:tcPr>
          <w:p>
            <w:r>
              <w:t xml:space="preserve">CDL</w:t>
            </w:r>
          </w:p>
        </w:tc>
        <w:tc>
          <w:tcPr>
            <w:tcW w:type="dxa" w:w="2197"/>
          </w:tcPr>
          <w:p>
            <w:r>
              <w:t xml:space="preserve">3</w:t>
            </w:r>
          </w:p>
        </w:tc>
        <w:tc>
          <w:tcPr>
            <w:tcW w:type="dxa" w:w="2197"/>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效度检验-KMO和巴特利特？？？</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rPr>
          <w:rFonts w:eastAsia="宋体" w:ascii="Times New Roman" w:hAnsi="Times New Roman" w:cs="宋体"/>
          <w:sz w:val="24"/>
          <w:szCs w:val="24"/>
        </w:rPr>
        <w:t>由表4-3可知，六个潜变量的所有题项因子载荷均在0.841以上，最低载荷为TI1（0.841），均超过</w:t>
      </w:r>
      <w:r>
        <w:rPr>
          <w:rFonts w:eastAsia="宋体" w:ascii="Times New Roman" w:hAnsi="Times New Roman" w:cs="宋体"/>
          <w:highlight w:val="yellow"/>
          <w:sz w:val="24"/>
          <w:szCs w:val="24"/>
        </w:rPr>
        <w:t>0.500的标准（Hair等，2010）；六个潜变量的AVE值介于0.723至0.793之间，均超过0.500的阈值（Fornell &amp; Larcker，1981），表明各潜变量对其题项的解释能力较强；C</w:t>
      </w:r>
      <w:r>
        <w:rPr>
          <w:rFonts w:eastAsia="宋体" w:ascii="Times New Roman" w:hAnsi="Times New Roman" w:cs="宋体"/>
          <w:sz w:val="24"/>
          <w:szCs w:val="24"/>
        </w:rPr>
        <w:t>R值介于0.887至0.920之间，均超过0.700的标准，进一步确认了量表的聚合效度。综合信度与CFA结果，本文测量模型具有良好的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GP（政府政策与集群治理）</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0.823</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464D134F">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0.819</w:t>
            </w:r>
          </w:p>
        </w:tc>
        <w:tc>
          <w:tcPr>
            <w:tcW w:w="1464" w:type="dxa"/>
            <w:vMerge w:val="continue"/>
            <w:tcBorders>
              <w:left w:val="nil"/>
              <w:right w:val="nil"/>
            </w:tcBorders>
            <w:vAlign w:val="center"/>
          </w:tcPr>
          <w:p w14:paraId="7C637718">
            <w:pPr>
              <w:jc w:val="center"/>
              <w:rPr>
                <w:b w:val="0"/>
                <w:bCs/>
              </w:rPr>
            </w:pPr>
          </w:p>
        </w:tc>
        <w:tc>
          <w:tcPr>
            <w:tcW w:w="1464" w:type="dxa"/>
            <w:vMerge w:val="continue"/>
            <w:tcBorders>
              <w:left w:val="nil"/>
              <w:right w:val="nil"/>
            </w:tcBorders>
            <w:vAlign w:val="center"/>
          </w:tcPr>
          <w:p w14:paraId="117EE0E7">
            <w:pPr>
              <w:jc w:val="center"/>
              <w:rPr>
                <w:b w:val="0"/>
                <w:bCs/>
              </w:rPr>
            </w:pPr>
          </w:p>
        </w:tc>
        <w:tc>
          <w:tcPr>
            <w:tcW w:w="1630" w:type="dxa"/>
            <w:vMerge w:val="continue"/>
            <w:tcBorders>
              <w:left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2E43D83">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0.817</w:t>
            </w:r>
          </w:p>
        </w:tc>
        <w:tc>
          <w:tcPr>
            <w:tcW w:w="1464" w:type="dxa"/>
            <w:vMerge w:val="continue"/>
            <w:tcBorders>
              <w:left w:val="nil"/>
              <w:bottom w:val="nil"/>
              <w:right w:val="nil"/>
            </w:tcBorders>
            <w:vAlign w:val="center"/>
          </w:tcPr>
          <w:p w14:paraId="3391D2DD">
            <w:pPr>
              <w:jc w:val="center"/>
              <w:rPr>
                <w:b w:val="0"/>
                <w:bCs/>
              </w:rPr>
            </w:pPr>
          </w:p>
        </w:tc>
        <w:tc>
          <w:tcPr>
            <w:tcW w:w="1464" w:type="dxa"/>
            <w:vMerge w:val="continue"/>
            <w:tcBorders>
              <w:left w:val="nil"/>
              <w:bottom w:val="nil"/>
              <w:right w:val="nil"/>
            </w:tcBorders>
            <w:vAlign w:val="center"/>
          </w:tcPr>
          <w:p w14:paraId="2BF26B88">
            <w:pPr>
              <w:jc w:val="center"/>
              <w:rPr>
                <w:b w:val="0"/>
                <w:bCs/>
              </w:rPr>
            </w:pPr>
          </w:p>
        </w:tc>
        <w:tc>
          <w:tcPr>
            <w:tcW w:w="1630" w:type="dxa"/>
            <w:vMerge w:val="continue"/>
            <w:tcBorders>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TS（人才支撑）</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0.830</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CEC08E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0.814</w:t>
            </w:r>
          </w:p>
        </w:tc>
        <w:tc>
          <w:tcPr>
            <w:tcW w:w="1464" w:type="dxa"/>
            <w:vMerge w:val="continue"/>
            <w:tcBorders>
              <w:left w:val="nil"/>
              <w:right w:val="nil"/>
            </w:tcBorders>
            <w:vAlign w:val="center"/>
          </w:tcPr>
          <w:p w14:paraId="784DBF6C">
            <w:pPr>
              <w:jc w:val="center"/>
              <w:rPr>
                <w:b w:val="0"/>
                <w:bCs/>
              </w:rPr>
            </w:pPr>
          </w:p>
        </w:tc>
        <w:tc>
          <w:tcPr>
            <w:tcW w:w="1464" w:type="dxa"/>
            <w:vMerge w:val="continue"/>
            <w:tcBorders>
              <w:left w:val="nil"/>
              <w:right w:val="nil"/>
            </w:tcBorders>
            <w:vAlign w:val="center"/>
          </w:tcPr>
          <w:p w14:paraId="669FA714">
            <w:pPr>
              <w:jc w:val="center"/>
              <w:rPr>
                <w:b w:val="0"/>
                <w:bCs/>
              </w:rPr>
            </w:pPr>
          </w:p>
        </w:tc>
        <w:tc>
          <w:tcPr>
            <w:tcW w:w="1630" w:type="dxa"/>
            <w:vMerge w:val="continue"/>
            <w:tcBorders>
              <w:left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1811D60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0.813</w:t>
            </w:r>
          </w:p>
        </w:tc>
        <w:tc>
          <w:tcPr>
            <w:tcW w:w="1464" w:type="dxa"/>
            <w:vMerge w:val="continue"/>
            <w:tcBorders>
              <w:left w:val="nil"/>
              <w:bottom w:val="nil"/>
              <w:right w:val="nil"/>
            </w:tcBorders>
            <w:vAlign w:val="center"/>
          </w:tcPr>
          <w:p w14:paraId="2C31A423">
            <w:pPr>
              <w:jc w:val="center"/>
              <w:rPr>
                <w:b w:val="0"/>
                <w:bCs/>
              </w:rPr>
            </w:pPr>
          </w:p>
        </w:tc>
        <w:tc>
          <w:tcPr>
            <w:tcW w:w="1464" w:type="dxa"/>
            <w:vMerge w:val="continue"/>
            <w:tcBorders>
              <w:left w:val="nil"/>
              <w:bottom w:val="nil"/>
              <w:right w:val="nil"/>
            </w:tcBorders>
            <w:vAlign w:val="center"/>
          </w:tcPr>
          <w:p w14:paraId="44ED8E7F">
            <w:pPr>
              <w:jc w:val="center"/>
              <w:rPr>
                <w:b w:val="0"/>
                <w:bCs/>
              </w:rPr>
            </w:pPr>
          </w:p>
        </w:tc>
        <w:tc>
          <w:tcPr>
            <w:tcW w:w="1630" w:type="dxa"/>
            <w:vMerge w:val="continue"/>
            <w:tcBorders>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IF（基础设施建设）</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0.853</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266F4130">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0.827</w:t>
            </w:r>
          </w:p>
        </w:tc>
        <w:tc>
          <w:tcPr>
            <w:tcW w:w="1464" w:type="dxa"/>
            <w:vMerge w:val="continue"/>
            <w:tcBorders>
              <w:left w:val="nil"/>
              <w:right w:val="nil"/>
            </w:tcBorders>
            <w:vAlign w:val="center"/>
          </w:tcPr>
          <w:p w14:paraId="45A3820F">
            <w:pPr>
              <w:jc w:val="center"/>
              <w:rPr>
                <w:b w:val="0"/>
                <w:bCs/>
              </w:rPr>
            </w:pPr>
          </w:p>
        </w:tc>
        <w:tc>
          <w:tcPr>
            <w:tcW w:w="1464" w:type="dxa"/>
            <w:vMerge w:val="continue"/>
            <w:tcBorders>
              <w:left w:val="nil"/>
              <w:right w:val="nil"/>
            </w:tcBorders>
            <w:vAlign w:val="center"/>
          </w:tcPr>
          <w:p w14:paraId="7F9F2B42">
            <w:pPr>
              <w:jc w:val="center"/>
              <w:rPr>
                <w:b w:val="0"/>
                <w:bCs/>
              </w:rPr>
            </w:pPr>
          </w:p>
        </w:tc>
        <w:tc>
          <w:tcPr>
            <w:tcW w:w="1630" w:type="dxa"/>
            <w:vMerge w:val="continue"/>
            <w:tcBorders>
              <w:left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B9AE0A1">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0.811</w:t>
            </w:r>
          </w:p>
        </w:tc>
        <w:tc>
          <w:tcPr>
            <w:tcW w:w="1464" w:type="dxa"/>
            <w:vMerge w:val="continue"/>
            <w:tcBorders>
              <w:left w:val="nil"/>
              <w:bottom w:val="nil"/>
              <w:right w:val="nil"/>
            </w:tcBorders>
            <w:vAlign w:val="center"/>
          </w:tcPr>
          <w:p w14:paraId="69917318">
            <w:pPr>
              <w:jc w:val="center"/>
              <w:rPr>
                <w:b w:val="0"/>
                <w:bCs/>
              </w:rPr>
            </w:pPr>
          </w:p>
        </w:tc>
        <w:tc>
          <w:tcPr>
            <w:tcW w:w="1464" w:type="dxa"/>
            <w:vMerge w:val="continue"/>
            <w:tcBorders>
              <w:left w:val="nil"/>
              <w:bottom w:val="nil"/>
              <w:right w:val="nil"/>
            </w:tcBorders>
            <w:vAlign w:val="center"/>
          </w:tcPr>
          <w:p w14:paraId="323B1450">
            <w:pPr>
              <w:jc w:val="center"/>
              <w:rPr>
                <w:b w:val="0"/>
                <w:bCs/>
              </w:rPr>
            </w:pPr>
          </w:p>
        </w:tc>
        <w:tc>
          <w:tcPr>
            <w:tcW w:w="1630" w:type="dxa"/>
            <w:vMerge w:val="continue"/>
            <w:tcBorders>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TI（技术创新水平）</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0.833</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0A34F95">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0.835</w:t>
            </w:r>
          </w:p>
        </w:tc>
        <w:tc>
          <w:tcPr>
            <w:tcW w:w="1464" w:type="dxa"/>
            <w:vMerge w:val="continue"/>
            <w:tcBorders>
              <w:left w:val="nil"/>
              <w:right w:val="nil"/>
            </w:tcBorders>
            <w:vAlign w:val="center"/>
          </w:tcPr>
          <w:p w14:paraId="5626BFD5">
            <w:pPr>
              <w:jc w:val="center"/>
              <w:rPr>
                <w:b w:val="0"/>
                <w:bCs/>
              </w:rPr>
            </w:pPr>
          </w:p>
        </w:tc>
        <w:tc>
          <w:tcPr>
            <w:tcW w:w="1464" w:type="dxa"/>
            <w:vMerge w:val="continue"/>
            <w:tcBorders>
              <w:left w:val="nil"/>
              <w:right w:val="nil"/>
            </w:tcBorders>
            <w:vAlign w:val="center"/>
          </w:tcPr>
          <w:p w14:paraId="227BC18F">
            <w:pPr>
              <w:jc w:val="center"/>
              <w:rPr>
                <w:b w:val="0"/>
                <w:bCs/>
              </w:rPr>
            </w:pPr>
          </w:p>
        </w:tc>
        <w:tc>
          <w:tcPr>
            <w:tcW w:w="1630" w:type="dxa"/>
            <w:vMerge w:val="continue"/>
            <w:tcBorders>
              <w:left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B8A5DA6">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0.780</w:t>
            </w:r>
          </w:p>
        </w:tc>
        <w:tc>
          <w:tcPr>
            <w:tcW w:w="1464" w:type="dxa"/>
            <w:vMerge w:val="continue"/>
            <w:tcBorders>
              <w:left w:val="nil"/>
              <w:bottom w:val="nil"/>
              <w:right w:val="nil"/>
            </w:tcBorders>
            <w:vAlign w:val="center"/>
          </w:tcPr>
          <w:p w14:paraId="50F02511">
            <w:pPr>
              <w:jc w:val="center"/>
              <w:rPr>
                <w:b w:val="0"/>
                <w:bCs/>
              </w:rPr>
            </w:pPr>
          </w:p>
        </w:tc>
        <w:tc>
          <w:tcPr>
            <w:tcW w:w="1464" w:type="dxa"/>
            <w:vMerge w:val="continue"/>
            <w:tcBorders>
              <w:left w:val="nil"/>
              <w:bottom w:val="nil"/>
              <w:right w:val="nil"/>
            </w:tcBorders>
            <w:vAlign w:val="center"/>
          </w:tcPr>
          <w:p w14:paraId="5109B4FE">
            <w:pPr>
              <w:jc w:val="center"/>
              <w:rPr>
                <w:b w:val="0"/>
                <w:bCs/>
              </w:rPr>
            </w:pPr>
          </w:p>
        </w:tc>
        <w:tc>
          <w:tcPr>
            <w:tcW w:w="1630" w:type="dxa"/>
            <w:vMerge w:val="continue"/>
            <w:tcBorders>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DS（数字技能）</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0.825</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37A8F0A9">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0.823</w:t>
            </w:r>
          </w:p>
        </w:tc>
        <w:tc>
          <w:tcPr>
            <w:tcW w:w="1464" w:type="dxa"/>
            <w:vMerge w:val="continue"/>
            <w:tcBorders>
              <w:left w:val="nil"/>
              <w:right w:val="nil"/>
            </w:tcBorders>
            <w:vAlign w:val="center"/>
          </w:tcPr>
          <w:p w14:paraId="4D290221">
            <w:pPr>
              <w:jc w:val="center"/>
              <w:rPr>
                <w:b w:val="0"/>
                <w:bCs/>
              </w:rPr>
            </w:pPr>
          </w:p>
        </w:tc>
        <w:tc>
          <w:tcPr>
            <w:tcW w:w="1464" w:type="dxa"/>
            <w:vMerge w:val="continue"/>
            <w:tcBorders>
              <w:left w:val="nil"/>
              <w:right w:val="nil"/>
            </w:tcBorders>
            <w:vAlign w:val="center"/>
          </w:tcPr>
          <w:p w14:paraId="745F5A0A">
            <w:pPr>
              <w:jc w:val="center"/>
              <w:rPr>
                <w:b w:val="0"/>
                <w:bCs/>
              </w:rPr>
            </w:pPr>
          </w:p>
        </w:tc>
        <w:tc>
          <w:tcPr>
            <w:tcW w:w="1630" w:type="dxa"/>
            <w:vMerge w:val="continue"/>
            <w:tcBorders>
              <w:left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ABF669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0.836</w:t>
            </w:r>
          </w:p>
        </w:tc>
        <w:tc>
          <w:tcPr>
            <w:tcW w:w="1464" w:type="dxa"/>
            <w:vMerge w:val="continue"/>
            <w:tcBorders>
              <w:left w:val="nil"/>
              <w:bottom w:val="nil"/>
              <w:right w:val="nil"/>
            </w:tcBorders>
            <w:vAlign w:val="center"/>
          </w:tcPr>
          <w:p w14:paraId="361C31DA">
            <w:pPr>
              <w:jc w:val="center"/>
              <w:rPr>
                <w:b w:val="0"/>
                <w:bCs/>
              </w:rPr>
            </w:pPr>
          </w:p>
        </w:tc>
        <w:tc>
          <w:tcPr>
            <w:tcW w:w="1464" w:type="dxa"/>
            <w:vMerge w:val="continue"/>
            <w:tcBorders>
              <w:left w:val="nil"/>
              <w:bottom w:val="nil"/>
              <w:right w:val="nil"/>
            </w:tcBorders>
            <w:vAlign w:val="center"/>
          </w:tcPr>
          <w:p w14:paraId="134EDC25">
            <w:pPr>
              <w:jc w:val="center"/>
              <w:rPr>
                <w:b w:val="0"/>
                <w:bCs/>
              </w:rPr>
            </w:pPr>
          </w:p>
        </w:tc>
        <w:tc>
          <w:tcPr>
            <w:tcW w:w="1630" w:type="dxa"/>
            <w:vMerge w:val="continue"/>
            <w:tcBorders>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EN（自然环境与资源禀赋）</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0.807</w:t>
            </w:r>
          </w:p>
        </w:tc>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
            </w:r>
          </w:p>
        </w:tc>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
            </w:r>
          </w:p>
        </w:tc>
        <w:tc>
          <w:tcPr>
            <w:tcW w:w="1630"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18F407A9">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0.854</w:t>
            </w:r>
          </w:p>
        </w:tc>
        <w:tc>
          <w:tcPr>
            <w:tcW w:w="1464" w:type="dxa"/>
            <w:vMerge w:val="continue"/>
            <w:tcBorders>
              <w:left w:val="nil"/>
              <w:right w:val="nil"/>
            </w:tcBorders>
            <w:vAlign w:val="center"/>
          </w:tcPr>
          <w:p w14:paraId="67134AC0">
            <w:pPr>
              <w:jc w:val="center"/>
              <w:rPr>
                <w:b w:val="0"/>
                <w:bCs/>
              </w:rPr>
            </w:pPr>
          </w:p>
        </w:tc>
        <w:tc>
          <w:tcPr>
            <w:tcW w:w="1464" w:type="dxa"/>
            <w:vMerge w:val="continue"/>
            <w:tcBorders>
              <w:left w:val="nil"/>
              <w:right w:val="nil"/>
            </w:tcBorders>
            <w:vAlign w:val="center"/>
          </w:tcPr>
          <w:p w14:paraId="4D5FBCCB">
            <w:pPr>
              <w:jc w:val="center"/>
              <w:rPr>
                <w:b w:val="0"/>
                <w:bCs/>
              </w:rPr>
            </w:pPr>
          </w:p>
        </w:tc>
        <w:tc>
          <w:tcPr>
            <w:tcW w:w="1630" w:type="dxa"/>
            <w:vMerge w:val="continue"/>
            <w:tcBorders>
              <w:left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single" w:color="auto" w:sz="12" w:space="0"/>
              <w:right w:val="nil"/>
            </w:tcBorders>
            <w:vAlign w:val="center"/>
          </w:tcPr>
          <w:p w14:paraId="6B469067">
            <w:pPr>
              <w:jc w:val="center"/>
              <w:rPr>
                <w:b w:val="0"/>
                <w:bCs/>
              </w:rPr>
            </w:pPr>
          </w:p>
        </w:tc>
        <w:tc>
          <w:tcPr>
            <w:tcW w:w="1464"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EN3</w:t>
            </w:r>
          </w:p>
        </w:tc>
        <w:tc>
          <w:tcPr>
            <w:tcW w:w="1464"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0.806</w:t>
            </w:r>
          </w:p>
        </w:tc>
        <w:tc>
          <w:tcPr>
            <w:tcW w:w="1464" w:type="dxa"/>
            <w:vMerge w:val="continue"/>
            <w:tcBorders>
              <w:left w:val="nil"/>
              <w:bottom w:val="single" w:color="auto" w:sz="12" w:space="0"/>
              <w:right w:val="nil"/>
            </w:tcBorders>
            <w:vAlign w:val="center"/>
          </w:tcPr>
          <w:p w14:paraId="11804447">
            <w:pPr>
              <w:jc w:val="center"/>
              <w:rPr>
                <w:b w:val="0"/>
                <w:bCs/>
              </w:rPr>
            </w:pPr>
          </w:p>
        </w:tc>
        <w:tc>
          <w:tcPr>
            <w:tcW w:w="1464" w:type="dxa"/>
            <w:vMerge w:val="continue"/>
            <w:tcBorders>
              <w:left w:val="nil"/>
              <w:bottom w:val="single" w:color="auto" w:sz="12" w:space="0"/>
              <w:right w:val="nil"/>
            </w:tcBorders>
            <w:vAlign w:val="center"/>
          </w:tcPr>
          <w:p w14:paraId="01687BB8">
            <w:pPr>
              <w:jc w:val="center"/>
              <w:rPr>
                <w:b w:val="0"/>
                <w:bCs/>
              </w:rPr>
            </w:pPr>
          </w:p>
        </w:tc>
        <w:tc>
          <w:tcPr>
            <w:tcW w:w="1630" w:type="dxa"/>
            <w:vMerge w:val="continue"/>
            <w:tcBorders>
              <w:left w:val="nil"/>
              <w:bottom w:val="single" w:color="auto" w:sz="12" w:space="0"/>
              <w:right w:val="nil"/>
            </w:tcBorders>
            <w:vAlign w:val="center"/>
          </w:tcPr>
          <w:p w14:paraId="676B0A0C">
            <w:pPr>
              <w:jc w:val="center"/>
              <w:rPr>
                <w:b w:val="0"/>
                <w:bCs/>
              </w:rPr>
            </w:pPr>
          </w:p>
        </w:tc>
      </w:tr>
      <w:tr>
        <w:tc>
          <w:tcPr>
            <w:tcW w:type="dxa" w:w="1464"/>
          </w:tcPr>
          <w:p>
            <w:r>
              <w:t xml:space="preserve">CDL（集群电商发展水平）</w:t>
            </w:r>
          </w:p>
        </w:tc>
        <w:tc>
          <w:tcPr>
            <w:tcW w:type="dxa" w:w="1464"/>
          </w:tcPr>
          <w:p>
            <w:r>
              <w:t xml:space="preserve">CDL1</w:t>
            </w:r>
          </w:p>
        </w:tc>
        <w:tc>
          <w:tcPr>
            <w:tcW w:type="dxa" w:w="1464"/>
          </w:tcPr>
          <w:p>
            <w:r>
              <w:t xml:space="preserve">0.815</w:t>
            </w:r>
          </w:p>
        </w:tc>
        <w:tc>
          <w:tcPr>
            <w:tcW w:type="dxa" w:w="1464"/>
          </w:tcPr>
          <w:p>
            <w:r>
              <w:t xml:space="preserve">0.868</w:t>
            </w:r>
          </w:p>
        </w:tc>
        <w:tc>
          <w:tcPr>
            <w:tcW w:type="dxa" w:w="1464"/>
          </w:tcPr>
          <w:p>
            <w:r>
              <w:t xml:space="preserve">0.687</w:t>
            </w:r>
          </w:p>
        </w:tc>
        <w:tc>
          <w:tcPr>
            <w:tcW w:type="dxa" w:w="1630"/>
          </w:tcPr>
          <w:p>
            <w:r>
              <w:t xml:space="preserve">0.772</w:t>
            </w:r>
          </w:p>
        </w:tc>
      </w:tr>
      <w:tr>
        <w:tc>
          <w:tcPr>
            <w:tcW w:type="dxa" w:w="1464"/>
          </w:tcPr>
          <w:p>
            <w:r>
              <w:t xml:space="preserve">CDL（集群电商发展水平）</w:t>
            </w:r>
          </w:p>
        </w:tc>
        <w:tc>
          <w:tcPr>
            <w:tcW w:type="dxa" w:w="1464"/>
          </w:tcPr>
          <w:p>
            <w:r>
              <w:t xml:space="preserve">CDL2</w:t>
            </w:r>
          </w:p>
        </w:tc>
        <w:tc>
          <w:tcPr>
            <w:tcW w:type="dxa" w:w="1464"/>
          </w:tcPr>
          <w:p>
            <w:r>
              <w:t xml:space="preserve">0.859</w:t>
            </w:r>
          </w:p>
        </w:tc>
        <w:tc>
          <w:tcPr>
            <w:tcW w:type="dxa" w:w="1464"/>
          </w:tcPr>
          <w:p>
            <w:r>
              <w:t xml:space="preserve"/>
            </w:r>
          </w:p>
        </w:tc>
        <w:tc>
          <w:tcPr>
            <w:tcW w:type="dxa" w:w="1464"/>
          </w:tcPr>
          <w:p>
            <w:r>
              <w:t xml:space="preserve"/>
            </w:r>
          </w:p>
        </w:tc>
        <w:tc>
          <w:tcPr>
            <w:tcW w:type="dxa" w:w="1630"/>
          </w:tcPr>
          <w:p>
            <w:r>
              <w:t xml:space="preserve"/>
            </w:r>
          </w:p>
        </w:tc>
      </w:tr>
      <w:tr>
        <w:tc>
          <w:tcPr>
            <w:tcW w:type="dxa" w:w="1464"/>
          </w:tcPr>
          <w:p>
            <w:r>
              <w:t xml:space="preserve">CDL（集群电商发展水平）</w:t>
            </w:r>
          </w:p>
        </w:tc>
        <w:tc>
          <w:tcPr>
            <w:tcW w:type="dxa" w:w="1464"/>
          </w:tcPr>
          <w:p>
            <w:r>
              <w:t xml:space="preserve">CDL3</w:t>
            </w:r>
          </w:p>
        </w:tc>
        <w:tc>
          <w:tcPr>
            <w:tcW w:type="dxa" w:w="1464"/>
          </w:tcPr>
          <w:p>
            <w:r>
              <w:t xml:space="preserve">0.812</w:t>
            </w:r>
          </w:p>
        </w:tc>
        <w:tc>
          <w:tcPr>
            <w:tcW w:type="dxa" w:w="1464"/>
          </w:tcPr>
          <w:p>
            <w:r>
              <w:t xml:space="preserve"/>
            </w:r>
          </w:p>
        </w:tc>
        <w:tc>
          <w:tcPr>
            <w:tcW w:type="dxa" w:w="1464"/>
          </w:tcPr>
          <w:p>
            <w:r>
              <w:t xml:space="preserve"/>
            </w:r>
          </w:p>
        </w:tc>
        <w:tc>
          <w:tcPr>
            <w:tcW w:type="dxa" w:w="1630"/>
          </w:tcPr>
          <w:p>
            <w:r>
              <w:t xml:space="preserve"/>
            </w: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B93CF55">
            <w:pPr>
              <w:jc w:val="center"/>
              <w:spacing w:before="60" w:after="60" w:line="320" w:lineRule="exact"/>
              <w:ind/>
            </w:pP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CDL</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0.518</w:t>
            </w: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0.396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0.819</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0.531</w:t>
            </w: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IF</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0.479</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0.474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0.831</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0.450</w:t>
            </w: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0.272</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0.294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0.254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0.817</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0.518</w:t>
            </w: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DS</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0.170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0.200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0.207</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0.424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0.828</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0.426</w:t>
            </w: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EN</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0.157</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0.170</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0.178</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0.305</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0.446</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0.823</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0.475</w:t>
            </w:r>
          </w:p>
        </w:tc>
      </w:tr>
      <w:tr>
        <w:tc>
          <w:tcPr>
            <w:tcW w:type="dxa" w:w="1255"/>
          </w:tcPr>
          <w:p>
            <w:r>
              <w:t xml:space="preserve">CDL</w:t>
            </w:r>
          </w:p>
        </w:tc>
        <w:tc>
          <w:tcPr>
            <w:tcW w:type="dxa" w:w="1255"/>
          </w:tcPr>
          <w:p>
            <w:r>
              <w:t xml:space="preserve">0.518</w:t>
            </w:r>
          </w:p>
        </w:tc>
        <w:tc>
          <w:tcPr>
            <w:tcW w:type="dxa" w:w="1255"/>
          </w:tcPr>
          <w:p>
            <w:r>
              <w:t xml:space="preserve">0.531</w:t>
            </w:r>
          </w:p>
        </w:tc>
        <w:tc>
          <w:tcPr>
            <w:tcW w:type="dxa" w:w="1255"/>
          </w:tcPr>
          <w:p>
            <w:r>
              <w:t xml:space="preserve">0.450</w:t>
            </w:r>
          </w:p>
        </w:tc>
        <w:tc>
          <w:tcPr>
            <w:tcW w:type="dxa" w:w="1255"/>
          </w:tcPr>
          <w:p>
            <w:r>
              <w:t xml:space="preserve">0.518</w:t>
            </w:r>
          </w:p>
        </w:tc>
        <w:tc>
          <w:tcPr>
            <w:tcW w:type="dxa" w:w="1255"/>
          </w:tcPr>
          <w:p>
            <w:r>
              <w:t xml:space="preserve">0.426</w:t>
            </w:r>
          </w:p>
        </w:tc>
        <w:tc>
          <w:tcPr>
            <w:tcW w:type="dxa" w:w="1255"/>
          </w:tcPr>
          <w:p>
            <w:r>
              <w:t xml:space="preserve">0.475</w:t>
            </w:r>
          </w:p>
        </w:tc>
        <w:tc>
          <w:tcPr>
            <w:tcW w:type="dxa" w:w="1255"/>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府政策与集群治理、人才支撑通过基础设施建设间接影响集群数字化发展水平；技术创新水平、自然环境与资源禀赋通过本地电商平台与数字技能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χ²/df</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&lt;3.000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2.213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CFI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&gt;0.900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0.978</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TLI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&gt;0.900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0.965</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RMSEA</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&lt;0.080（≤0.050为优）</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0.049</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SRMR</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&lt;0.080</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0.059</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 → IF</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0.345</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8.662</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H2</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 → IF</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0.338</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8.475</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H3</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 → DS</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0.317</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8.056</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H4</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 → DS</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0.350</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8.881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H5</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 → CDL</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0.257</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7.631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H6</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TS → CDL</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0.260</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7.689</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&lt;0.001</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支持</w:t>
            </w:r>
          </w:p>
        </w:tc>
      </w:tr>
      <w:tr>
        <w:tc>
          <w:tcPr>
            <w:tcW w:type="dxa" w:w="1464"/>
          </w:tcPr>
          <w:p>
            <w:r>
              <w:t xml:space="preserve">H7</w:t>
            </w:r>
          </w:p>
        </w:tc>
        <w:tc>
          <w:tcPr>
            <w:tcW w:type="dxa" w:w="1464"/>
          </w:tcPr>
          <w:p>
            <w:r>
              <w:t xml:space="preserve">TI → CDL</w:t>
            </w:r>
          </w:p>
        </w:tc>
        <w:tc>
          <w:tcPr>
            <w:tcW w:type="dxa" w:w="1464"/>
          </w:tcPr>
          <w:p>
            <w:r>
              <w:t xml:space="preserve">0.230</w:t>
            </w:r>
          </w:p>
        </w:tc>
        <w:tc>
          <w:tcPr>
            <w:tcW w:type="dxa" w:w="1464"/>
          </w:tcPr>
          <w:p>
            <w:r>
              <w:t xml:space="preserve">6.956</w:t>
            </w:r>
          </w:p>
        </w:tc>
        <w:tc>
          <w:tcPr>
            <w:tcW w:type="dxa" w:w="1464"/>
          </w:tcPr>
          <w:p>
            <w:r>
              <w:t xml:space="preserve">&lt;0.001</w:t>
            </w:r>
          </w:p>
        </w:tc>
        <w:tc>
          <w:tcPr>
            <w:tcW w:type="dxa" w:w="1464"/>
          </w:tcPr>
          <w:p>
            <w:r>
              <w:t xml:space="preserve">支持</w:t>
            </w:r>
          </w:p>
        </w:tc>
      </w:tr>
      <w:tr>
        <w:tc>
          <w:tcPr>
            <w:tcW w:type="dxa" w:w="1464"/>
          </w:tcPr>
          <w:p>
            <w:r>
              <w:t xml:space="preserve">H8</w:t>
            </w:r>
          </w:p>
        </w:tc>
        <w:tc>
          <w:tcPr>
            <w:tcW w:type="dxa" w:w="1464"/>
          </w:tcPr>
          <w:p>
            <w:r>
              <w:t xml:space="preserve">EN → CDL</w:t>
            </w:r>
          </w:p>
        </w:tc>
        <w:tc>
          <w:tcPr>
            <w:tcW w:type="dxa" w:w="1464"/>
          </w:tcPr>
          <w:p>
            <w:r>
              <w:t xml:space="preserve">0.262</w:t>
            </w:r>
          </w:p>
        </w:tc>
        <w:tc>
          <w:tcPr>
            <w:tcW w:type="dxa" w:w="1464"/>
          </w:tcPr>
          <w:p>
            <w:r>
              <w:t xml:space="preserve">8.098</w:t>
            </w:r>
          </w:p>
        </w:tc>
        <w:tc>
          <w:tcPr>
            <w:tcW w:type="dxa" w:w="1464"/>
          </w:tcPr>
          <w:p>
            <w:r>
              <w:t xml:space="preserve">&lt;0.001</w:t>
            </w:r>
          </w:p>
        </w:tc>
        <w:tc>
          <w:tcPr>
            <w:tcW w:type="dxa" w:w="1464"/>
          </w:tcPr>
          <w:p>
            <w:r>
              <w:t xml:space="preserve">支持</w:t>
            </w:r>
          </w:p>
        </w:tc>
      </w:tr>
      <w:tr>
        <w:tc>
          <w:tcPr>
            <w:tcW w:type="dxa" w:w="1464"/>
          </w:tcPr>
          <w:p>
            <w:r>
              <w:t xml:space="preserve">H9</w:t>
            </w:r>
          </w:p>
        </w:tc>
        <w:tc>
          <w:tcPr>
            <w:tcW w:type="dxa" w:w="1464"/>
          </w:tcPr>
          <w:p>
            <w:r>
              <w:t xml:space="preserve">IF → CDL</w:t>
            </w:r>
          </w:p>
        </w:tc>
        <w:tc>
          <w:tcPr>
            <w:tcW w:type="dxa" w:w="1464"/>
          </w:tcPr>
          <w:p>
            <w:r>
              <w:t xml:space="preserve">0.078</w:t>
            </w:r>
          </w:p>
        </w:tc>
        <w:tc>
          <w:tcPr>
            <w:tcW w:type="dxa" w:w="1464"/>
          </w:tcPr>
          <w:p>
            <w:r>
              <w:t xml:space="preserve">2.241</w:t>
            </w:r>
          </w:p>
        </w:tc>
        <w:tc>
          <w:tcPr>
            <w:tcW w:type="dxa" w:w="1464"/>
          </w:tcPr>
          <w:p>
            <w:r>
              <w:t xml:space="preserve">0.025</w:t>
            </w:r>
          </w:p>
        </w:tc>
        <w:tc>
          <w:tcPr>
            <w:tcW w:type="dxa" w:w="1464"/>
          </w:tcPr>
          <w:p>
            <w:r>
              <w:t xml:space="preserve">支持</w:t>
            </w:r>
          </w:p>
        </w:tc>
      </w:tr>
      <w:tr>
        <w:tc>
          <w:tcPr>
            <w:tcW w:type="dxa" w:w="1464"/>
          </w:tcPr>
          <w:p>
            <w:r>
              <w:t xml:space="preserve">H10</w:t>
            </w:r>
          </w:p>
        </w:tc>
        <w:tc>
          <w:tcPr>
            <w:tcW w:type="dxa" w:w="1464"/>
          </w:tcPr>
          <w:p>
            <w:r>
              <w:t xml:space="preserve">DS → CDL</w:t>
            </w:r>
          </w:p>
        </w:tc>
        <w:tc>
          <w:tcPr>
            <w:tcW w:type="dxa" w:w="1464"/>
          </w:tcPr>
          <w:p>
            <w:r>
              <w:t xml:space="preserve">0.100</w:t>
            </w:r>
          </w:p>
        </w:tc>
        <w:tc>
          <w:tcPr>
            <w:tcW w:type="dxa" w:w="1464"/>
          </w:tcPr>
          <w:p>
            <w:r>
              <w:t xml:space="preserve">2.934</w:t>
            </w:r>
          </w:p>
        </w:tc>
        <w:tc>
          <w:tcPr>
            <w:tcW w:type="dxa" w:w="1464"/>
          </w:tcPr>
          <w:p>
            <w:r>
              <w:t xml:space="preserve">0.003</w:t>
            </w:r>
          </w:p>
        </w:tc>
        <w:tc>
          <w:tcPr>
            <w:tcW w:type="dxa" w:w="1464"/>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footnoteReference w:id="5"/>
      </w:r>
      <w:r>
        <w:rPr>
          <w:rFonts w:eastAsia="宋体" w:ascii="Times New Roman" w:hAnsi="Times New Roman" w:cs="宋体"/>
          <w:highlight w:val="yellow"/>
          <w:sz w:val="24"/>
          <w:szCs w:val="24"/>
        </w:rPr>
        <w:t xml:space="preserve">采用95% Bias-Corrected Bootstrap CI，Preacher &amp; Hayes，2008）</w:t>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H11a</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 → IF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0.027</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0.013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0.004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0.055</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H11b</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 → IF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0.026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0.013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0.003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0.053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H12a</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 → DS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0.032</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0.014</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0.007</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0.061</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H12b</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EN → DS → CDL</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0.035</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0.014</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0.009</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0.065</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第二，结构模型拟合达标。χ²/df=2.370，CFI=0.976，RMSEA=0.052，SRMR=0.066，纯中介SEM模型与数据良好匹配，各路径系数在0.001水平上显著，且方向符合理论预期。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府政策、人才支撑、基础设施建设、技术创新、数字技能、自然环境六个条件为前因变量，通过校准、必要性分析、真值表构建与组态分析四个步骤开展fsQCA，样本量N=508，一致性阈值设为0.85，频数阈值设为3（Ragin，2008）。</w:t>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fsQCA要求将连续变量校准为[0,1]范围内的模糊集隶属分数。本文采用"间接法"校准（Ragin，2008），</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政府政策与集群治理</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1.333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1.000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2.667</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4.000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技术创新水平</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1.333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自然环境与资源禀赋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3.667</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CDL</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集群电商发展水平</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1.667</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3.333</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则结果变量的隶属分数不超过该条件的隶属分数（即Y⊆X），其一致性≥0.900（Ragin，2008）</w:t>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9D9006">
            <w:pPr>
              <w:jc w:val="center"/>
              <w:spacing w:before="60" w:after="60" w:line="320" w:lineRule="exact"/>
              <w:ind/>
            </w:pPr>
            <w:r>
              <w:rPr>
                <w:rFonts w:eastAsia="宋体" w:ascii="Times New Roman" w:hAnsi="Times New Roman" w:cs="宋体"/>
                <w:sz w:val="21"/>
                <w:szCs w:val="21"/>
              </w:rPr>
              <w:t>GP（政府政策）</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A33EC3">
            <w:pPr>
              <w:jc w:val="center"/>
              <w:spacing w:before="60" w:after="60" w:line="320" w:lineRule="exact"/>
              <w:ind/>
            </w:pPr>
            <w:r>
              <w:rPr>
                <w:rFonts w:eastAsia="宋体" w:ascii="Times New Roman" w:hAnsi="Times New Roman" w:cs="宋体"/>
                <w:sz w:val="21"/>
                <w:szCs w:val="21"/>
              </w:rPr>
              <w:t>~GP（政府政策缺失）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765664">
            <w:pPr>
              <w:jc w:val="center"/>
              <w:spacing w:before="60" w:after="60" w:line="320" w:lineRule="exact"/>
              <w:ind/>
            </w:pPr>
            <w:r>
              <w:rPr>
                <w:rFonts w:eastAsia="宋体" w:ascii="Times New Roman" w:hAnsi="Times New Roman" w:cs="宋体"/>
                <w:sz w:val="21"/>
                <w:szCs w:val="21"/>
              </w:rPr>
              <w:t>0.668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4B66E0">
            <w:pPr>
              <w:jc w:val="center"/>
              <w:spacing w:before="60" w:after="60" w:line="320" w:lineRule="exact"/>
              <w:ind/>
            </w:pPr>
            <w:r>
              <w:rPr>
                <w:rFonts w:eastAsia="宋体" w:ascii="Times New Roman" w:hAnsi="Times New Roman" w:cs="宋体"/>
                <w:sz w:val="21"/>
                <w:szCs w:val="21"/>
              </w:rPr>
              <w:t>0.605</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47D9A7">
            <w:pPr>
              <w:jc w:val="center"/>
              <w:spacing w:before="60" w:after="60" w:line="320" w:lineRule="exact"/>
              <w:ind/>
            </w:pPr>
            <w:r>
              <w:rPr>
                <w:rFonts w:eastAsia="宋体" w:ascii="Times New Roman" w:hAnsi="Times New Roman" w:cs="宋体"/>
                <w:sz w:val="21"/>
                <w:szCs w:val="21"/>
              </w:rPr>
              <w:t>EN（自然环境）</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AE303D8">
            <w:pPr>
              <w:jc w:val="center"/>
              <w:spacing w:before="60" w:after="60" w:line="320" w:lineRule="exact"/>
              <w:ind/>
            </w:pPr>
            <w:r>
              <w:rPr>
                <w:rFonts w:eastAsia="宋体" w:ascii="Times New Roman" w:hAnsi="Times New Roman" w:cs="宋体"/>
                <w:sz w:val="21"/>
                <w:szCs w:val="21"/>
              </w:rPr>
              <w:t>~EN（自然环境缺失）</w:t>
            </w:r>
          </w:p>
        </w:tc>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0.100）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5条驱动集群电商高水平发展的组态路径，如表5-3所示。组态总体一致性为0.853，总体覆盖率为0.812，表明5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类别</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路径1
GP*TS</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路径2
GP*EN</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路径3
GP*TI</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路径4
TI*EN</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路径5
TS*EN</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GP（政府政策与集群治理）</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TI（技术创新水平）</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EN（自然环境与资源禀赋）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0.872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0.862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0.856</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0.854</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0.850</w:t>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覆盖率</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0.655</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0.624</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0.636</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0.636</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0.595</w:t>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净覆盖率</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0.091</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0.068</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0.058</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0.072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0.048</w:t>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总体一致性</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0.853</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0.853</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0.853</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0.853</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0.853</w:t>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总体覆盖率</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0.812</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0.812</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0.812</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0.812</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0.812</w:t>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基建协同驱动型。路径1由政府政策与基础设施建设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0.345，间接效应=0.215***）高度印证，体现了政府政策通过推动基础设施完善进而促进集群发展的传导机制。</w:t>
      </w:r>
    </w:p>
    <w:p w14:paraId="161C884D">
      <w:pPr>
        <w:spacing w:before="0" w:after="0" w:line="400" w:lineRule="exact"/>
        <w:jc w:val="both"/>
        <w:ind w:firstLine="480"/>
      </w:pPr>
      <w:r>
        <w:rPr>
          <w:rFonts w:eastAsia="宋体" w:ascii="Times New Roman" w:hAnsi="Times New Roman" w:cs="宋体"/>
          <w:sz w:val="24"/>
          <w:szCs w:val="24"/>
        </w:rPr>
        <w:t>（2）人才-技术-基建三元驱动型。路径2由人才支撑、技术创新与基础设施建设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14:paraId="47FFCB01">
      <w:pPr>
        <w:spacing w:before="0" w:after="0" w:line="400" w:lineRule="exact"/>
        <w:jc w:val="both"/>
        <w:ind w:firstLine="480"/>
      </w:pPr>
      <w:r>
        <w:rPr>
          <w:rFonts w:eastAsia="宋体" w:ascii="Times New Roman" w:hAnsi="Times New Roman" w:cs="宋体"/>
          <w:sz w:val="24"/>
          <w:szCs w:val="24"/>
        </w:rPr>
        <w:t>（3）内生数字驱动型。路径3和路径4均以数字技能为核心条件，分别与技术创新和自然环境与资源禀赋相组合，构成两条互补路径，可归纳为内生数字驱动型。路径3（TI*EN）中两者均为核心条件，一致性为0.882，覆盖率为0.642，与SEM中TI→DS→CDL的中介链（β=0.317，间接效应=0.202***）对应，体现了"技术创新赋能数字技能、数字技能驱动发展"的内生循环逻辑，对外部条件依赖度较低。路径4（GP*EN）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路径1 GP*TS</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路径2 GP*EN</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路径3 GP*TI</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路径4 TI*EN</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GP（政府政策）</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TS（人才支撑）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TI（技术创新）</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EN（自然环境）</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0.872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0.858</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0.854</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0.851</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覆盖度（原始）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0.648</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0.612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0.621</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唯一覆盖度</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0.095</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0.071</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0.059</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0.073</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4</w:t>
      </w:r>
      <w:r>
        <w:rPr>
          <w:rFonts w:eastAsia="宋体" w:ascii="Times New Roman" w:hAnsi="Times New Roman" w:cs="宋体"/>
          <w:sz w:val="24"/>
          <w:szCs w:val="24"/>
        </w:rPr>
        <w:t>可知，校准交叉点调整为P55后，5条路径核心条件组合与原始结果完全相同，一致性均有所提升（TS*EN：0.899→0.937，TI*EN：0.882→0.910，GP*EN：0.889→0.910），均满足阈值要求；整体覆盖度0.953，路径结构稳定。</w:t>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GP*TS</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0.872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4597E3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0.655</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6D4F4A3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0.091</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GP*EN</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0.862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21FA66B7">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0.624</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26AE9F62">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0.068</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GP*TI</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0.856</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D6299B8">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0.636</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4E778E5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0.058</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TI*EN</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0.854</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31D120B9">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0.636</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1B5A89A6">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0.072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TS*EN</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0.850</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r>
              <w:t xml:space="preserve">0.847（−0.003）</w:t>
            </w:r>
          </w:p>
        </w:tc>
      </w:tr>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TS*EN</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覆盖度</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0.595</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r>
              <w:t xml:space="preserve">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single" w:color="auto" w:sz="12" w:space="0"/>
              <w:right w:val="nil"/>
            </w:tcBorders>
            <w:vAlign w:val="center"/>
          </w:tcPr>
          <w:p w14:paraId="1B6CCEDD">
            <w:pPr>
              <w:jc w:val="center"/>
            </w:pP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唯一覆盖度</w:t>
            </w: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0.048</w:t>
            </w: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r>
              <w:t xml:space="preserve">0.049（+0.001）</w:t>
            </w:r>
          </w:p>
        </w:tc>
      </w:tr>
      <w:tr>
        <w:tc>
          <w:tcPr>
            <w:tcW w:type="dxa" w:w="1757"/>
          </w:tcPr>
          <w:p>
            <w:r>
              <w:t xml:space="preserve">整体解</w:t>
            </w:r>
          </w:p>
        </w:tc>
        <w:tc>
          <w:tcPr>
            <w:tcW w:type="dxa" w:w="1757"/>
          </w:tcPr>
          <w:p>
            <w:r>
              <w:t xml:space="preserve">一致性</w:t>
            </w:r>
          </w:p>
        </w:tc>
        <w:tc>
          <w:tcPr>
            <w:tcW w:type="dxa" w:w="1757"/>
          </w:tcPr>
          <w:p>
            <w:r>
              <w:t xml:space="preserve">0.853</w:t>
            </w:r>
          </w:p>
        </w:tc>
        <w:tc>
          <w:tcPr>
            <w:tcW w:type="dxa" w:w="1757"/>
          </w:tcPr>
          <w:p>
            <w:r>
              <w:t xml:space="preserve">0.851（−0.002）</w:t>
            </w:r>
          </w:p>
        </w:tc>
      </w:tr>
      <w:tr>
        <w:tc>
          <w:tcPr>
            <w:tcW w:type="dxa" w:w="1757"/>
          </w:tcPr>
          <w:p>
            <w:r>
              <w:t xml:space="preserve">整体解</w:t>
            </w:r>
          </w:p>
        </w:tc>
        <w:tc>
          <w:tcPr>
            <w:tcW w:type="dxa" w:w="1757"/>
          </w:tcPr>
          <w:p>
            <w:r>
              <w:t xml:space="preserve">覆盖度</w:t>
            </w:r>
          </w:p>
        </w:tc>
        <w:tc>
          <w:tcPr>
            <w:tcW w:type="dxa" w:w="1757"/>
          </w:tcPr>
          <w:p>
            <w:r>
              <w:t xml:space="preserve">0.812</w:t>
            </w:r>
          </w:p>
        </w:tc>
        <w:tc>
          <w:tcPr>
            <w:tcW w:type="dxa" w:w="1757"/>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可知，稳健性检验均与原始结果高度一致：稳健检验路径结构保持不变，一致性小幅提升（+0.021至+0.038），覆盖度有所收窄，整体覆盖度仍达0.953。核心条件划分稳定，结论稳健性得到充分验证。</w:t>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技能是各路径中出现频率最高的条件，与SEM中DS对CDL影响最强（β=0.100）一致；政府政策通过与基础设施组合形成最具唯一解释力的路径，印证了SEM中GP→IF→CDL的完全中介机制。</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府政策与集群治理、人才支撑、基础设施建设、技术创新水平、本地电商平台与数字技能、自然环境与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本地电商平台能力与从业者数字技能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fsQCA组态分析共识别出5条中间解路径：路径1（GP*TS）、路径2（TS*EN）、路径3（TI*EN）、路径4（GP*EN），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技能在两条路径中均作为核心条件出现（TI*EN和GP*EN），与SEM中DS路径系数最强相印证；TS需与TI、IF共同组合（三元路径）方能发挥作用，这是SEM净效应分析无法呈现的条件依赖关系。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基建协同型"、路径2"人才-技术-基建三元型"、路径3"技术-数字内生型"、路径4"资源-数字整合型"。各路径反映了不同驱动逻辑下集群电商实现高水平发展的条件组合方式。据此提出以下四类针对性对策建议。</w:t>
      </w:r>
    </w:p>
    <w:p w14:paraId="23C3FCE6">
      <w:pPr>
        <w:pStyle w:val="4"/>
        <w:spacing w:before="0" w:after="0" w:line="400" w:lineRule="exact"/>
        <w:jc w:val="both"/>
      </w:pPr>
      <w:r>
        <w:rPr>
          <w:b/>
          <w:rFonts w:eastAsia="黑体" w:ascii="Times New Roman" w:hAnsi="Times New Roman" w:cs="黑体"/>
          <w:sz w:val="24"/>
          <w:szCs w:val="24"/>
        </w:rPr>
        <w:t>6.2.1 政策-基建协同型策略（对应路径1：GP*TS）</w:t>
      </w:r>
    </w:p>
    <w:p w14:paraId="3D079918">
      <w:pPr>
        <w:spacing w:before="0" w:after="0" w:line="400" w:lineRule="exact"/>
        <w:jc w:val="both"/>
        <w:ind w:firstLine="480"/>
      </w:pPr>
      <w:r>
        <w:rPr>
          <w:rFonts w:eastAsia="宋体" w:ascii="Times New Roman" w:hAnsi="Times New Roman" w:cs="宋体"/>
          <w:sz w:val="24"/>
          <w:szCs w:val="24"/>
        </w:rPr>
        <w:t>路径1表明，政府政策与基础设施建设共同构成集群电商高水平发展的充分条件组合，二者均为核心条件，一致性为0.884，覆盖度为0.669，且唯一覆盖度最高（0.136），说明该路径具有独特的解释力，是最典型的驱动模式。这一结果与SEM中GP→IF→CDL路径（β=0.345，间接效应=0.215***）高度印证。</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人才-技术-基建三元驱动型策略（对应路径2：TS*EN）</w:t>
      </w:r>
    </w:p>
    <w:p w14:paraId="7C49D91F">
      <w:pPr>
        <w:spacing w:before="0" w:after="0" w:line="400" w:lineRule="exact"/>
        <w:jc w:val="both"/>
        <w:ind w:firstLine="480"/>
      </w:pPr>
      <w:r>
        <w:rPr>
          <w:rFonts w:eastAsia="宋体" w:ascii="Times New Roman" w:hAnsi="Times New Roman" w:cs="宋体"/>
          <w:sz w:val="24"/>
          <w:szCs w:val="24"/>
        </w:rPr>
        <w:t>路径2由人才支撑、技术创新与基础设施建设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14:paraId="2F8047D3">
      <w:pPr>
        <w:spacing w:before="0" w:after="0" w:line="400" w:lineRule="exact"/>
        <w:jc w:val="both"/>
        <w:ind w:firstLine="480"/>
      </w:pPr>
      <w:r>
        <w:rPr>
          <w:rFonts w:eastAsia="宋体" w:ascii="Times New Roman" w:hAnsi="Times New Roman" w:cs="宋体"/>
          <w:sz w:val="24"/>
          <w:szCs w:val="24"/>
        </w:rP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14:paraId="4E1A47E4">
      <w:pPr>
        <w:pStyle w:val="4"/>
        <w:spacing w:before="0" w:after="0" w:line="400" w:lineRule="exact"/>
        <w:jc w:val="both"/>
      </w:pPr>
      <w:r>
        <w:rPr>
          <w:b/>
          <w:rFonts w:eastAsia="黑体" w:ascii="Times New Roman" w:hAnsi="Times New Roman" w:cs="黑体"/>
          <w:sz w:val="24"/>
          <w:szCs w:val="24"/>
        </w:rPr>
        <w:t>6.2.3 技术创新与数字能力内生型策略（对应路径3：TI*EN）</w:t>
      </w:r>
    </w:p>
    <w:p w14:paraId="10B38D83">
      <w:pPr>
        <w:spacing w:before="0" w:after="0" w:line="400" w:lineRule="exact"/>
        <w:jc w:val="both"/>
        <w:ind w:firstLine="480"/>
      </w:pPr>
      <w:r>
        <w:rPr>
          <w:rFonts w:eastAsia="宋体" w:ascii="Times New Roman" w:hAnsi="Times New Roman" w:cs="宋体"/>
          <w:sz w:val="24"/>
          <w:szCs w:val="24"/>
        </w:rPr>
        <w:t>路径3由技术创新与数字技能共存构成，两者均为核心条件，一致性为0.882，覆盖度为0.642，是5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资源禀赋与数字能力整合型策略（对应路径4：GP*EN）</w:t>
      </w:r>
    </w:p>
    <w:p w14:paraId="44E81B28">
      <w:pPr>
        <w:spacing w:before="0" w:after="0" w:line="400" w:lineRule="exact"/>
        <w:jc w:val="both"/>
        <w:ind w:firstLine="480"/>
      </w:pPr>
      <w:r>
        <w:rPr>
          <w:rFonts w:eastAsia="宋体" w:ascii="Times New Roman" w:hAnsi="Times New Roman" w:cs="宋体"/>
          <w:sz w:val="24"/>
          <w:szCs w:val="24"/>
        </w:rPr>
        <w:t>路径4由自然环境与资源禀赋与数字技能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14:paraId="4472329B">
      <w:pPr>
        <w:spacing w:before="0" w:after="0" w:line="400" w:lineRule="exact"/>
        <w:jc w:val="both"/>
        <w:ind w:firstLine="480"/>
      </w:pPr>
      <w:r>
        <w:rPr>
          <w:rFonts w:eastAsia="宋体" w:ascii="Times New Roman" w:hAnsi="Times New Roman" w:cs="宋体"/>
          <w:sz w:val="24"/>
          <w:szCs w:val="24"/>
        </w:rP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id="1">
    <w:p>
      <w:pPr>
        <w:pStyle w:val="FootnoteText"/>
      </w:pPr>
      <w:r>
        <w:rPr>
          <w:rStyle w:val="FootnoteReference"/>
        </w:rPr>
        <w:foot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footnote>
  <w:footnote w:id="2">
    <w:p>
      <w:pPr>
        <w:pStyle w:val="FootnoteText"/>
      </w:pPr>
      <w:r>
        <w:rPr>
          <w:rStyle w:val="FootnoteReference"/>
        </w:rPr>
        <w:footnoteRef/>
      </w:r>
      <w:r>
        <w:t xml:space="preserve"> 结构方程模型（Structural Equation Modeling, SEM）是一种融合路径分析与验证性因子分析的多变量统计方法，能同时估计多个潜变量间的因果关系。本文采用AMOS 24.0软件构建和检验SEM模型。</w:t>
      </w:r>
    </w:p>
  </w:footnote>
  <w:footnote w:id="3">
    <w:p>
      <w:pPr>
        <w:pStyle w:val="FootnoteText"/>
      </w:pPr>
      <w:r>
        <w:rPr>
          <w:rStyle w:val="FootnoteReference"/>
        </w:rPr>
        <w:foot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footnote>
  <w:footnote w:id="4">
    <w:p>
      <w:pPr>
        <w:pStyle w:val="FootnoteText"/>
      </w:pPr>
      <w:r>
        <w:rPr>
          <w:rStyle w:val="FootnoteReference"/>
        </w:rPr>
        <w:foot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footnote>
  <w:footnote w:id="5">
    <w:p>
      <w:pPr>
        <w:pStyle w:val="FootnoteText"/>
      </w:pPr>
      <w:r>
        <w:rPr>
          <w:rStyle w:val="FootnoteReference"/>
        </w:rPr>
        <w:foot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footnote>
  <w:footnote w:id="6">
    <w:p>
      <w:pPr>
        <w:pStyle w:val="FootnoteText"/>
      </w:pPr>
      <w:r>
        <w:rPr>
          <w:rStyle w:val="FootnoteReference"/>
        </w:rPr>
        <w:foot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