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黑体" w:hAnsi="黑体"/>
          <w:b/>
          <w:color w:val="000000"/>
          <w:sz w:val="28"/>
        </w:rPr>
        <w:t>第一章  绪论</w:t>
      </w:r>
    </w:p>
    <w:p>
      <w:pPr>
        <w:pStyle w:val="Heading2"/>
      </w:pPr>
      <w:r>
        <w:rPr>
          <w:rFonts w:ascii="黑体" w:hAnsi="黑体"/>
          <w:b/>
          <w:color w:val="000000"/>
          <w:sz w:val="24"/>
        </w:rPr>
        <w:t>1.1  研究背景与意义</w:t>
      </w:r>
    </w:p>
    <w:p>
      <w:pPr>
        <w:pStyle w:val="Heading3"/>
      </w:pPr>
      <w:r>
        <w:rPr>
          <w:rFonts w:ascii="黑体" w:hAnsi="黑体"/>
          <w:b/>
          <w:color w:val="000000"/>
          <w:sz w:val="24"/>
        </w:rPr>
        <w:t>1.1.1  研究背景</w:t>
      </w:r>
    </w:p>
    <w:p>
      <w:pPr>
        <w:ind w:firstLine="480"/>
        <w:jc w:val="both"/>
      </w:pPr>
      <w:r>
        <w:rPr>
          <w:rFonts w:ascii="宋体" w:hAnsi="宋体"/>
          <w:sz w:val="24"/>
        </w:rPr>
        <w:t>随着数字经济的深入推进，电子商务已成为驱动区域经济转型升级的重要引擎。国家"十四五"规划明确提出"加快数字化发展、建设数字中国"，农业农村数字化转型和农村电商的规模化、集群化发展被纳入重点政策议程。烟台地区凭借苹果、大樱桃、海产品等特色农产品的资源禀赋，叠加完善的数字基础设施与积极的地方政策扶持，逐步形成了具有典型意义的集群电商发展格局（吴怡，2022；Huang et al.，2024）。</w:t>
      </w:r>
    </w:p>
    <w:p>
      <w:pPr>
        <w:ind w:firstLine="480"/>
        <w:jc w:val="both"/>
      </w:pPr>
      <w:r>
        <w:rPr>
          <w:rFonts w:ascii="宋体" w:hAnsi="宋体"/>
          <w:sz w:val="24"/>
        </w:rPr>
        <w:t>集群电商是指地理上集中、产品相似或互补的电商经营主体，通过共享基础设施、协同品牌与联合营销所形成的网络化经济组织形态。既有研究证实，集群电商较分散电商具有规模效应、知识溢出和信任机制等显著竞争优势（蔡圣刚等，2020；Sun &amp; Shu，2025）。然而，烟台集群电商发展水平的形成是多重条件共同作用的结果，政府政策支持（GP）、人才支撑（TS）、技术创新（TI）与自然环境资源禀赋（EN）通过信息化水平（IF）和数字化服务能力（DS）这两条中介路径对集群电商经济发展水平（CDL）产生影响，其内在机制尚待系统厘清。</w:t>
      </w:r>
    </w:p>
    <w:p>
      <w:pPr>
        <w:ind w:firstLine="480"/>
        <w:jc w:val="both"/>
      </w:pPr>
      <w:r>
        <w:rPr>
          <w:rFonts w:ascii="宋体" w:hAnsi="宋体"/>
          <w:sz w:val="24"/>
        </w:rPr>
        <w:t>已有研究多采用单一方法，或聚焦净效应的线性估计，或侧重条件组合的定性比较，难以同时捕捉变量间的因果路径与多元等效路径。结构方程模型（SEM）擅长通过验证性因子分析与路径分析检验中介机制，模糊集定性比较分析（fsQCA）则能识别"殊途同归"的多重充分条件组合。将二者有机结合，能够实现净效应与组态效应的互补印证（杜运周、贾良定，2017，《管理世界》；Sun &amp; Shu，2025，SAGE Open；Huang et al.，2024，Humanities and Social Sciences Communications）。</w:t>
      </w:r>
    </w:p>
    <w:p>
      <w:pPr>
        <w:pStyle w:val="Heading3"/>
      </w:pPr>
      <w:r>
        <w:rPr>
          <w:rFonts w:ascii="黑体" w:hAnsi="黑体"/>
          <w:b/>
          <w:color w:val="000000"/>
          <w:sz w:val="24"/>
        </w:rPr>
        <w:t>1.1.2  研究意义</w:t>
      </w:r>
    </w:p>
    <w:p>
      <w:pPr>
        <w:ind w:firstLine="480"/>
        <w:jc w:val="both"/>
      </w:pPr>
      <w:r>
        <w:rPr>
          <w:rFonts w:ascii="宋体" w:hAnsi="宋体"/>
          <w:sz w:val="24"/>
        </w:rPr>
        <w:t>（一）理论意义</w:t>
      </w:r>
    </w:p>
    <w:p>
      <w:pPr>
        <w:jc w:val="both"/>
      </w:pPr>
      <w:r>
        <w:rPr>
          <w:rFonts w:ascii="宋体" w:hAnsi="宋体"/>
          <w:sz w:val="24"/>
        </w:rPr>
        <w:t>本研究将SEM与fsQCA两种方法系统整合，构建"净效应—组态效应"双重分析框架，丰富了集群电商发展影响因素研究的方法论路径，有助于突破传统线性因果分析的局限，为探索非线性、非对称因果关系提供新视角。同时，将信息化水平与数字化服务能力纳入中介机制的实证检验，深化了对农村电商集群发展内在机制的理论认知，为"条件—机制—结果"链条的理论建构提供实证支撑。</w:t>
      </w:r>
    </w:p>
    <w:p>
      <w:pPr>
        <w:ind w:firstLine="480"/>
        <w:jc w:val="both"/>
      </w:pPr>
      <w:r>
        <w:rPr>
          <w:rFonts w:ascii="宋体" w:hAnsi="宋体"/>
          <w:sz w:val="24"/>
        </w:rPr>
        <w:t>（二）实践意义</w:t>
      </w:r>
    </w:p>
    <w:p>
      <w:pPr>
        <w:jc w:val="both"/>
      </w:pPr>
      <w:r>
        <w:rPr>
          <w:rFonts w:ascii="宋体" w:hAnsi="宋体"/>
          <w:sz w:val="24"/>
        </w:rPr>
        <w:t>研究结论能够为烟台地区及同类农村电商集群的政策制定者与从业者提供差异化政策设计的实证依据。通过识别驱动集群电商经济高水平发展的关键因素及其条件组合，有助于地方政府精准配置政策资源，聚焦核心约束条件，形成因地制宜的集群电商扶持方案，切实提升政策干预的针对性与有效性。</w:t>
      </w:r>
    </w:p>
    <w:p>
      <w:pPr>
        <w:pStyle w:val="Heading2"/>
      </w:pPr>
      <w:r>
        <w:rPr>
          <w:rFonts w:ascii="黑体" w:hAnsi="黑体"/>
          <w:b/>
          <w:color w:val="000000"/>
          <w:sz w:val="24"/>
        </w:rPr>
        <w:t>1.2  研究内容</w:t>
      </w:r>
    </w:p>
    <w:p>
      <w:pPr>
        <w:ind w:firstLine="480"/>
        <w:jc w:val="both"/>
      </w:pPr>
      <w:r>
        <w:rPr>
          <w:rFonts w:ascii="宋体" w:hAnsi="宋体"/>
          <w:sz w:val="24"/>
        </w:rPr>
        <w:t>本研究以烟台地区集群电商经济发展水平（CDL）的影响因素与组态路径为核心议题，重点回答以下三个问题：其一，政府政策支持、人才支撑、技术创新与自然环境资源禀赋通过信息化水平与数字化服务能力对集群电商发展水平的直接效应与中介效应如何？其二，在多重前因条件的共同作用下，哪些条件组合能够引致集群电商经济的高水平发展？其三，上述条件组合是否存在多重等效路径，即"殊途同归"的现象？</w:t>
      </w:r>
    </w:p>
    <w:p>
      <w:pPr>
        <w:ind w:firstLine="480"/>
        <w:jc w:val="both"/>
      </w:pPr>
      <w:r>
        <w:rPr>
          <w:rFonts w:ascii="宋体" w:hAnsi="宋体"/>
          <w:sz w:val="24"/>
        </w:rPr>
        <w:t>本文共分六章，结构安排如下：</w:t>
      </w:r>
    </w:p>
    <w:p>
      <w:pPr>
        <w:jc w:val="both"/>
      </w:pPr>
      <w:r>
        <w:rPr>
          <w:rFonts w:ascii="宋体" w:hAnsi="宋体"/>
          <w:sz w:val="24"/>
        </w:rPr>
        <w:t>第一章为绪论，从研究背景与意义、研究内容、研究方法和创新点四个方面阐述研究的整体框架。</w:t>
      </w:r>
    </w:p>
    <w:p>
      <w:pPr>
        <w:jc w:val="both"/>
      </w:pPr>
      <w:r>
        <w:rPr>
          <w:rFonts w:ascii="宋体" w:hAnsi="宋体"/>
          <w:sz w:val="24"/>
        </w:rPr>
        <w:t>第二章为文献综述与理论基础，系统梳理集群电商发展影响因素的既有研究，回顾SEM与fsQCA的方法论演进，并明确本研究的理论基础与逻辑起点。</w:t>
      </w:r>
    </w:p>
    <w:p>
      <w:pPr>
        <w:jc w:val="both"/>
      </w:pPr>
      <w:r>
        <w:rPr>
          <w:rFonts w:ascii="宋体" w:hAnsi="宋体"/>
          <w:sz w:val="24"/>
        </w:rPr>
        <w:t>第三章为研究设计与数据收集，包括概念模型构建、研究假设提出、问卷设计、预调研检验及正式调研的数据收集过程，形成508份有效样本。</w:t>
      </w:r>
    </w:p>
    <w:p>
      <w:pPr>
        <w:jc w:val="both"/>
      </w:pPr>
      <w:r>
        <w:rPr>
          <w:rFonts w:ascii="宋体" w:hAnsi="宋体"/>
          <w:sz w:val="24"/>
        </w:rPr>
        <w:t>第四章为基于SEM的集群电商经济发展影响因素研究，运用AMOS软件进行验证性因子分析和路径检验，重点检验信息化水平与数字化服务能力在各前因变量与CDL之间的中介效应。</w:t>
      </w:r>
    </w:p>
    <w:p>
      <w:pPr>
        <w:jc w:val="both"/>
      </w:pPr>
      <w:r>
        <w:rPr>
          <w:rFonts w:ascii="宋体" w:hAnsi="宋体"/>
          <w:sz w:val="24"/>
        </w:rPr>
        <w:t>第五章为基于fsQCA的集群电商高水平发展组态路径研究，以政府政策支持、人才支撑、技术创新、自然环境资源禀赋为前因条件，通过校准、必要性检验、真值表分析识别引致CDL高水平的充分条件组合。</w:t>
      </w:r>
    </w:p>
    <w:p>
      <w:pPr>
        <w:jc w:val="both"/>
      </w:pPr>
      <w:r>
        <w:rPr>
          <w:rFonts w:ascii="宋体" w:hAnsi="宋体"/>
          <w:sz w:val="24"/>
        </w:rPr>
        <w:t>第六章为研究结论与政策建议，综合SEM与fsQCA的分析结果提炼主要发现，从整体与差异化视角提出政策建议，并讨论研究局限与未来展望。</w:t>
      </w:r>
    </w:p>
    <w:p>
      <w:pPr>
        <w:pStyle w:val="Heading2"/>
      </w:pPr>
      <w:r>
        <w:rPr>
          <w:rFonts w:ascii="黑体" w:hAnsi="黑体"/>
          <w:b/>
          <w:color w:val="000000"/>
          <w:sz w:val="24"/>
        </w:rPr>
        <w:t>1.3  研究方法</w:t>
      </w:r>
    </w:p>
    <w:p>
      <w:pPr>
        <w:ind w:firstLine="480"/>
        <w:jc w:val="both"/>
      </w:pPr>
      <w:r>
        <w:rPr>
          <w:rFonts w:ascii="宋体" w:hAnsi="宋体"/>
          <w:sz w:val="24"/>
        </w:rPr>
        <w:t>本研究综合运用以下四种方法：</w:t>
      </w:r>
    </w:p>
    <w:p>
      <w:pPr>
        <w:ind w:firstLine="480"/>
        <w:jc w:val="both"/>
      </w:pPr>
      <w:r>
        <w:rPr>
          <w:rFonts w:ascii="宋体" w:hAnsi="宋体"/>
          <w:sz w:val="24"/>
        </w:rPr>
        <w:t>（一）文献研究法</w:t>
      </w:r>
    </w:p>
    <w:p>
      <w:pPr>
        <w:jc w:val="both"/>
      </w:pPr>
      <w:r>
        <w:rPr>
          <w:rFonts w:ascii="宋体" w:hAnsi="宋体"/>
          <w:sz w:val="24"/>
        </w:rPr>
        <w:t>系统检索并梳理集群电商发展、SEM路径分析、fsQCA组态研究等相关文献，归纳既有研究的理论框架与方法路径，为本研究的模型构建和假设提出提供理论依据。</w:t>
      </w:r>
    </w:p>
    <w:p>
      <w:pPr>
        <w:ind w:firstLine="480"/>
        <w:jc w:val="both"/>
      </w:pPr>
      <w:r>
        <w:rPr>
          <w:rFonts w:ascii="宋体" w:hAnsi="宋体"/>
          <w:sz w:val="24"/>
        </w:rPr>
        <w:t>（二）问卷调查法</w:t>
      </w:r>
    </w:p>
    <w:p>
      <w:pPr>
        <w:jc w:val="both"/>
      </w:pPr>
      <w:r>
        <w:rPr>
          <w:rFonts w:ascii="宋体" w:hAnsi="宋体"/>
          <w:sz w:val="24"/>
        </w:rPr>
        <w:t>基于李克特五级量表（1="完全不同意"，5="完全同意"）设计结构化调查问卷，共设7个潜变量、每个潜变量3个测量题项，共21题，通过面对面和在线两种方式对烟台地区集群电商从业者开展调研，最终获得508份有效样本用于正式分析。量表设计与样本规模符合SEM与fsQCA联合使用的数据要求（吴怡，2022；Huang et al.，2024；Sun &amp; Shu，2025）。</w:t>
      </w:r>
    </w:p>
    <w:p>
      <w:pPr>
        <w:ind w:firstLine="480"/>
        <w:jc w:val="both"/>
      </w:pPr>
      <w:r>
        <w:rPr>
          <w:rFonts w:ascii="宋体" w:hAnsi="宋体"/>
          <w:sz w:val="24"/>
        </w:rPr>
        <w:t>（三）结构方程模型（SEM）</w:t>
      </w:r>
    </w:p>
    <w:p>
      <w:pPr>
        <w:jc w:val="both"/>
      </w:pPr>
      <w:r>
        <w:rPr>
          <w:rFonts w:ascii="宋体" w:hAnsi="宋体"/>
          <w:sz w:val="24"/>
        </w:rPr>
        <w:t>借助AMOS统计软件，采用验证性因子分析（CFA）检验测量模型的信度与效度（α&gt;0.8、因子负荷&gt;0.5、AVE&gt;0.5、CR&gt;0.7），并通过路径分析检验GP→IF→CDL、TS→IF→CDL、TI→DS→CDL、EN→DS→CDL的中介路径假设，关键路径系数的显著性判断以|C.R.|&gt;1.96为标准。模型拟合质量的评估指标包括X²/df&lt;5、RMSEA&lt;0.08、CFI/TLI/IFI&gt;0.90。</w:t>
      </w:r>
    </w:p>
    <w:p>
      <w:pPr>
        <w:ind w:firstLine="480"/>
        <w:jc w:val="both"/>
      </w:pPr>
      <w:r>
        <w:rPr>
          <w:rFonts w:ascii="宋体" w:hAnsi="宋体"/>
          <w:sz w:val="24"/>
        </w:rPr>
        <w:t>（四）模糊集定性比较分析（fsQCA）</w:t>
      </w:r>
    </w:p>
    <w:p>
      <w:pPr>
        <w:jc w:val="both"/>
      </w:pPr>
      <w:r>
        <w:rPr>
          <w:rFonts w:ascii="宋体" w:hAnsi="宋体"/>
          <w:sz w:val="24"/>
        </w:rPr>
        <w:t>基于Ragin（2008）的方法论框架，运用fsQCA 3.0软件进行数据校准（采用P5/P50/P95三锚点直接校准法）、必要性条件检验（覆盖度阈值&lt;0.9排除必要条件）、真值表构建（频率阈值≥3、一致性阈值≥0.85）以及充分条件组合的标准分析，最终识别引致集群电商经济高水平发展的等效路径集合（杜运周、贾良定，2017；杜运周等，2020，2022，《管理世界》；Greckhamer et al.，2018，Strategic Organization）。</w:t>
      </w:r>
    </w:p>
    <w:p>
      <w:pPr>
        <w:pStyle w:val="Heading2"/>
      </w:pPr>
      <w:r>
        <w:rPr>
          <w:rFonts w:ascii="黑体" w:hAnsi="黑体"/>
          <w:b/>
          <w:color w:val="000000"/>
          <w:sz w:val="24"/>
        </w:rPr>
        <w:t>1.4  创新点</w:t>
      </w:r>
    </w:p>
    <w:p>
      <w:pPr>
        <w:ind w:firstLine="480"/>
        <w:jc w:val="both"/>
      </w:pPr>
      <w:r>
        <w:rPr>
          <w:rFonts w:ascii="宋体" w:hAnsi="宋体"/>
          <w:sz w:val="24"/>
        </w:rPr>
        <w:t>本研究的主要创新点体现在以下三个方面：</w:t>
      </w:r>
    </w:p>
    <w:p>
      <w:pPr>
        <w:ind w:firstLine="480"/>
        <w:jc w:val="both"/>
      </w:pPr>
      <w:r>
        <w:rPr>
          <w:rFonts w:ascii="宋体" w:hAnsi="宋体"/>
          <w:sz w:val="24"/>
        </w:rPr>
        <w:t>（一）研究视角创新：构建"净效应—组态效应"双重因果分析框架</w:t>
      </w:r>
    </w:p>
    <w:p>
      <w:pPr>
        <w:jc w:val="both"/>
      </w:pPr>
      <w:r>
        <w:rPr>
          <w:rFonts w:ascii="宋体" w:hAnsi="宋体"/>
          <w:sz w:val="24"/>
        </w:rPr>
        <w:t>已有集群电商研究或采用SEM检验单一路径，或采用fsQCA识别条件组合，鲜有将二者系统整合。本研究在同一数据集上依次运行SEM与fsQCA，以SEM厘清各前因变量的直接效应与中介效应，以fsQCA揭示多重充分条件组合的"殊途同归"路径，实现了两种方法的优势互补与相互印证，为集群电商发展研究提供了方法论上的整合范式。</w:t>
      </w:r>
    </w:p>
    <w:p>
      <w:pPr>
        <w:ind w:firstLine="480"/>
        <w:jc w:val="both"/>
      </w:pPr>
      <w:r>
        <w:rPr>
          <w:rFonts w:ascii="宋体" w:hAnsi="宋体"/>
          <w:sz w:val="24"/>
        </w:rPr>
        <w:t>（二）变量体系创新：引入双重中介机制</w:t>
      </w:r>
    </w:p>
    <w:p>
      <w:pPr>
        <w:jc w:val="both"/>
      </w:pPr>
      <w:r>
        <w:rPr>
          <w:rFonts w:ascii="宋体" w:hAnsi="宋体"/>
          <w:sz w:val="24"/>
        </w:rPr>
        <w:t>在现有研究多聚焦单一中介变量的基础上，本研究将信息化水平（IF）与数字化服务能力（DS）作为并行中介变量纳入分析框架，构建了"政策/人才→信息化→集群发展"与"技术/资源→数字化服务→集群发展"两条独立中介路径，系统区分了不同类型前因条件的作用机制，丰富了集群电商发展的中介机制研究。</w:t>
      </w:r>
    </w:p>
    <w:p>
      <w:pPr>
        <w:ind w:firstLine="480"/>
        <w:jc w:val="both"/>
      </w:pPr>
      <w:r>
        <w:rPr>
          <w:rFonts w:ascii="宋体" w:hAnsi="宋体"/>
          <w:sz w:val="24"/>
        </w:rPr>
        <w:t>（三）情景贡献创新：聚焦烟台特色农产品电商集群</w:t>
      </w:r>
    </w:p>
    <w:p>
      <w:pPr>
        <w:jc w:val="both"/>
      </w:pPr>
      <w:r>
        <w:rPr>
          <w:rFonts w:ascii="宋体" w:hAnsi="宋体"/>
          <w:sz w:val="24"/>
        </w:rPr>
        <w:t>现有fsQCA研究在农村电商集群情景中的应用仍较为有限，且多以全国性或跨区域数据为研究对象。本研究以烟台地区苹果、大樱桃、海产品等特色农产品电商集群为研究情景，基于508份在地调研样本，识别了在特定资源禀赋与政策环境下促进集群电商高水平发展的四条等效组态路径，为其他具有类似资源禀赋特征的农村电商集群提供了可借鉴的实证经验与政策参考。</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