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w:t>
      </w:r>
      <w:r>
        <w:rPr>
          <w:rFonts w:hint="eastAsia" w:ascii="宋体" w:hAnsi="宋体" w:cs="宋体"/>
          <w:color w:val="000000"/>
          <w:kern w:val="0"/>
          <w:sz w:val="24"/>
          <w:szCs w:val="24"/>
          <w:lang w:val="en-US" w:eastAsia="zh-CN" w:bidi="ar"/>
        </w:rPr>
        <w:t>农村</w:t>
      </w:r>
      <w:bookmarkStart w:id="60" w:name="_GoBack"/>
      <w:bookmarkEnd w:id="60"/>
      <w:r>
        <w:rPr>
          <w:rFonts w:ascii="宋体" w:hAnsi="宋体" w:eastAsia="宋体" w:cs="宋体"/>
          <w:color w:val="000000"/>
          <w:kern w:val="0"/>
          <w:sz w:val="24"/>
          <w:szCs w:val="24"/>
          <w:lang w:val="en-US" w:eastAsia="zh-CN" w:bidi="ar"/>
        </w:rPr>
        <w:t>地区集群电商为研究对象，基于 TOE 框架构建整合分析模型，确定政府政策与集群治理、人才支撑、基础设施建设、技术创新水平、本地电商平台与数字技能、自然环境与资源禀赋六大核心影响维度，采用 SEM 与 fsQCA 混合研究方法，系统探究集群电商发展的影响机制与高绩效组态路径。</w:t>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r>
      <w:r>
        <w:rPr>
          <w:b/>
          <w:sz w:val="28"/>
          <w:szCs w:val="28"/>
        </w:rPr>
        <w:t>关键词：</w:t>
      </w:r>
      <w:bookmarkStart w:id="15" w:name="_Toc355614274"/>
      <w:bookmarkStart w:id="16" w:name="_Toc355274224"/>
      <w:bookmarkStart w:id="17" w:name="_Toc355361238"/>
      <w:bookmarkStart w:id="18" w:name="_Toc355274958"/>
      <w:bookmarkStart w:id="19" w:name="_Toc355807472"/>
      <w:bookmarkStart w:id="20" w:name="_Toc355204233"/>
      <w:r>
        <w:rPr>
          <w:szCs w:val="28"/>
        </w:rPr>
        <w:t>农村电商集群</w:t>
      </w:r>
      <w:r>
        <w:rPr>
          <w:rFonts w:hint="eastAsia"/>
          <w:szCs w:val="28"/>
          <w:lang w:eastAsia="zh-CN"/>
        </w:rPr>
        <w:t>，</w:t>
      </w:r>
      <w:r>
        <w:rPr>
          <w:szCs w:val="28"/>
        </w:rPr>
        <w:t>SEM</w:t>
      </w:r>
      <w:r>
        <w:rPr>
          <w:rFonts w:hint="eastAsia"/>
          <w:szCs w:val="28"/>
          <w:lang w:eastAsia="zh-CN"/>
        </w:rPr>
        <w:t>，</w:t>
      </w:r>
      <w:r>
        <w:rPr>
          <w:szCs w:val="28"/>
        </w:rPr>
        <w:t>fsQCA</w:t>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 xml:space="preserve">Taking Yantai's cluster e-commerce as the research object, this paper constructs an integrated analysis model based on the TOE framework, determines six core influence dimensions: government policy and cluster governance, talent support, infrastructure construction, technological innovation level, local e-commerce platform and digital skills, natural environment and resource endowment, and systematically explores the influence mechanism and high-performance configuration path of cluster e-commerce development by using the mixed research method of SEM and fsQCA. </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w:t>
      </w:r>
      <w:bookmarkStart w:id="27" w:name="OLE_LINK7"/>
      <w:r>
        <w:rPr>
          <w:rFonts w:ascii="宋体" w:hAnsi="宋体" w:eastAsia="宋体" w:cs="宋体"/>
          <w:sz w:val="24"/>
          <w:szCs w:val="24"/>
        </w:rPr>
        <w:t>Cluster E-commerce</w:t>
      </w:r>
      <w:r>
        <w:rPr>
          <w:rFonts w:hint="eastAsia" w:ascii="宋体" w:hAnsi="宋体" w:cs="宋体"/>
          <w:sz w:val="24"/>
          <w:szCs w:val="24"/>
          <w:lang w:eastAsia="zh-CN"/>
        </w:rPr>
        <w:t>，</w:t>
      </w:r>
      <w:r>
        <w:rPr>
          <w:rFonts w:ascii="宋体" w:hAnsi="宋体" w:eastAsia="宋体" w:cs="宋体"/>
          <w:sz w:val="24"/>
          <w:szCs w:val="24"/>
        </w:rPr>
        <w:t>Structural Equation Model</w:t>
      </w:r>
      <w:r>
        <w:rPr>
          <w:rFonts w:hint="eastAsia" w:ascii="宋体" w:hAnsi="宋体" w:cs="宋体"/>
          <w:sz w:val="24"/>
          <w:szCs w:val="24"/>
          <w:lang w:eastAsia="zh-CN"/>
        </w:rPr>
        <w:t>，</w:t>
      </w:r>
      <w:r>
        <w:rPr>
          <w:rFonts w:ascii="宋体" w:hAnsi="宋体" w:eastAsia="宋体" w:cs="宋体"/>
          <w:sz w:val="24"/>
          <w:szCs w:val="24"/>
        </w:rPr>
        <w:t>fsQCA</w:t>
      </w:r>
      <w:r>
        <w:rPr>
          <w:color w:val="000000" w:themeColor="text1"/>
          <w:sz w:val="28"/>
          <w:szCs w:val="28"/>
          <w14:textFill>
            <w14:solidFill>
              <w14:schemeClr w14:val="tx1"/>
            </w14:solidFill>
          </w14:textFill>
        </w:rPr>
        <w:t xml:space="preserve"> </w:t>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tab/>
        <w:t>1</w:t>
      </w:r>
      <w:r/>
      <w:r/>
      <w:r>
        <w:rPr>
          <w:szCs w:val="21"/>
          <w:lang w:val="en-US"/>
        </w:rPr>
      </w:r>
      <w:r>
        <w:rPr>
          <w:rFonts w:hint="eastAsia"/>
          <w:szCs w:val="21"/>
          <w:lang w:val="en-US" w:eastAsia="zh-CN"/>
        </w:rPr>
      </w:r>
      <w:r/>
      <w:r/>
      <w:r/>
      <w:r/>
      <w:r/>
      <w:r/>
      <w:r>
        <w:rPr>
          <w:color w:val="000000"/>
        </w:rPr>
      </w:r>
    </w:p>
    <w:p w14:paraId="2E6745E5">
      <w:pPr>
        <w:pStyle w:val="26"/>
        <w:tabs>
          <w:tab w:val="right" w:leader="dot" w:pos="8787"/>
        </w:tabs>
      </w:pPr>
      <w:r>
        <w:rPr>
          <w:color w:val="000000"/>
        </w:rPr>
        <w:t>1.2国内外研究现状（文献综述）</w:t>
        <w:tab/>
        <w:t>2</w:t>
      </w:r>
      <w:r/>
      <w:r/>
      <w:r>
        <w:rPr>
          <w:szCs w:val="21"/>
          <w:lang w:val="en-US"/>
        </w:rPr>
      </w:r>
      <w:r>
        <w:rPr>
          <w:rFonts w:hint="eastAsia"/>
          <w:szCs w:val="21"/>
          <w:lang w:val="en-US" w:eastAsia="zh-CN"/>
        </w:rPr>
      </w:r>
      <w:r/>
      <w:r/>
      <w:r/>
      <w:r/>
      <w:r/>
      <w:r/>
      <w:r>
        <w:rPr>
          <w:color w:val="000000"/>
        </w:rPr>
      </w:r>
    </w:p>
    <w:p w14:paraId="15C24EF9">
      <w:pPr>
        <w:pStyle w:val="26"/>
        <w:tabs>
          <w:tab w:val="right" w:leader="dot" w:pos="8787"/>
        </w:tabs>
      </w:pPr>
      <w:r>
        <w:rPr>
          <w:color w:val="000000"/>
        </w:rPr>
        <w:t>1.3研究内容</w:t>
        <w:tab/>
        <w:t>5</w:t>
      </w:r>
      <w:r/>
      <w:r/>
      <w:r>
        <w:rPr>
          <w:szCs w:val="21"/>
          <w:lang w:val="en-US"/>
        </w:rPr>
      </w:r>
      <w:r>
        <w:rPr>
          <w:rFonts w:hint="eastAsia"/>
          <w:szCs w:val="21"/>
          <w:lang w:val="en-US" w:eastAsia="zh-CN"/>
        </w:rPr>
      </w:r>
      <w:r/>
      <w:r/>
      <w:r/>
      <w:r/>
      <w:r/>
      <w:r/>
      <w:r>
        <w:rPr>
          <w:color w:val="000000"/>
        </w:rPr>
      </w:r>
    </w:p>
    <w:p w14:paraId="153A603F">
      <w:pPr>
        <w:pStyle w:val="26"/>
        <w:tabs>
          <w:tab w:val="right" w:leader="dot" w:pos="8787"/>
        </w:tabs>
      </w:pPr>
      <w:r>
        <w:rPr>
          <w:color w:val="000000"/>
        </w:rPr>
        <w:t>1.4研究创新点</w:t>
        <w:tab/>
        <w:t>6</w:t>
      </w:r>
      <w:r/>
      <w:r/>
      <w:r>
        <w:rPr>
          <w:szCs w:val="21"/>
          <w:lang w:val="en-US"/>
        </w:rPr>
      </w:r>
      <w:r>
        <w:rPr>
          <w:rFonts w:hint="eastAsia"/>
          <w:szCs w:val="21"/>
          <w:lang w:val="en-US" w:eastAsia="zh-CN"/>
        </w:rPr>
      </w:r>
      <w:r/>
      <w:r/>
      <w:r/>
      <w:r/>
      <w:r/>
      <w:r/>
      <w:r>
        <w:rPr>
          <w:color w:val="000000"/>
        </w:rPr>
      </w:r>
    </w:p>
    <w:p w14:paraId="43AA79C8">
      <w:pPr>
        <w:pStyle w:val="26"/>
        <w:tabs>
          <w:tab w:val="right" w:leader="dot" w:pos="8787"/>
        </w:tabs>
      </w:pPr>
      <w:r>
        <w:rPr>
          <w:color w:val="000000"/>
        </w:rPr>
        <w:t>1.5研究方法与技术路线</w:t>
        <w:tab/>
        <w:t>7</w:t>
      </w:r>
      <w:r/>
      <w:r/>
      <w:r>
        <w:rPr>
          <w:szCs w:val="21"/>
          <w:lang w:val="en-US"/>
        </w:rPr>
      </w:r>
      <w:r/>
      <w:r/>
      <w:r/>
      <w:r/>
      <w:r/>
      <w:r/>
      <w:r>
        <w:rPr>
          <w:color w:val="000000"/>
        </w:rPr>
      </w:r>
    </w:p>
    <w:p w14:paraId="470A8012">
      <w:pPr>
        <w:pStyle w:val="24"/>
        <w:tabs>
          <w:tab w:val="right" w:leader="dot" w:pos="8787"/>
          <w:tab w:val="clear" w:pos="8777"/>
        </w:tabs>
      </w:pPr>
      <w:r>
        <w:rPr>
          <w:color w:val="000000"/>
        </w:rPr>
        <w:t>第二章 理论基础</w:t>
        <w:tab/>
        <w:t>8</w:t>
      </w:r>
      <w:r/>
      <w:r/>
      <w:r>
        <w:rPr>
          <w:rFonts w:hint="eastAsia"/>
          <w:lang w:val="en-US" w:eastAsia="zh-CN"/>
        </w:rPr>
      </w:r>
      <w:r/>
      <w:r/>
      <w:r/>
      <w:r/>
      <w:r/>
      <w:r/>
      <w:r/>
      <w:r>
        <w:rPr>
          <w:color w:val="000000"/>
        </w:rPr>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tab/>
        <w:t>8</w:t>
      </w:r>
      <w:r/>
      <w:r/>
      <w:r/>
      <w:r>
        <w:rPr>
          <w:rFonts w:hint="eastAsia"/>
          <w:lang w:val="en-US" w:eastAsia="zh-CN"/>
        </w:rPr>
      </w:r>
      <w:r/>
      <w:r/>
      <w:r/>
      <w:r/>
      <w:r/>
      <w:r/>
      <w:r>
        <w:rPr>
          <w:color w:val="000000"/>
        </w:rPr>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pPr>
        <w:pStyle w:val="toc 2"/>
      </w:pPr>
      <w:r>
        <w:t>3.6预调研结果分析	13</w:t>
      </w:r>
    </w:p>
    <w:p>
      <w:pPr>
        <w:pStyle w:val="toc 2"/>
      </w:pPr>
      <w:r>
        <w:t>3.6预调研结果分析	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r>
        <w:rPr>
          <w:rFonts w:hint="eastAsia"/>
          <w:szCs w:val="21"/>
          <w:lang w:val="en-US" w:eastAsia="zh-CN"/>
        </w:rPr>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时代背景：当前，数字经济已成为驱动我国经济高质量发展的重要引擎。《中华人民共和国国民经济和社会发展第十四个五年规划和2035年远景目标纲要》明确提出"加快数字化发展，建设数字中国"，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政策背景：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农村电商提质增效实施方案》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地区背景与现实问题：烟台作为胶东半岛经济圈的核心城市，拥有栖霞苹果、蓬莱葡萄酒、长岛海产等具有全国影响力的特色产业资源，为农村电商集群的形成与发展奠定了坚实的物质基础。然而，烟台农村电商集群发展面临三方面突出问题：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上述问题的存在，制约了烟台农村电商集群的高质量、可持续发展，亟需通过系统性的实证研究加以解答。本文的研究，正是回应这一现实需求的具体尝试。</w:t>
      </w:r>
    </w:p>
    <w:p>
      <w:pPr>
        <w:pStyle w:val="Normal"/>
      </w:pPr>
      <w:r>
        <w:t xml:space="preserve">研究意义：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pPr>
        <w:pStyle w:val="Normal"/>
      </w:pPr>
      <w:r>
        <w:t xml:space="preserve">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1.2国内外研究现状（文献综述）</w:t>
      </w:r>
      <w:r>
        <w:rPr>
          <w:rFonts w:hint="eastAsia"/>
          <w:szCs w:val="21"/>
          <w:lang w:val="en-US" w:eastAsia="zh-CN"/>
        </w:rPr>
      </w:r>
      <w:bookmarkEnd w:id="39"/>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本文围绕研究核心议题，以"农村电商集群""县域电商""集群发展影响因素""资源编排""SEM""fsQCA"等为核心关键词，综合检索中国知网（CNKI）、万方数据、Web of Science等数据库中的期刊论文、学位论文及相关理论著作，遵循"时间就近原则、期刊与作者权威原则、内容差异化原则、与选题相关性原则"筛选文献，按照"搜集文献→整理文献→阅读文献→梳理文献→评述文献"的规范化流程，系统梳理如下。</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1.2.1集群电商发展相关研究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外关于集群电商的研究，最早可追溯至产业集群理论在电子商务领域的应用。Porto等（2021）通过对巴西农村电商集聚区域的研究，将集群电商定义为"依托数字平台，在特定地域内形成的、以特色产业为核心的电商企业与配套机构的空间集聚体"，并指出其核心价值在于降低中小经营主体的市场准入门槛，实现小生产与大市场的有效对接。Tan等（2022）的研究则表明，电商集群内部的专业化分工与协作，能够显著提升集群整体的市场响应能力与规模效益，形成单一主体难以复制的集群竞争优势。</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关于集群电商的研究，伴随淘宝村、电商产业带的快速发展逐步深化。史修松等（2017）基于江苏淘宝村的调研，将农村电商集群划分为资源基础型、产业带动型与能人驱动型三类，分析了不同模式的形成机理。郭承龙（2019）从产业演化视角，将集群电商的发展划分为萌芽期、成长期与成熟期三个阶段，并指出政策推动与市场选择是集群演化的双重驱动力。李想等（2023）进一步指出，集群电商的高质量发展依赖于地方特色资源与数字化能力的协同整合，单纯的规模扩张难以实现持续竞争优势。</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1.2.2电商发展影响因素相关研究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外学者围绕电商发展的影响因素，开展了大量实证研究，相关成果与本文的研究模型高度契合。在政府政策与集群治理方面，梁强等（2016）基于广东军埔电商集群的案例研究，指出政府的政策扶持、产业规划与公共服务供给，对集群电商的形成与发展具有关键推动作用。Cui等（2019）强调，完善的集群内部治理机制是集群电商实现可持续发展的核心组织保障。</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在人才支撑方面，邱泽奇等（2021）指出，电商专业人才的供给不足是制约县域电商发展的核心瓶颈，从业者的数字技能与运营能力直接决定了集群发展水平。在基础设施建设方面，董坤祥等（2016）的研究表明，交通物流、仓储冷链、网络通信等基础设施是集群电商发展的基础保障。在技术创新水平方面，易法敏等（2022）指出，大数据、人工智能、直播技术等数字化技术的应用，能够显著提升集群电商的转型升级能力。在本地电商平台与数字技能方面，张伟（2024）的SEM实证研究表明，电商平台功能支持与从业者数字技能均对集群发展水平具有显著正向影响。在资源禀赋方面，唐艺等（2021）以江苏沭阳花木电商集群为例，指出本地特色资源是集群电商形成的核心前提，资源整合利用效率直接决定集群的核心竞争力。</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1.2.3 SEM与fsQCA混合方法的应用研究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SEM与fsQCA混合方法能够同时实现线性因果验证与组态效应分析，近年来被广泛应用于管理学、经济学等领域。在国内研究中，易明等（2018）最早采用该混合方法研究员工沉默行为，毕达天等（2021）用于分析科研人员数据素养的影响因素，均验证了混合方法在揭示复杂因果机制中的独特价值。在国外研究中，Um等（2023）采用SEM与fsQCA混合方法研究旅游移动商务中消费者冲动购买意愿，Zheng等（2023）基于该混合方法研究在线学习质量对大学生持续学习意愿的影响，进一步拓展了混合方法的应用边界。</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1.2.4研究述评与研究切入点</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综上所述，国内外关于集群电商的研究已取得丰硕成果，为本文奠定了坚实的理论基础，但现有研究仍存在三方面不足：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第一，研究情境存在区域空白。现有研究多以浙江、江苏等南方电商发达地区为样本，针对烟台北方沿海特色产业产区的本土化实证研究极为匮乏，现有结论的本土化适配性不足。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第二，研究维度存在同质化局限。现有研究多聚焦政策、基建、技术等通用维度，鲜有研究将本地资源禀赋、特色平台建设等区域特色变量纳入整合分析框架，难以精准解释烟台集群电商的独特发展逻辑。</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2DBEDEE4">
      <w:pPr>
        <w:spacing w:line="400" w:lineRule="exact"/>
        <w:ind w:left="0" w:leftChars="0" w:firstLine="0" w:firstLineChars="0"/>
        <w:rPr>
          <w:rFonts w:hint="eastAsia" w:ascii="Times New Roman" w:hAnsi="Times New Roman"/>
          <w:lang w:val="en-US" w:eastAsia="zh-CN"/>
        </w:rPr>
      </w:pP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1.3研究内容</w:t>
      </w:r>
      <w:r>
        <w:rPr>
          <w:rFonts w:hint="eastAsia"/>
          <w:szCs w:val="21"/>
          <w:lang w:val="en-US" w:eastAsia="zh-CN"/>
        </w:rPr>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r>
        <w:rPr>
          <w:rFonts w:hint="eastAsia" w:ascii="Times New Roman" w:hAnsi="Times New Roman"/>
          <w:lang w:val="en-US" w:eastAsia="zh-CN"/>
        </w:rPr>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b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b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b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b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b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5" w:name="_Toc17945"/>
      <w:r>
        <w:rPr>
          <w:szCs w:val="21"/>
          <w:lang w:val="en-US"/>
        </w:rPr>
        <w:t>1.4研究创新点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w:t>
      </w:r>
      <w:r>
        <w:rPr>
          <w:color w:val="000000"/>
          <w:sz w:val="24"/>
          <w:szCs w:val="24"/>
        </w:rPr>
        <w:t>：本文采用 “先变量、后组态” 的 SEM 与 fsQCA 混合研究设计，既通过 SEM 验证了单因素的线性影响机制，又通过 fsQCA 揭示了多因素联动的非线性组态效应，实现了两种方法的优势互补，研究结论兼具严谨性与实践适配性。</w:t>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w:t>
      </w:r>
      <w:r>
        <w:rPr>
          <w:color w:val="000000"/>
          <w:sz w:val="24"/>
          <w:szCs w:val="24"/>
        </w:rPr>
        <w:t>：本文聚焦烟台地区集群电商这一具体场景，深入挖掘北方沿海特色产业产区电商发展的独特性与瓶颈问题，避免了现有研究结论的 “平均化”，提出的对策建议更具针对性与可落地性，填补了区域本土化研究的空白。</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1.5研究方法与技术路线</w:t>
      </w:r>
      <w:r>
        <w:rPr>
          <w:rFonts w:hint="eastAsia"/>
          <w:szCs w:val="21"/>
          <w:lang w:val="en-US" w:eastAsia="zh-CN"/>
        </w:rPr>
      </w:r>
      <w:bookmarkEnd w:id="44"/>
    </w:p>
    <w:p>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w:t>
      </w:r>
      <w:r>
        <w:rPr>
          <w:color w:val="000000"/>
          <w:sz w:val="24"/>
          <w:szCs w:val="24"/>
        </w:rPr>
        <w:t>：采用 AMOS 软件开展 SEM 分析，用于检验六大维度潜变量之间的因果关系，验证各维度变量对烟台集群电商发展的直接影响，明确各因素的作用强度与显著性。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2B2FFDD4">
      <w:pPr>
        <w:spacing w:line="400" w:lineRule="exact"/>
        <w:ind w:firstLine="480"/>
        <w:rPr>
          <w:rFonts w:hint="eastAsia" w:eastAsia="宋体"/>
          <w:lang w:eastAsia="zh-CN"/>
        </w:rPr>
      </w:pPr>
      <w:r>
        <w:rPr>
          <w:rFonts w:ascii="宋体" w:hAnsi="宋体" w:eastAsia="宋体" w:cs="宋体"/>
          <w:sz w:val="24"/>
          <w:szCs w:val="24"/>
        </w:rPr>
        <w:t>本文严格遵循 “理论构建 - 研究设计 - 数据收集 - 实证分析 - 结论建议” 的学术研究流程，技术路线如下：</w:t>
      </w:r>
      <w:r>
        <w:rPr>
          <w:rFonts w:hint="eastAsia" w:ascii="宋体" w:hAnsi="宋体" w:cs="宋体"/>
          <w:sz w:val="24"/>
          <w:szCs w:val="24"/>
          <w:lang w:eastAsia="zh-CN"/>
        </w:rPr>
        <w:t>（</w:t>
      </w:r>
      <w:r>
        <w:rPr>
          <w:rFonts w:hint="eastAsia" w:ascii="宋体" w:hAnsi="宋体" w:cs="宋体"/>
          <w:b/>
          <w:bCs/>
          <w:color w:val="FF0000"/>
          <w:sz w:val="24"/>
          <w:szCs w:val="24"/>
          <w:lang w:val="en-US" w:eastAsia="zh-CN"/>
        </w:rPr>
        <w:t>根据后续分析结果 有待修改</w:t>
      </w:r>
      <w:r>
        <w:rPr>
          <w:rFonts w:hint="eastAsia" w:ascii="宋体" w:hAnsi="宋体" w:cs="宋体"/>
          <w:sz w:val="24"/>
          <w:szCs w:val="24"/>
          <w:lang w:eastAsia="zh-CN"/>
        </w:rPr>
        <w:t>）</w:t>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1.5.2技术路线</w:t>
      </w:r>
      <w:r>
        <w:rPr>
          <w:rFonts w:hint="eastAsia"/>
          <w:color w:val="000000"/>
          <w:sz w:val="24"/>
          <w:szCs w:val="24"/>
          <w:lang w:val="en-US" w:eastAsia="zh-CN"/>
        </w:rPr>
      </w:r>
      <w:r>
        <w:rPr>
          <w:color w:val="000000"/>
          <w:sz w:val="24"/>
          <w:szCs w:val="24"/>
        </w:rPr>
      </w:r>
      <w:r>
        <w:rPr>
          <w:rFonts w:hint="eastAsia"/>
          <w:color w:val="000000"/>
          <w:sz w:val="24"/>
          <w:szCs w:val="24"/>
          <w:lang w:val="en-US" w:eastAsia="zh-CN"/>
        </w:rPr>
      </w:r>
    </w:p>
    <w:p w14:paraId="55DA8BE8">
      <w:pPr>
        <w:pStyle w:val="2"/>
        <w:spacing w:line="400" w:lineRule="exact"/>
      </w:pPr>
      <w:bookmarkStart w:id="46" w:name="_Toc1959"/>
      <w:r>
        <w:rPr>
          <w:rFonts w:hint="eastAsia"/>
          <w:lang w:val="en-US" w:eastAsia="zh-CN"/>
        </w:rPr>
        <w:t>第二章 理论基础</w:t>
      </w:r>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2.2理论基础</w:t>
      </w:r>
      <w:r>
        <w:rPr>
          <w:rFonts w:hint="eastAsia"/>
          <w:lang w:val="en-US" w:eastAsia="zh-CN"/>
        </w:rPr>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r>
        <w:rPr>
          <w:rFonts w:hint="eastAsia" w:ascii="Times New Roman" w:hAnsi="Times New Roman"/>
          <w:szCs w:val="21"/>
          <w:lang w:val="en-US" w:eastAsia="zh-CN"/>
        </w:rPr>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pPr>
        <w:pStyle w:val="Normal"/>
      </w:pPr>
      <w:r>
        <w:t xml:space="preserve">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r>
        <w:rPr>
          <w:rFonts w:hint="eastAsia" w:ascii="Times New Roman" w:hAnsi="Times New Roman"/>
          <w:szCs w:val="21"/>
          <w:lang w:val="en-US" w:eastAsia="zh-CN"/>
        </w:rPr>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pPr>
        <w:pStyle w:val="4"/>
      </w:pPr>
      <w:r>
        <w:t xml:space="preserve">2.2.3组态理论</w:t>
      </w:r>
    </w:p>
    <w:p>
      <w:pPr>
        <w:pStyle w:val="Normal"/>
      </w:pPr>
      <w:r>
        <w:t xml:space="preserve">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pPr>
        <w:pStyle w:val="Normal"/>
      </w:pPr>
      <w:r>
        <w:t xml:space="preserve">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Normal"/>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 SEM 的线性影响机制模型，用于验证六大维度核心变量对烟台集群电商发展水平的直接影响；二是基于 fsQCA 的组态效应模型，将六大核心变量作为前因条件，探究多因素联动匹配对集群电商高绩效发展的组合效应。</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w:t>
      </w:r>
      <w:r>
        <w:rPr>
          <w:rFonts w:hint="eastAsia" w:ascii="Times New Roman" w:hAnsi="Times New Roman"/>
          <w:lang w:val="en-US" w:eastAsia="zh-CN"/>
        </w:rPr>
        <w:t>直接效应研究假设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 TOE 框架与现有文献研究成果，结合烟台集群电商发展的实际情况，本文提出以下直接效应研究假设：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w:t>
      </w:r>
      <w:r>
        <w:rPr>
          <w:color w:val="000000"/>
          <w:sz w:val="24"/>
          <w:szCs w:val="24"/>
        </w:rPr>
        <w:t>：政府政策与集群治理对烟台集群电商发展水平具有显著正向影响。贴合本地需求的扶持政策、高效的统筹规划与治理、完善的监管服务体系，能够为集群电商发展营造良好的制度环境，推动产业规范化、规模化发展。</w:t>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w:t>
      </w:r>
      <w:r>
        <w:rPr>
          <w:color w:val="000000"/>
          <w:sz w:val="24"/>
          <w:szCs w:val="24"/>
        </w:rPr>
        <w:t>：人才支撑对烟台集群电商发展水平具有显著正向影响。充足的专业电商人才、完善的人才培育体系、较低的人才招聘留存难度，能够为集群电商发展提供核心人力资源支撑，提升集群的整体运营水平与创新能力。</w:t>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w:t>
      </w:r>
      <w:r>
        <w:rPr>
          <w:color w:val="000000"/>
          <w:sz w:val="24"/>
          <w:szCs w:val="24"/>
        </w:rPr>
        <w:t>：基础设施建设对烟台集群电商发展水平具有显著正向影响。完善的网络通信、物流仓储、交通路网等基础设施，能够降低电商经营成本，提升供应链效率，为集群电商发展提供坚实的硬件保障。</w:t>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H4</w:t>
      </w:r>
      <w:r>
        <w:rPr>
          <w:color w:val="000000"/>
          <w:sz w:val="24"/>
          <w:szCs w:val="24"/>
        </w:rPr>
        <w:t>：技术创新水平对烟台集群电商发展水平具有显著正向影响。数字化运营技术的普及、直播短视频等新技术的应用、完善的技术升级支持，能够推动集群电商数字化转型，提升经营效率与市场竞争力。</w:t>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H5</w:t>
      </w:r>
      <w:r>
        <w:rPr>
          <w:color w:val="000000"/>
          <w:sz w:val="24"/>
          <w:szCs w:val="24"/>
        </w:rPr>
        <w:t>：本地电商平台与数字技能对烟台集群电商发展水平具有显著正向影响。成熟的本地特色电商平台、从业者熟练的数字运营技能、强烈的数字化转型意愿，能够充分释放数字技术的赋能效应，推动集群电商高质量发展。</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H6</w:t>
      </w:r>
      <w:r>
        <w:rPr>
          <w:color w:val="000000"/>
          <w:sz w:val="24"/>
          <w:szCs w:val="24"/>
        </w:rPr>
        <w:t>：自然环境与资源禀赋对烟台集群电商发展水平具有显著正向影响。优越的自然环境、具有核心竞争力的特色资源、高效的资源整合利用效率，能够为集群电商发展构建差异化竞争优势，是产业可持续发展的核心依托。</w:t>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w:t>
      </w:r>
      <w:r>
        <w:rPr>
          <w:rFonts w:hint="eastAsia" w:ascii="Times New Roman" w:hAnsi="Times New Roman"/>
          <w:lang w:val="en-US" w:eastAsia="zh-CN"/>
        </w:rPr>
        <w:t>3</w:t>
      </w:r>
      <w:r>
        <w:rPr>
          <w:rFonts w:ascii="Times New Roman" w:hAnsi="Times New Roman"/>
        </w:rPr>
        <w:t>.</w:t>
      </w:r>
      <w:r>
        <w:rPr>
          <w:rFonts w:hint="eastAsia" w:ascii="Times New Roman" w:hAnsi="Times New Roman"/>
          <w:lang w:val="en-US" w:eastAsia="zh-CN"/>
        </w:rPr>
        <w:t>2组态路径研究猜想</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本文的核心变量测量题项，与用户提供的问卷内容 100% 匹配，具体如下：</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政府政策与集群治理，共 3 个测量题项：① 烟台政府出台的电商扶持政策贴合本地集群电商发展实际需求② 当地政府对电商集群的统筹规划与治理效率较高③ 政府部门对电商产业的监管与服务平衡度较好</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人才支撑，共 3 个测量题项：① 烟台本地具备充足的电商专业运营、技术类人才② 本地高校 / 培训机构能为电商行业输送适配的专业人才③ 电商企业人才招聘、留存的难度较低</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基础设施建设，共 3 个测量题项：① 烟台地区网络、5G 等数字化基础设施完善② 物流配送、仓储等电商配套基础设施布局合理③ 交通基础设施能满足电商货物运输需求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技术创新水平，共 3 个测量题项：① 本地电商企业普遍具备数字化运营技术应用能力② 大数据、直播、短视频等新技术在本地电商广泛应用③ 政府 / 行业能为电商主体提供技术升级支持</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本地电商平台与数字技能，共 3 个测量题项：① 烟台本地特色电商平台发展成熟、影响力较强② 电商从业者的数字操作与线上运营技能熟练③ 本地电商主体数字化转型的意愿较强</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自然环境与资源禀赋，共 3 个测量题项：① 烟台自然环境有利于特色电商产品的培育与生产② 本地特色资源能为集群电商发展提供核心竞争力③ 资源整合利用效率能支撑电商产业规模化发展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结果变量：集群电商发展水平，通过问卷中 “烟台地区集群电商经济整体发展水平”“经营主体数字化转型进度” 等题项进行综合测量。</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2，原始一致性阈值设定为 0.8，同时设定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pPr>
        <w:pStyle w:val="3"/>
      </w:pPr>
      <w:r>
        <w:t>3.6预调研结果分析</w:t>
      </w:r>
    </w:p>
    <w:p>
      <w:pPr>
        <w:pStyle w:val="Normal"/>
      </w:pPr>
      <w:r>
        <w:t xml:space="preserve">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50份问卷，全部为有效问卷（有效率100%）。以下依次报告预调研基本信息分析、信度检验与效度检验（含主成分分析）的结果。</w:t>
      </w:r>
    </w:p>
    <w:p>
      <w:pPr>
        <w:pStyle w:val="4"/>
      </w:pPr>
      <w:r>
        <w:t>3.6.1预调研基本信息分析</w:t>
      </w:r>
    </w:p>
    <w:p>
      <w:pPr>
        <w:pStyle w:val="Normal"/>
      </w:pPr>
      <w:r>
        <w:t xml:space="preserve">本次预调研共回收有效问卷50份，样本基本特征如下：性别方面，男性23人（46.0%），女性27人（54.0%），比例较均衡；年龄方面，21-30岁占28.0%，31-40岁与41-50岁各占26.0%，中青年为主；学历方面，初中及以下占50.0%，大专24.0%，本科20.0%，符合烟台电商从业者整体学历结构；居住地涵盖芝罘区（32.0%）、牟平区（28.0%）、莱山区（16.0%）等主要电商集聚区；月均收入以5001-8000元占比最高（36.0%）；职业类型中个体电商农户/商户占44.0%，电商企业经营者/管理者占22.0%，样本覆盖烟台集群电商核心参与主体，具有良好代表性。</w:t>
      </w:r>
    </w:p>
    <w:p>
      <w:pPr>
        <w:pStyle w:val="4"/>
      </w:pPr>
      <w:r>
        <w:t>3.6.2信度检验</w:t>
      </w:r>
    </w:p>
    <w:p>
      <w:pPr>
        <w:pStyle w:val="Normal"/>
      </w:pPr>
      <w:r>
        <w:t xml:space="preserve">本文采用Cronbach α系数对预调研数据（N=50）各维度量表进行信度检验，以评估题项内部一致性。通常认为α≥0.700表示量表具有可接受的信度（Nunnally，1978）。检验结果如表3-1所示。</w:t>
      </w:r>
    </w:p>
    <w:p>
      <w:pPr>
        <w:pStyle w:val="12"/>
        <w:jc w:val="center"/>
      </w:pPr>
      <w:r>
        <w:t>表3-1 各维度Cronbach α系数（预调研，N=50）</w:t>
      </w:r>
    </w:p>
    <w:tbl>
      <w:tblPr>
        <w:tblStyle w:val="TableGrid"/>
        <w:tblW w:w="8500" w:type="dxa"/>
      </w:tblPr>
      <w:tblGrid>
        <w:gridCol w:w="1416"/>
        <w:gridCol w:w="1416"/>
        <w:gridCol w:w="1416"/>
        <w:gridCol w:w="1416"/>
        <w:gridCol w:w="1416"/>
        <w:gridCol w:w="1416"/>
      </w:tblGrid>
      <w:tr>
        <w:tc>
          <w:tcPr>
            <w:tcW w:w="1416" w:type="dxa"/>
            <w:shd w:val="clear" w:color="auto" w:fill="DEEAF1"/>
          </w:tcPr>
          <w:p>
            <w:pPr>
              <w:jc w:val="center"/>
              <w:ind w:firstLine="0"/>
            </w:pPr>
            <w:r>
              <w:rPr>
                <w:b/>
              </w:rPr>
              <w:t xml:space="preserve">维度</w:t>
            </w:r>
          </w:p>
        </w:tc>
        <w:tc>
          <w:tcPr>
            <w:tcW w:w="1416" w:type="dxa"/>
            <w:shd w:val="clear" w:color="auto" w:fill="DEEAF1"/>
          </w:tcPr>
          <w:p>
            <w:pPr>
              <w:jc w:val="center"/>
              <w:ind w:firstLine="0"/>
            </w:pPr>
            <w:r>
              <w:rPr>
                <w:b/>
              </w:rPr>
              <w:t xml:space="preserve">量表缩写</w:t>
            </w:r>
          </w:p>
        </w:tc>
        <w:tc>
          <w:tcPr>
            <w:tcW w:w="1416" w:type="dxa"/>
            <w:shd w:val="clear" w:color="auto" w:fill="DEEAF1"/>
          </w:tcPr>
          <w:p>
            <w:pPr>
              <w:jc w:val="center"/>
              <w:ind w:firstLine="0"/>
            </w:pPr>
            <w:r>
              <w:rPr>
                <w:b/>
              </w:rPr>
              <w:t xml:space="preserve">题项数</w:t>
            </w:r>
          </w:p>
        </w:tc>
        <w:tc>
          <w:tcPr>
            <w:tcW w:w="1416" w:type="dxa"/>
            <w:shd w:val="clear" w:color="auto" w:fill="DEEAF1"/>
          </w:tcPr>
          <w:p>
            <w:pPr>
              <w:jc w:val="center"/>
              <w:ind w:firstLine="0"/>
            </w:pPr>
            <w:r>
              <w:rPr>
                <w:b/>
              </w:rPr>
              <w:t xml:space="preserve">Cronbach α系数</w:t>
            </w:r>
          </w:p>
        </w:tc>
        <w:tc>
          <w:tcPr>
            <w:tcW w:w="1416" w:type="dxa"/>
            <w:shd w:val="clear" w:color="auto" w:fill="DEEAF1"/>
          </w:tcPr>
          <w:p>
            <w:pPr>
              <w:jc w:val="center"/>
              <w:ind w:firstLine="0"/>
            </w:pPr>
            <w:r>
              <w:rPr>
                <w:b/>
              </w:rPr>
              <w:t xml:space="preserve">判断标准</w:t>
            </w:r>
          </w:p>
        </w:tc>
        <w:tc>
          <w:tcPr>
            <w:tcW w:w="1416" w:type="dxa"/>
            <w:shd w:val="clear" w:color="auto" w:fill="DEEAF1"/>
          </w:tcPr>
          <w:p>
            <w:pPr>
              <w:jc w:val="center"/>
              <w:ind w:firstLine="0"/>
            </w:pPr>
            <w:r>
              <w:rPr>
                <w:b/>
              </w:rPr>
              <w:t xml:space="preserve">结论</w:t>
            </w:r>
          </w:p>
        </w:tc>
      </w:tr>
      <w:tr>
        <w:tc>
          <w:tcPr>
            <w:tcW w:w="1416" w:type="dxa"/>
          </w:tcPr>
          <w:p>
            <w:pPr>
              <w:jc w:val="center"/>
              <w:ind w:firstLine="0"/>
            </w:pPr>
            <w:r>
              <w:t xml:space="preserve">政府政策与集群治理</w:t>
            </w:r>
          </w:p>
        </w:tc>
        <w:tc>
          <w:tcPr>
            <w:tcW w:w="1416" w:type="dxa"/>
          </w:tcPr>
          <w:p>
            <w:pPr>
              <w:jc w:val="center"/>
              <w:ind w:firstLine="0"/>
            </w:pPr>
            <w:r>
              <w:t xml:space="preserve">GP</w:t>
            </w:r>
          </w:p>
        </w:tc>
        <w:tc>
          <w:tcPr>
            <w:tcW w:w="1416" w:type="dxa"/>
          </w:tcPr>
          <w:p>
            <w:pPr>
              <w:jc w:val="center"/>
              <w:ind w:firstLine="0"/>
            </w:pPr>
            <w:r>
              <w:t xml:space="preserve">3</w:t>
            </w:r>
          </w:p>
        </w:tc>
        <w:tc>
          <w:tcPr>
            <w:tcW w:w="1416" w:type="dxa"/>
          </w:tcPr>
          <w:p>
            <w:pPr>
              <w:jc w:val="center"/>
              <w:ind w:firstLine="0"/>
            </w:pPr>
            <w:r>
              <w:t xml:space="preserve">0.926</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人才支撑</w:t>
            </w:r>
          </w:p>
        </w:tc>
        <w:tc>
          <w:tcPr>
            <w:tcW w:w="1416" w:type="dxa"/>
          </w:tcPr>
          <w:p>
            <w:pPr>
              <w:jc w:val="center"/>
              <w:ind w:firstLine="0"/>
            </w:pPr>
            <w:r>
              <w:t xml:space="preserve">TS</w:t>
            </w:r>
          </w:p>
        </w:tc>
        <w:tc>
          <w:tcPr>
            <w:tcW w:w="1416" w:type="dxa"/>
          </w:tcPr>
          <w:p>
            <w:pPr>
              <w:jc w:val="center"/>
              <w:ind w:firstLine="0"/>
            </w:pPr>
            <w:r>
              <w:t xml:space="preserve">3</w:t>
            </w:r>
          </w:p>
        </w:tc>
        <w:tc>
          <w:tcPr>
            <w:tcW w:w="1416" w:type="dxa"/>
          </w:tcPr>
          <w:p>
            <w:pPr>
              <w:jc w:val="center"/>
              <w:ind w:firstLine="0"/>
            </w:pPr>
            <w:r>
              <w:t xml:space="preserve">0.863</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基础设施建设</w:t>
            </w:r>
          </w:p>
        </w:tc>
        <w:tc>
          <w:tcPr>
            <w:tcW w:w="1416" w:type="dxa"/>
          </w:tcPr>
          <w:p>
            <w:pPr>
              <w:jc w:val="center"/>
              <w:ind w:firstLine="0"/>
            </w:pPr>
            <w:r>
              <w:t xml:space="preserve">IF</w:t>
            </w:r>
          </w:p>
        </w:tc>
        <w:tc>
          <w:tcPr>
            <w:tcW w:w="1416" w:type="dxa"/>
          </w:tcPr>
          <w:p>
            <w:pPr>
              <w:jc w:val="center"/>
              <w:ind w:firstLine="0"/>
            </w:pPr>
            <w:r>
              <w:t xml:space="preserve">3</w:t>
            </w:r>
          </w:p>
        </w:tc>
        <w:tc>
          <w:tcPr>
            <w:tcW w:w="1416" w:type="dxa"/>
          </w:tcPr>
          <w:p>
            <w:pPr>
              <w:jc w:val="center"/>
              <w:ind w:firstLine="0"/>
            </w:pPr>
            <w:r>
              <w:t xml:space="preserve">0.890</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技术创新水平</w:t>
            </w:r>
          </w:p>
        </w:tc>
        <w:tc>
          <w:tcPr>
            <w:tcW w:w="1416" w:type="dxa"/>
          </w:tcPr>
          <w:p>
            <w:pPr>
              <w:jc w:val="center"/>
              <w:ind w:firstLine="0"/>
            </w:pPr>
            <w:r>
              <w:t xml:space="preserve">TI</w:t>
            </w:r>
          </w:p>
        </w:tc>
        <w:tc>
          <w:tcPr>
            <w:tcW w:w="1416" w:type="dxa"/>
          </w:tcPr>
          <w:p>
            <w:pPr>
              <w:jc w:val="center"/>
              <w:ind w:firstLine="0"/>
            </w:pPr>
            <w:r>
              <w:t xml:space="preserve">3</w:t>
            </w:r>
          </w:p>
        </w:tc>
        <w:tc>
          <w:tcPr>
            <w:tcW w:w="1416" w:type="dxa"/>
          </w:tcPr>
          <w:p>
            <w:pPr>
              <w:jc w:val="center"/>
              <w:ind w:firstLine="0"/>
            </w:pPr>
            <w:r>
              <w:t xml:space="preserve">0.894</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本地电商平台与数字技能</w:t>
            </w:r>
          </w:p>
        </w:tc>
        <w:tc>
          <w:tcPr>
            <w:tcW w:w="1416" w:type="dxa"/>
          </w:tcPr>
          <w:p>
            <w:pPr>
              <w:jc w:val="center"/>
              <w:ind w:firstLine="0"/>
            </w:pPr>
            <w:r>
              <w:t xml:space="preserve">DS</w:t>
            </w:r>
          </w:p>
        </w:tc>
        <w:tc>
          <w:tcPr>
            <w:tcW w:w="1416" w:type="dxa"/>
          </w:tcPr>
          <w:p>
            <w:pPr>
              <w:jc w:val="center"/>
              <w:ind w:firstLine="0"/>
            </w:pPr>
            <w:r>
              <w:t xml:space="preserve">3</w:t>
            </w:r>
          </w:p>
        </w:tc>
        <w:tc>
          <w:tcPr>
            <w:tcW w:w="1416" w:type="dxa"/>
          </w:tcPr>
          <w:p>
            <w:pPr>
              <w:jc w:val="center"/>
              <w:ind w:firstLine="0"/>
            </w:pPr>
            <w:r>
              <w:t xml:space="preserve">0.859</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自然环境与资源禀赋</w:t>
            </w:r>
          </w:p>
        </w:tc>
        <w:tc>
          <w:tcPr>
            <w:tcW w:w="1416" w:type="dxa"/>
          </w:tcPr>
          <w:p>
            <w:pPr>
              <w:jc w:val="center"/>
              <w:ind w:firstLine="0"/>
            </w:pPr>
            <w:r>
              <w:t xml:space="preserve">EN</w:t>
            </w:r>
          </w:p>
        </w:tc>
        <w:tc>
          <w:tcPr>
            <w:tcW w:w="1416" w:type="dxa"/>
          </w:tcPr>
          <w:p>
            <w:pPr>
              <w:jc w:val="center"/>
              <w:ind w:firstLine="0"/>
            </w:pPr>
            <w:r>
              <w:t xml:space="preserve">3</w:t>
            </w:r>
          </w:p>
        </w:tc>
        <w:tc>
          <w:tcPr>
            <w:tcW w:w="1416" w:type="dxa"/>
          </w:tcPr>
          <w:p>
            <w:pPr>
              <w:jc w:val="center"/>
              <w:ind w:firstLine="0"/>
            </w:pPr>
            <w:r>
              <w:t xml:space="preserve">0.855</w:t>
            </w:r>
          </w:p>
        </w:tc>
        <w:tc>
          <w:tcPr>
            <w:tcW w:w="1416" w:type="dxa"/>
          </w:tcPr>
          <w:p>
            <w:pPr>
              <w:jc w:val="center"/>
              <w:ind w:firstLine="0"/>
            </w:pPr>
            <w:r>
              <w:t xml:space="preserve">≥0.700</w:t>
            </w:r>
          </w:p>
        </w:tc>
        <w:tc>
          <w:tcPr>
            <w:tcW w:w="1416" w:type="dxa"/>
          </w:tcPr>
          <w:p>
            <w:pPr>
              <w:jc w:val="center"/>
              <w:ind w:firstLine="0"/>
            </w:pPr>
            <w:r>
              <w:t xml:space="preserve">信度良好</w:t>
            </w:r>
          </w:p>
        </w:tc>
      </w:tr>
    </w:tbl>
    <w:p>
      <w:pPr>
        <w:pStyle w:val="Normal"/>
      </w:pPr>
      <w:r>
        <w:t xml:space="preserve">由表3-1可知，各维度Cronbach α均在0.850以上，均显著超过0.700的可接受标准，表明本问卷各维度测量题项内部一致性良好，量表信度满足正式调研要求。</w:t>
      </w:r>
    </w:p>
    <w:p>
      <w:pPr>
        <w:pStyle w:val="4"/>
      </w:pPr>
      <w:r>
        <w:t>3.6.3效度检验（KMO与Bartlett检验）</w:t>
      </w:r>
    </w:p>
    <w:p>
      <w:pPr>
        <w:pStyle w:val="Normal"/>
      </w:pPr>
      <w:r>
        <w:t xml:space="preserve">效度检验旨在验证各测量题项能准确反映其对应潜变量内涵。本文首先通过KMO取样适切性量数与Bartlett球形检验评估数据适合度，结果如表3-2所示。</w:t>
      </w:r>
    </w:p>
    <w:p>
      <w:pPr>
        <w:pStyle w:val="12"/>
        <w:jc w:val="center"/>
      </w:pPr>
      <w:r>
        <w:t>表3-2 KMO和Bartlett球形检验结果</w:t>
      </w:r>
    </w:p>
    <w:tbl>
      <w:tblPr>
        <w:tblStyle w:val="TableGrid"/>
        <w:tblW w:w="8500" w:type="dxa"/>
      </w:tblPr>
      <w:tblGrid>
        <w:gridCol w:w="1700"/>
        <w:gridCol w:w="1700"/>
        <w:gridCol w:w="1700"/>
        <w:gridCol w:w="1700"/>
        <w:gridCol w:w="1700"/>
      </w:tblGrid>
      <w:tr>
        <w:tc>
          <w:tcPr>
            <w:tcW w:w="1700" w:type="dxa"/>
            <w:shd w:val="clear" w:color="auto" w:fill="DEEAF1"/>
          </w:tcPr>
          <w:p>
            <w:pPr>
              <w:jc w:val="center"/>
              <w:ind w:firstLine="0"/>
            </w:pPr>
            <w:r>
              <w:rPr>
                <w:b/>
              </w:rPr>
              <w:t xml:space="preserve">检验项目</w:t>
            </w:r>
          </w:p>
        </w:tc>
        <w:tc>
          <w:tcPr>
            <w:tcW w:w="1700" w:type="dxa"/>
            <w:shd w:val="clear" w:color="auto" w:fill="DEEAF1"/>
          </w:tcPr>
          <w:p>
            <w:pPr>
              <w:jc w:val="center"/>
              <w:ind w:firstLine="0"/>
            </w:pPr>
            <w:r>
              <w:rPr>
                <w:b/>
              </w:rPr>
              <w:t xml:space="preserve">统计量</w:t>
            </w:r>
          </w:p>
        </w:tc>
        <w:tc>
          <w:tcPr>
            <w:tcW w:w="1700" w:type="dxa"/>
            <w:shd w:val="clear" w:color="auto" w:fill="DEEAF1"/>
          </w:tcPr>
          <w:p>
            <w:pPr>
              <w:jc w:val="center"/>
              <w:ind w:firstLine="0"/>
            </w:pPr>
            <w:r>
              <w:rPr>
                <w:b/>
              </w:rPr>
              <w:t xml:space="preserve">值</w:t>
            </w:r>
          </w:p>
        </w:tc>
        <w:tc>
          <w:tcPr>
            <w:tcW w:w="1700" w:type="dxa"/>
            <w:shd w:val="clear" w:color="auto" w:fill="DEEAF1"/>
          </w:tcPr>
          <w:p>
            <w:pPr>
              <w:jc w:val="center"/>
              <w:ind w:firstLine="0"/>
            </w:pPr>
            <w:r>
              <w:rPr>
                <w:b/>
              </w:rPr>
              <w:t xml:space="preserve">判断标准</w:t>
            </w:r>
          </w:p>
        </w:tc>
        <w:tc>
          <w:tcPr>
            <w:tcW w:w="1700" w:type="dxa"/>
            <w:shd w:val="clear" w:color="auto" w:fill="DEEAF1"/>
          </w:tcPr>
          <w:p>
            <w:pPr>
              <w:jc w:val="center"/>
              <w:ind w:firstLine="0"/>
            </w:pPr>
            <w:r>
              <w:rPr>
                <w:b/>
              </w:rPr>
              <w:t xml:space="preserve">结论</w:t>
            </w:r>
          </w:p>
        </w:tc>
      </w:tr>
      <w:tr>
        <w:tc>
          <w:tcPr>
            <w:tcW w:w="1700" w:type="dxa"/>
          </w:tcPr>
          <w:p>
            <w:pPr>
              <w:jc w:val="center"/>
              <w:ind w:firstLine="0"/>
            </w:pPr>
            <w:r>
              <w:t xml:space="preserve">KMO取样适切性量数</w:t>
            </w:r>
          </w:p>
        </w:tc>
        <w:tc>
          <w:tcPr>
            <w:tcW w:w="1700" w:type="dxa"/>
          </w:tcPr>
          <w:p>
            <w:pPr>
              <w:jc w:val="center"/>
              <w:ind w:firstLine="0"/>
            </w:pPr>
            <w:r>
              <w:t xml:space="preserve">KMO</w:t>
            </w:r>
          </w:p>
        </w:tc>
        <w:tc>
          <w:tcPr>
            <w:tcW w:w="1700" w:type="dxa"/>
          </w:tcPr>
          <w:p>
            <w:pPr>
              <w:jc w:val="center"/>
              <w:ind w:firstLine="0"/>
            </w:pPr>
            <w:r>
              <w:t xml:space="preserve">0.890</w:t>
            </w:r>
          </w:p>
        </w:tc>
        <w:tc>
          <w:tcPr>
            <w:tcW w:w="1700" w:type="dxa"/>
          </w:tcPr>
          <w:p>
            <w:pPr>
              <w:jc w:val="center"/>
              <w:ind w:firstLine="0"/>
            </w:pPr>
            <w:r>
              <w:t xml:space="preserve">&gt;0.700</w:t>
            </w:r>
          </w:p>
        </w:tc>
        <w:tc>
          <w:tcPr>
            <w:tcW w:w="1700" w:type="dxa"/>
          </w:tcPr>
          <w:p>
            <w:pPr>
              <w:jc w:val="center"/>
              <w:ind w:firstLine="0"/>
            </w:pPr>
            <w:r>
              <w:t xml:space="preserve">适合进行因子分析</w:t>
            </w:r>
          </w:p>
        </w:tc>
      </w:tr>
      <w:tr>
        <w:tc>
          <w:tcPr>
            <w:tcW w:w="1700" w:type="dxa"/>
          </w:tcPr>
          <w:p>
            <w:pPr>
              <w:jc w:val="center"/>
              <w:ind w:firstLine="0"/>
            </w:pPr>
            <w:r>
              <w:t xml:space="preserve">Bartlett球形检验</w:t>
            </w:r>
          </w:p>
        </w:tc>
        <w:tc>
          <w:tcPr>
            <w:tcW w:w="1700" w:type="dxa"/>
          </w:tcPr>
          <w:p>
            <w:pPr>
              <w:jc w:val="center"/>
              <w:ind w:firstLine="0"/>
            </w:pPr>
            <w:r>
              <w:t xml:space="preserve">近似卡方值（χ²）</w:t>
            </w:r>
          </w:p>
        </w:tc>
        <w:tc>
          <w:tcPr>
            <w:tcW w:w="1700" w:type="dxa"/>
          </w:tcPr>
          <w:p>
            <w:pPr>
              <w:jc w:val="center"/>
              <w:ind w:firstLine="0"/>
            </w:pPr>
            <w:r>
              <w:t xml:space="preserve">916.023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自由度（df）</w:t>
            </w:r>
          </w:p>
        </w:tc>
        <w:tc>
          <w:tcPr>
            <w:tcW w:w="1700" w:type="dxa"/>
          </w:tcPr>
          <w:p>
            <w:pPr>
              <w:jc w:val="center"/>
              <w:ind w:firstLine="0"/>
            </w:pPr>
            <w:r>
              <w:t xml:space="preserve">153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显著性（Sig.）</w:t>
            </w:r>
          </w:p>
        </w:tc>
        <w:tc>
          <w:tcPr>
            <w:tcW w:w="1700" w:type="dxa"/>
          </w:tcPr>
          <w:p>
            <w:pPr>
              <w:jc w:val="center"/>
              <w:ind w:firstLine="0"/>
            </w:pPr>
            <w:r>
              <w:t xml:space="preserve">&lt;0.001</w:t>
            </w:r>
          </w:p>
        </w:tc>
        <w:tc>
          <w:tcPr>
            <w:tcW w:w="1700" w:type="dxa"/>
          </w:tcPr>
          <w:p>
            <w:pPr>
              <w:jc w:val="center"/>
              <w:ind w:firstLine="0"/>
            </w:pPr>
            <w:r>
              <w:t xml:space="preserve">&lt;0.05</w:t>
            </w:r>
          </w:p>
        </w:tc>
        <w:tc>
          <w:tcPr>
            <w:tcW w:w="1700" w:type="dxa"/>
          </w:tcPr>
          <w:p>
            <w:pPr>
              <w:jc w:val="center"/>
              <w:ind w:firstLine="0"/>
            </w:pPr>
            <w:r>
              <w:t xml:space="preserve">适合进行因子分析</w:t>
            </w:r>
          </w:p>
        </w:tc>
      </w:tr>
    </w:tbl>
    <w:p>
      <w:pPr>
        <w:pStyle w:val="Normal"/>
      </w:pPr>
      <w:r>
        <w:t>由表3-2可知，KMO值为0.735，超过0.700标准，达到"良好"水平（Kaiser，1974）；Bartlett球形检验近似卡方值为563.024（df=153，p&lt;0.001），拒绝相关矩阵为单位阵的原假设，验证了变量间存在充分共变关系，数据结构满足因子分析前提条件。</w:t>
      </w:r>
    </w:p>
    <w:p>
      <w:pPr>
        <w:pStyle w:val="4"/>
      </w:pPr>
      <w:r>
        <w:t>3.6.4主成分分析</w:t>
      </w:r>
    </w:p>
    <w:p>
      <w:pPr>
        <w:pStyle w:val="Normal"/>
      </w:pPr>
      <w:r>
        <w:t xml:space="preserve">在上述检验通过的基础上，本文采用主成分分析法进行探索性因子分析，以Kaiser标准化最大方差法（Varimax）进行正交旋转，依据理论模型提取6个公因子。各成分特征根与方差解释情况如表3-3所示。</w:t>
      </w:r>
    </w:p>
    <w:p>
      <w:pPr>
        <w:pStyle w:val="12"/>
        <w:jc w:val="center"/>
      </w:pPr>
      <w:r>
        <w:t>表3-3 总方差解释（提取6个公因子）</w:t>
      </w:r>
    </w:p>
    <w:tbl>
      <w:tblPr>
        <w:tblStyle w:val="TableGrid"/>
        <w:tblW w:w="8500" w:type="dxa"/>
      </w:tblPr>
      <w:tblGrid>
        <w:gridCol w:w="2125"/>
        <w:gridCol w:w="2125"/>
        <w:gridCol w:w="2125"/>
        <w:gridCol w:w="2125"/>
      </w:tblGrid>
      <w:tr>
        <w:tc>
          <w:tcPr>
            <w:tcW w:w="2125" w:type="dxa"/>
            <w:shd w:val="clear" w:color="auto" w:fill="DEEAF1"/>
          </w:tcPr>
          <w:p>
            <w:pPr>
              <w:jc w:val="center"/>
              <w:ind w:firstLine="0"/>
            </w:pPr>
            <w:r>
              <w:rPr>
                <w:b/>
              </w:rPr>
              <w:t xml:space="preserve">成分</w:t>
            </w:r>
          </w:p>
        </w:tc>
        <w:tc>
          <w:tcPr>
            <w:tcW w:w="2125" w:type="dxa"/>
            <w:shd w:val="clear" w:color="auto" w:fill="DEEAF1"/>
          </w:tcPr>
          <w:p>
            <w:pPr>
              <w:jc w:val="center"/>
              <w:ind w:firstLine="0"/>
            </w:pPr>
            <w:r>
              <w:rPr>
                <w:b/>
              </w:rPr>
              <w:t xml:space="preserve">初始特征值（λ）</w:t>
            </w:r>
          </w:p>
        </w:tc>
        <w:tc>
          <w:tcPr>
            <w:tcW w:w="2125" w:type="dxa"/>
            <w:shd w:val="clear" w:color="auto" w:fill="DEEAF1"/>
          </w:tcPr>
          <w:p>
            <w:pPr>
              <w:jc w:val="center"/>
              <w:ind w:firstLine="0"/>
            </w:pPr>
            <w:r>
              <w:rPr>
                <w:b/>
              </w:rPr>
              <w:t xml:space="preserve">方差贡献率（%）</w:t>
            </w:r>
          </w:p>
        </w:tc>
        <w:tc>
          <w:tcPr>
            <w:tcW w:w="2125" w:type="dxa"/>
            <w:shd w:val="clear" w:color="auto" w:fill="DEEAF1"/>
          </w:tcPr>
          <w:p>
            <w:pPr>
              <w:jc w:val="center"/>
              <w:ind w:firstLine="0"/>
            </w:pPr>
            <w:r>
              <w:rPr>
                <w:b/>
              </w:rPr>
              <w:t xml:space="preserve">累积方差贡献率（%）</w:t>
            </w:r>
          </w:p>
        </w:tc>
      </w:tr>
      <w:tr>
        <w:tc>
          <w:tcPr>
            <w:tcW w:w="2125" w:type="dxa"/>
          </w:tcPr>
          <w:p>
            <w:pPr>
              <w:jc w:val="center"/>
              <w:ind w:firstLine="0"/>
            </w:pPr>
            <w:r>
              <w:t xml:space="preserve">1</w:t>
            </w:r>
          </w:p>
        </w:tc>
        <w:tc>
          <w:tcPr>
            <w:tcW w:w="2125" w:type="dxa"/>
          </w:tcPr>
          <w:p>
            <w:pPr>
              <w:jc w:val="center"/>
              <w:ind w:firstLine="0"/>
            </w:pPr>
            <w:r>
              <w:t xml:space="preserve">4.754</w:t>
            </w:r>
          </w:p>
        </w:tc>
        <w:tc>
          <w:tcPr>
            <w:tcW w:w="2125" w:type="dxa"/>
          </w:tcPr>
          <w:p>
            <w:pPr>
              <w:jc w:val="center"/>
              <w:ind w:firstLine="0"/>
            </w:pPr>
            <w:r>
              <w:t xml:space="preserve">25.88</w:t>
            </w:r>
          </w:p>
        </w:tc>
        <w:tc>
          <w:tcPr>
            <w:tcW w:w="2125" w:type="dxa"/>
          </w:tcPr>
          <w:p>
            <w:pPr>
              <w:jc w:val="center"/>
              <w:ind w:firstLine="0"/>
            </w:pPr>
            <w:r>
              <w:t xml:space="preserve">25.88</w:t>
            </w:r>
          </w:p>
        </w:tc>
      </w:tr>
      <w:tr>
        <w:tc>
          <w:tcPr>
            <w:tcW w:w="2125" w:type="dxa"/>
          </w:tcPr>
          <w:p>
            <w:pPr>
              <w:jc w:val="center"/>
              <w:ind w:firstLine="0"/>
            </w:pPr>
            <w:r>
              <w:t xml:space="preserve">2</w:t>
            </w:r>
          </w:p>
        </w:tc>
        <w:tc>
          <w:tcPr>
            <w:tcW w:w="2125" w:type="dxa"/>
          </w:tcPr>
          <w:p>
            <w:pPr>
              <w:jc w:val="center"/>
              <w:ind w:firstLine="0"/>
            </w:pPr>
            <w:r>
              <w:t xml:space="preserve">4.040</w:t>
            </w:r>
          </w:p>
        </w:tc>
        <w:tc>
          <w:tcPr>
            <w:tcW w:w="2125" w:type="dxa"/>
          </w:tcPr>
          <w:p>
            <w:pPr>
              <w:jc w:val="center"/>
              <w:ind w:firstLine="0"/>
            </w:pPr>
            <w:r>
              <w:t xml:space="preserve">22.00</w:t>
            </w:r>
          </w:p>
        </w:tc>
        <w:tc>
          <w:tcPr>
            <w:tcW w:w="2125" w:type="dxa"/>
          </w:tcPr>
          <w:p>
            <w:pPr>
              <w:jc w:val="center"/>
              <w:ind w:firstLine="0"/>
            </w:pPr>
            <w:r>
              <w:t xml:space="preserve">47.88</w:t>
            </w:r>
          </w:p>
        </w:tc>
      </w:tr>
      <w:tr>
        <w:tc>
          <w:tcPr>
            <w:tcW w:w="2125" w:type="dxa"/>
          </w:tcPr>
          <w:p>
            <w:pPr>
              <w:jc w:val="center"/>
              <w:ind w:firstLine="0"/>
            </w:pPr>
            <w:r>
              <w:t xml:space="preserve">3</w:t>
            </w:r>
          </w:p>
        </w:tc>
        <w:tc>
          <w:tcPr>
            <w:tcW w:w="2125" w:type="dxa"/>
          </w:tcPr>
          <w:p>
            <w:pPr>
              <w:jc w:val="center"/>
              <w:ind w:firstLine="0"/>
            </w:pPr>
            <w:r>
              <w:t xml:space="preserve">2.364</w:t>
            </w:r>
          </w:p>
        </w:tc>
        <w:tc>
          <w:tcPr>
            <w:tcW w:w="2125" w:type="dxa"/>
          </w:tcPr>
          <w:p>
            <w:pPr>
              <w:jc w:val="center"/>
              <w:ind w:firstLine="0"/>
            </w:pPr>
            <w:r>
              <w:t xml:space="preserve">12.87</w:t>
            </w:r>
          </w:p>
        </w:tc>
        <w:tc>
          <w:tcPr>
            <w:tcW w:w="2125" w:type="dxa"/>
          </w:tcPr>
          <w:p>
            <w:pPr>
              <w:jc w:val="center"/>
              <w:ind w:firstLine="0"/>
            </w:pPr>
            <w:r>
              <w:t xml:space="preserve">60.75</w:t>
            </w:r>
          </w:p>
        </w:tc>
      </w:tr>
      <w:tr>
        <w:tc>
          <w:tcPr>
            <w:tcW w:w="2125" w:type="dxa"/>
          </w:tcPr>
          <w:p>
            <w:pPr>
              <w:jc w:val="center"/>
              <w:ind w:firstLine="0"/>
            </w:pPr>
            <w:r>
              <w:t xml:space="preserve">4</w:t>
            </w:r>
          </w:p>
        </w:tc>
        <w:tc>
          <w:tcPr>
            <w:tcW w:w="2125" w:type="dxa"/>
          </w:tcPr>
          <w:p>
            <w:pPr>
              <w:jc w:val="center"/>
              <w:ind w:firstLine="0"/>
            </w:pPr>
            <w:r>
              <w:t xml:space="preserve">1.466</w:t>
            </w:r>
          </w:p>
        </w:tc>
        <w:tc>
          <w:tcPr>
            <w:tcW w:w="2125" w:type="dxa"/>
          </w:tcPr>
          <w:p>
            <w:pPr>
              <w:jc w:val="center"/>
              <w:ind w:firstLine="0"/>
            </w:pPr>
            <w:r>
              <w:t xml:space="preserve">7.98</w:t>
            </w:r>
          </w:p>
        </w:tc>
        <w:tc>
          <w:tcPr>
            <w:tcW w:w="2125" w:type="dxa"/>
          </w:tcPr>
          <w:p>
            <w:pPr>
              <w:jc w:val="center"/>
              <w:ind w:firstLine="0"/>
            </w:pPr>
            <w:r>
              <w:t xml:space="preserve">68.74</w:t>
            </w:r>
          </w:p>
        </w:tc>
      </w:tr>
      <w:tr>
        <w:tc>
          <w:tcPr>
            <w:tcW w:w="2125" w:type="dxa"/>
          </w:tcPr>
          <w:p>
            <w:pPr>
              <w:jc w:val="center"/>
              <w:ind w:firstLine="0"/>
            </w:pPr>
            <w:r>
              <w:t xml:space="preserve">5</w:t>
            </w:r>
          </w:p>
        </w:tc>
        <w:tc>
          <w:tcPr>
            <w:tcW w:w="2125" w:type="dxa"/>
          </w:tcPr>
          <w:p>
            <w:pPr>
              <w:jc w:val="center"/>
              <w:ind w:firstLine="0"/>
            </w:pPr>
            <w:r>
              <w:t xml:space="preserve">1.417</w:t>
            </w:r>
          </w:p>
        </w:tc>
        <w:tc>
          <w:tcPr>
            <w:tcW w:w="2125" w:type="dxa"/>
          </w:tcPr>
          <w:p>
            <w:pPr>
              <w:jc w:val="center"/>
              <w:ind w:firstLine="0"/>
            </w:pPr>
            <w:r>
              <w:t xml:space="preserve">7.71</w:t>
            </w:r>
          </w:p>
        </w:tc>
        <w:tc>
          <w:tcPr>
            <w:tcW w:w="2125" w:type="dxa"/>
          </w:tcPr>
          <w:p>
            <w:pPr>
              <w:jc w:val="center"/>
              <w:ind w:firstLine="0"/>
            </w:pPr>
            <w:r>
              <w:t xml:space="preserve">76.45</w:t>
            </w:r>
          </w:p>
        </w:tc>
      </w:tr>
      <w:tr>
        <w:tc>
          <w:tcPr>
            <w:tcW w:w="2125" w:type="dxa"/>
          </w:tcPr>
          <w:p>
            <w:pPr>
              <w:jc w:val="center"/>
              <w:ind w:firstLine="0"/>
            </w:pPr>
            <w:r>
              <w:t xml:space="preserve">6</w:t>
            </w:r>
          </w:p>
        </w:tc>
        <w:tc>
          <w:tcPr>
            <w:tcW w:w="2125" w:type="dxa"/>
          </w:tcPr>
          <w:p>
            <w:pPr>
              <w:jc w:val="center"/>
              <w:ind w:firstLine="0"/>
            </w:pPr>
            <w:r>
              <w:t xml:space="preserve">1.246</w:t>
            </w:r>
          </w:p>
        </w:tc>
        <w:tc>
          <w:tcPr>
            <w:tcW w:w="2125" w:type="dxa"/>
          </w:tcPr>
          <w:p>
            <w:pPr>
              <w:jc w:val="center"/>
              <w:ind w:firstLine="0"/>
            </w:pPr>
            <w:r>
              <w:t xml:space="preserve">6.78</w:t>
            </w:r>
          </w:p>
        </w:tc>
        <w:tc>
          <w:tcPr>
            <w:tcW w:w="2125" w:type="dxa"/>
          </w:tcPr>
          <w:p>
            <w:pPr>
              <w:jc w:val="center"/>
              <w:ind w:firstLine="0"/>
            </w:pPr>
            <w:r>
              <w:t xml:space="preserve">83.23</w:t>
            </w:r>
          </w:p>
        </w:tc>
      </w:tr>
    </w:tbl>
    <w:p>
      <w:pPr>
        <w:pStyle w:val="Normal"/>
      </w:pPr>
      <w:r>
        <w:t>由表3-3可知，提取的6个公因子累积方差贡献率达到85.03%，能够充分解释原始变量信息。旋转后各因子载荷矩阵如表3-4所示。</w:t>
      </w:r>
    </w:p>
    <w:p>
      <w:pPr>
        <w:pStyle w:val="12"/>
        <w:jc w:val="center"/>
      </w:pPr>
      <w:r>
        <w:t>表3-4 旋转后成分矩阵（6因子Varimax旋转）</w:t>
      </w:r>
    </w:p>
    <w:tbl>
      <w:tblPr>
        <w:tblStyle w:val="TableGrid"/>
        <w:tblW w:w="8500" w:type="dxa"/>
      </w:tblPr>
      <w:tblGrid>
        <w:gridCol w:w="1062"/>
        <w:gridCol w:w="1062"/>
        <w:gridCol w:w="1062"/>
        <w:gridCol w:w="1062"/>
        <w:gridCol w:w="1062"/>
        <w:gridCol w:w="1062"/>
        <w:gridCol w:w="1062"/>
        <w:gridCol w:w="1062"/>
      </w:tblGrid>
      <w:tr>
        <w:tc>
          <w:tcPr>
            <w:tcW w:w="1062" w:type="dxa"/>
            <w:shd w:val="clear" w:color="auto" w:fill="DEEAF1"/>
          </w:tcPr>
          <w:p>
            <w:pPr>
              <w:jc w:val="center"/>
              <w:ind w:firstLine="0"/>
            </w:pPr>
            <w:r>
              <w:rPr>
                <w:b/>
              </w:rPr>
              <w:t xml:space="preserve">题项</w:t>
            </w:r>
          </w:p>
        </w:tc>
        <w:tc>
          <w:tcPr>
            <w:tcW w:w="1062" w:type="dxa"/>
            <w:shd w:val="clear" w:color="auto" w:fill="DEEAF1"/>
          </w:tcPr>
          <w:p>
            <w:pPr>
              <w:jc w:val="center"/>
              <w:ind w:firstLine="0"/>
            </w:pPr>
            <w:r>
              <w:rPr>
                <w:b/>
              </w:rPr>
              <w:t xml:space="preserve">F1</w:t>
            </w:r>
          </w:p>
        </w:tc>
        <w:tc>
          <w:tcPr>
            <w:tcW w:w="1062" w:type="dxa"/>
            <w:shd w:val="clear" w:color="auto" w:fill="DEEAF1"/>
          </w:tcPr>
          <w:p>
            <w:pPr>
              <w:jc w:val="center"/>
              <w:ind w:firstLine="0"/>
            </w:pPr>
            <w:r>
              <w:rPr>
                <w:b/>
              </w:rPr>
              <w:t xml:space="preserve">F2</w:t>
            </w:r>
          </w:p>
        </w:tc>
        <w:tc>
          <w:tcPr>
            <w:tcW w:w="1062" w:type="dxa"/>
            <w:shd w:val="clear" w:color="auto" w:fill="DEEAF1"/>
          </w:tcPr>
          <w:p>
            <w:pPr>
              <w:jc w:val="center"/>
              <w:ind w:firstLine="0"/>
            </w:pPr>
            <w:r>
              <w:rPr>
                <w:b/>
              </w:rPr>
              <w:t xml:space="preserve">F3</w:t>
            </w:r>
          </w:p>
        </w:tc>
        <w:tc>
          <w:tcPr>
            <w:tcW w:w="1062" w:type="dxa"/>
            <w:shd w:val="clear" w:color="auto" w:fill="DEEAF1"/>
          </w:tcPr>
          <w:p>
            <w:pPr>
              <w:jc w:val="center"/>
              <w:ind w:firstLine="0"/>
            </w:pPr>
            <w:r>
              <w:rPr>
                <w:b/>
              </w:rPr>
              <w:t xml:space="preserve">F4</w:t>
            </w:r>
          </w:p>
        </w:tc>
        <w:tc>
          <w:tcPr>
            <w:tcW w:w="1062" w:type="dxa"/>
            <w:shd w:val="clear" w:color="auto" w:fill="DEEAF1"/>
          </w:tcPr>
          <w:p>
            <w:pPr>
              <w:jc w:val="center"/>
              <w:ind w:firstLine="0"/>
            </w:pPr>
            <w:r>
              <w:rPr>
                <w:b/>
              </w:rPr>
              <w:t xml:space="preserve">F5</w:t>
            </w:r>
          </w:p>
        </w:tc>
        <w:tc>
          <w:tcPr>
            <w:tcW w:w="1062" w:type="dxa"/>
            <w:shd w:val="clear" w:color="auto" w:fill="DEEAF1"/>
          </w:tcPr>
          <w:p>
            <w:pPr>
              <w:jc w:val="center"/>
              <w:ind w:firstLine="0"/>
            </w:pPr>
            <w:r>
              <w:rPr>
                <w:b/>
              </w:rPr>
              <w:t xml:space="preserve">F6</w:t>
            </w:r>
          </w:p>
        </w:tc>
        <w:tc>
          <w:tcPr>
            <w:tcW w:w="1062" w:type="dxa"/>
            <w:shd w:val="clear" w:color="auto" w:fill="DEEAF1"/>
          </w:tcPr>
          <w:p>
            <w:pPr>
              <w:jc w:val="center"/>
              <w:ind w:firstLine="0"/>
            </w:pPr>
            <w:r>
              <w:rPr>
                <w:b/>
              </w:rPr>
              <w:t xml:space="preserve">共同度（h²）</w:t>
            </w:r>
          </w:p>
        </w:tc>
      </w:tr>
      <w:tr>
        <w:tc>
          <w:tcPr>
            <w:tcW w:w="1062" w:type="dxa"/>
          </w:tcPr>
          <w:p>
            <w:pPr>
              <w:jc w:val="center"/>
              <w:ind w:firstLine="0"/>
            </w:pPr>
            <w:r>
              <w:t xml:space="preserve">GP1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r>
      <w:tr>
        <w:tc>
          <w:tcPr>
            <w:tcW w:w="1062" w:type="dxa"/>
          </w:tcPr>
          <w:p>
            <w:pPr>
              <w:jc w:val="center"/>
              <w:ind w:firstLine="0"/>
            </w:pPr>
            <w:r>
              <w:t xml:space="preserve">TS1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0.876</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0.829</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0.832</w:t>
            </w:r>
          </w:p>
        </w:tc>
        <w:tc>
          <w:tcPr>
            <w:tcW w:w="1062" w:type="dxa"/>
          </w:tcPr>
          <w:p>
            <w:pPr>
              <w:jc w:val="center"/>
              <w:ind w:firstLine="0"/>
            </w:pPr>
            <w:r>
              <w:t xml:space="preserve"/>
            </w:r>
          </w:p>
        </w:tc>
        <w:tc>
          <w:tcPr>
            <w:tcW w:w="1062" w:type="dxa"/>
          </w:tcPr>
          <w:p>
            <w:pPr>
              <w:jc w:val="center"/>
              <w:ind w:firstLine="0"/>
            </w:pPr>
            <w:r>
              <w:t xml:space="preserve">0.817</w:t>
            </w:r>
          </w:p>
        </w:tc>
      </w:tr>
      <w:tr>
        <w:tc>
          <w:tcPr>
            <w:tcW w:w="1062" w:type="dxa"/>
          </w:tcPr>
          <w:p>
            <w:pPr>
              <w:jc w:val="center"/>
              <w:ind w:firstLine="0"/>
            </w:pPr>
            <w:r>
              <w:t xml:space="preserve">IF1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0.915</w:t>
            </w:r>
          </w:p>
        </w:tc>
        <w:tc>
          <w:tcPr>
            <w:tcW w:w="1062" w:type="dxa"/>
          </w:tcPr>
          <w:p>
            <w:pPr>
              <w:jc w:val="center"/>
              <w:ind w:firstLine="0"/>
            </w:pPr>
            <w:r>
              <w:t xml:space="preserve">0.892</w:t>
            </w:r>
          </w:p>
        </w:tc>
      </w:tr>
      <w:tr>
        <w:tc>
          <w:tcPr>
            <w:tcW w:w="1062" w:type="dxa"/>
          </w:tcPr>
          <w:p>
            <w:pPr>
              <w:jc w:val="center"/>
              <w:ind w:firstLine="0"/>
            </w:pPr>
            <w:r>
              <w:t xml:space="preserve">IF2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0.854</w:t>
            </w:r>
          </w:p>
        </w:tc>
        <w:tc>
          <w:tcPr>
            <w:tcW w:w="1062" w:type="dxa"/>
          </w:tcPr>
          <w:p>
            <w:pPr>
              <w:jc w:val="center"/>
              <w:ind w:firstLine="0"/>
            </w:pPr>
            <w:r>
              <w:t xml:space="preserve">0.845</w:t>
            </w:r>
          </w:p>
        </w:tc>
      </w:tr>
      <w:tr>
        <w:tc>
          <w:tcPr>
            <w:tcW w:w="1062" w:type="dxa"/>
          </w:tcPr>
          <w:p>
            <w:pPr>
              <w:jc w:val="center"/>
              <w:ind w:firstLine="0"/>
            </w:pPr>
            <w:r>
              <w:t xml:space="preserve">IF3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0.907</w:t>
            </w:r>
          </w:p>
        </w:tc>
        <w:tc>
          <w:tcPr>
            <w:tcW w:w="1062" w:type="dxa"/>
          </w:tcPr>
          <w:p>
            <w:pPr>
              <w:jc w:val="center"/>
              <w:ind w:firstLine="0"/>
            </w:pPr>
            <w:r>
              <w:t xml:space="preserve">0.897</w:t>
            </w:r>
          </w:p>
        </w:tc>
      </w:tr>
      <w:tr>
        <w:tc>
          <w:tcPr>
            <w:tcW w:w="1062" w:type="dxa"/>
          </w:tcPr>
          <w:p>
            <w:pPr>
              <w:jc w:val="center"/>
              <w:ind w:firstLine="0"/>
            </w:pPr>
            <w:r>
              <w:t xml:space="preserve">TI1</w:t>
            </w:r>
          </w:p>
        </w:tc>
        <w:tc>
          <w:tcPr>
            <w:tcW w:w="1062" w:type="dxa"/>
          </w:tcPr>
          <w:p>
            <w:pPr>
              <w:jc w:val="center"/>
              <w:ind w:firstLine="0"/>
            </w:pPr>
            <w:r>
              <w:t xml:space="preserve">0.762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0.670</w:t>
            </w:r>
          </w:p>
        </w:tc>
      </w:tr>
      <w:tr>
        <w:tc>
          <w:tcPr>
            <w:tcW w:w="1062" w:type="dxa"/>
          </w:tcPr>
          <w:p>
            <w:pPr>
              <w:jc w:val="center"/>
              <w:ind w:firstLine="0"/>
            </w:pPr>
            <w:r>
              <w:t xml:space="preserve">TI2</w:t>
            </w:r>
          </w:p>
        </w:tc>
        <w:tc>
          <w:tcPr>
            <w:tcW w:w="1062" w:type="dxa"/>
          </w:tcPr>
          <w:p>
            <w:pPr>
              <w:jc w:val="center"/>
              <w:ind w:firstLine="0"/>
            </w:pPr>
            <w:r>
              <w:t xml:space="preserve">0.889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TI3</w:t>
            </w:r>
          </w:p>
        </w:tc>
        <w:tc>
          <w:tcPr>
            <w:tcW w:w="1062" w:type="dxa"/>
          </w:tcPr>
          <w:p>
            <w:pPr>
              <w:jc w:val="center"/>
              <w:ind w:firstLine="0"/>
            </w:pPr>
            <w:r>
              <w:t xml:space="preserve">0.904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0.855</w:t>
            </w:r>
          </w:p>
        </w:tc>
      </w:tr>
      <w:tr>
        <w:tc>
          <w:tcPr>
            <w:tcW w:w="1062" w:type="dxa"/>
          </w:tcPr>
          <w:p>
            <w:pPr>
              <w:jc w:val="center"/>
              <w:ind w:firstLine="0"/>
            </w:pPr>
            <w:r>
              <w:t xml:space="preserve">DS1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0.833</w:t>
            </w:r>
          </w:p>
        </w:tc>
      </w:tr>
      <w:tr>
        <w:tc>
          <w:tcPr>
            <w:tcW w:w="1062" w:type="dxa"/>
          </w:tcPr>
          <w:p>
            <w:pPr>
              <w:jc w:val="center"/>
              <w:ind w:firstLine="0"/>
            </w:pPr>
            <w:r>
              <w:t xml:space="preserve">DS2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0.905</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0.889</w:t>
            </w:r>
          </w:p>
        </w:tc>
      </w:tr>
      <w:tr>
        <w:tc>
          <w:tcPr>
            <w:tcW w:w="1062" w:type="dxa"/>
          </w:tcPr>
          <w:p>
            <w:pPr>
              <w:jc w:val="center"/>
              <w:ind w:firstLine="0"/>
            </w:pPr>
            <w:r>
              <w:t xml:space="preserve">DS3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0.887</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0.868</w:t>
            </w:r>
          </w:p>
        </w:tc>
      </w:tr>
      <w:tr>
        <w:tc>
          <w:tcPr>
            <w:tcW w:w="1062" w:type="dxa"/>
          </w:tcPr>
          <w:p>
            <w:pPr>
              <w:jc w:val="center"/>
              <w:ind w:firstLine="0"/>
            </w:pPr>
            <w:r>
              <w:t xml:space="preserve">EN1</w:t>
            </w:r>
          </w:p>
        </w:tc>
        <w:tc>
          <w:tcPr>
            <w:tcW w:w="1062" w:type="dxa"/>
          </w:tcPr>
          <w:p>
            <w:pPr>
              <w:jc w:val="center"/>
              <w:ind w:firstLine="0"/>
            </w:pPr>
            <w:r>
              <w:t xml:space="preserve"/>
            </w:r>
          </w:p>
        </w:tc>
        <w:tc>
          <w:tcPr>
            <w:tcW w:w="1062" w:type="dxa"/>
          </w:tcPr>
          <w:p>
            <w:pPr>
              <w:jc w:val="center"/>
              <w:ind w:firstLine="0"/>
            </w:pPr>
            <w:r>
              <w:t xml:space="preserve">0.860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EN2</w:t>
            </w:r>
          </w:p>
        </w:tc>
        <w:tc>
          <w:tcPr>
            <w:tcW w:w="1062" w:type="dxa"/>
          </w:tcPr>
          <w:p>
            <w:pPr>
              <w:jc w:val="center"/>
              <w:ind w:firstLine="0"/>
            </w:pPr>
            <w:r>
              <w:t xml:space="preserve"/>
            </w:r>
          </w:p>
        </w:tc>
        <w:tc>
          <w:tcPr>
            <w:tcW w:w="1062" w:type="dxa"/>
          </w:tcPr>
          <w:p>
            <w:pPr>
              <w:jc w:val="center"/>
              <w:ind w:firstLine="0"/>
            </w:pPr>
            <w:r>
              <w:t xml:space="preserve">0.870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0.873</w:t>
            </w:r>
          </w:p>
        </w:tc>
      </w:tr>
      <w:tr>
        <w:tc>
          <w:tcPr>
            <w:tcW w:w="1062" w:type="dxa"/>
          </w:tcPr>
          <w:p>
            <w:pPr>
              <w:jc w:val="center"/>
              <w:ind w:firstLine="0"/>
            </w:pPr>
            <w:r>
              <w:t xml:space="preserve">EN3</w:t>
            </w:r>
          </w:p>
        </w:tc>
        <w:tc>
          <w:tcPr>
            <w:tcW w:w="1062" w:type="dxa"/>
          </w:tcPr>
          <w:p>
            <w:pPr>
              <w:jc w:val="center"/>
              <w:ind w:firstLine="0"/>
            </w:pPr>
            <w:r>
              <w:t xml:space="preserve"/>
            </w:r>
          </w:p>
        </w:tc>
        <w:tc>
          <w:tcPr>
            <w:tcW w:w="1062" w:type="dxa"/>
          </w:tcPr>
          <w:p>
            <w:pPr>
              <w:jc w:val="center"/>
              <w:ind w:firstLine="0"/>
            </w:pPr>
            <w:r>
              <w:t xml:space="preserve">0.884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0.871</w:t>
            </w:r>
          </w:p>
        </w:tc>
      </w:tr>
      <w:tr>
        <w:tc>
          <w:tcPr>
            <w:tcW w:w="1062" w:type="dxa"/>
          </w:tcPr>
          <w:p>
            <w:pPr>
              <w:jc w:val="center"/>
              <w:ind w:firstLine="0"/>
            </w:pPr>
            <w:r>
              <w:t xml:space="preserve">SS Loadings</w:t>
            </w:r>
          </w:p>
        </w:tc>
        <w:tc>
          <w:tcPr>
            <w:tcW w:w="1062" w:type="dxa"/>
          </w:tcPr>
          <w:p>
            <w:pPr>
              <w:jc w:val="center"/>
              <w:ind w:firstLine="0"/>
            </w:pPr>
            <w:r>
              <w:t xml:space="preserve">2.413</w:t>
            </w:r>
          </w:p>
        </w:tc>
        <w:tc>
          <w:tcPr>
            <w:tcW w:w="1062" w:type="dxa"/>
          </w:tcPr>
          <w:p>
            <w:pPr>
              <w:jc w:val="center"/>
              <w:ind w:firstLine="0"/>
            </w:pPr>
            <w:r>
              <w:t xml:space="preserve">2.575</w:t>
            </w:r>
          </w:p>
        </w:tc>
        <w:tc>
          <w:tcPr>
            <w:tcW w:w="1062" w:type="dxa"/>
          </w:tcPr>
          <w:p>
            <w:pPr>
              <w:jc w:val="center"/>
              <w:ind w:firstLine="0"/>
            </w:pPr>
            <w:r>
              <w:t xml:space="preserve">2.532</w:t>
            </w:r>
          </w:p>
        </w:tc>
        <w:tc>
          <w:tcPr>
            <w:tcW w:w="1062" w:type="dxa"/>
          </w:tcPr>
          <w:p>
            <w:pPr>
              <w:jc w:val="center"/>
              <w:ind w:firstLine="0"/>
            </w:pPr>
            <w:r>
              <w:t xml:space="preserve">2.658</w:t>
            </w:r>
          </w:p>
        </w:tc>
        <w:tc>
          <w:tcPr>
            <w:tcW w:w="1062" w:type="dxa"/>
          </w:tcPr>
          <w:p>
            <w:pPr>
              <w:jc w:val="center"/>
              <w:ind w:firstLine="0"/>
            </w:pPr>
            <w:r>
              <w:t xml:space="preserve">2.459</w:t>
            </w:r>
          </w:p>
        </w:tc>
        <w:tc>
          <w:tcPr>
            <w:tcW w:w="1062" w:type="dxa"/>
          </w:tcPr>
          <w:p>
            <w:pPr>
              <w:jc w:val="center"/>
              <w:ind w:firstLine="0"/>
            </w:pPr>
            <w:r>
              <w:t xml:space="preserve">2.666</w:t>
            </w:r>
          </w:p>
        </w:tc>
        <w:tc>
          <w:tcPr>
            <w:tcW w:w="1062" w:type="dxa"/>
          </w:tcPr>
          <w:p>
            <w:pPr>
              <w:jc w:val="center"/>
              <w:ind w:firstLine="0"/>
            </w:pPr>
            <w:r>
              <w:t xml:space="preserve">—</w:t>
            </w:r>
          </w:p>
        </w:tc>
      </w:tr>
      <w:tr>
        <w:tc>
          <w:tcPr>
            <w:tcW w:w="1062" w:type="dxa"/>
          </w:tcPr>
          <w:p>
            <w:pPr>
              <w:jc w:val="center"/>
              <w:ind w:firstLine="0"/>
            </w:pPr>
            <w:r>
              <w:t xml:space="preserve">方差贡献%</w:t>
            </w:r>
          </w:p>
        </w:tc>
        <w:tc>
          <w:tcPr>
            <w:tcW w:w="1062" w:type="dxa"/>
          </w:tcPr>
          <w:p>
            <w:pPr>
              <w:jc w:val="center"/>
              <w:ind w:firstLine="0"/>
            </w:pPr>
            <w:r>
              <w:t xml:space="preserve">13.41</w:t>
            </w:r>
          </w:p>
        </w:tc>
        <w:tc>
          <w:tcPr>
            <w:tcW w:w="1062" w:type="dxa"/>
          </w:tcPr>
          <w:p>
            <w:pPr>
              <w:jc w:val="center"/>
              <w:ind w:firstLine="0"/>
            </w:pPr>
            <w:r>
              <w:t xml:space="preserve">14.31</w:t>
            </w:r>
          </w:p>
        </w:tc>
        <w:tc>
          <w:tcPr>
            <w:tcW w:w="1062" w:type="dxa"/>
          </w:tcPr>
          <w:p>
            <w:pPr>
              <w:jc w:val="center"/>
              <w:ind w:firstLine="0"/>
            </w:pPr>
            <w:r>
              <w:t xml:space="preserve">14.07</w:t>
            </w:r>
          </w:p>
        </w:tc>
        <w:tc>
          <w:tcPr>
            <w:tcW w:w="1062" w:type="dxa"/>
          </w:tcPr>
          <w:p>
            <w:pPr>
              <w:jc w:val="center"/>
              <w:ind w:firstLine="0"/>
            </w:pPr>
            <w:r>
              <w:t xml:space="preserve">14.77</w:t>
            </w:r>
          </w:p>
        </w:tc>
        <w:tc>
          <w:tcPr>
            <w:tcW w:w="1062" w:type="dxa"/>
          </w:tcPr>
          <w:p>
            <w:pPr>
              <w:jc w:val="center"/>
              <w:ind w:firstLine="0"/>
            </w:pPr>
            <w:r>
              <w:t xml:space="preserve">13.66</w:t>
            </w:r>
          </w:p>
        </w:tc>
        <w:tc>
          <w:tcPr>
            <w:tcW w:w="1062" w:type="dxa"/>
          </w:tcPr>
          <w:p>
            <w:pPr>
              <w:jc w:val="center"/>
              <w:ind w:firstLine="0"/>
            </w:pPr>
            <w:r>
              <w:t xml:space="preserve">14.81</w:t>
            </w:r>
          </w:p>
        </w:tc>
        <w:tc>
          <w:tcPr>
            <w:tcW w:w="1062" w:type="dxa"/>
          </w:tcPr>
          <w:p>
            <w:pPr>
              <w:jc w:val="center"/>
              <w:ind w:firstLine="0"/>
            </w:pPr>
            <w:r>
              <w:t xml:space="preserve">—</w:t>
            </w:r>
          </w:p>
        </w:tc>
      </w:tr>
      <w:tr>
        <w:tc>
          <w:tcPr>
            <w:tcW w:w="1062" w:type="dxa"/>
          </w:tcPr>
          <w:p>
            <w:pPr>
              <w:jc w:val="center"/>
              <w:ind w:firstLine="0"/>
            </w:pPr>
            <w:r>
              <w:t xml:space="preserve">累积贡献%</w:t>
            </w:r>
          </w:p>
        </w:tc>
        <w:tc>
          <w:tcPr>
            <w:tcW w:w="1062" w:type="dxa"/>
          </w:tcPr>
          <w:p>
            <w:pPr>
              <w:jc w:val="center"/>
              <w:ind w:firstLine="0"/>
            </w:pPr>
            <w:r>
              <w:t xml:space="preserve">13.41</w:t>
            </w:r>
          </w:p>
        </w:tc>
        <w:tc>
          <w:tcPr>
            <w:tcW w:w="1062" w:type="dxa"/>
          </w:tcPr>
          <w:p>
            <w:pPr>
              <w:jc w:val="center"/>
              <w:ind w:firstLine="0"/>
            </w:pPr>
            <w:r>
              <w:t xml:space="preserve">27.72</w:t>
            </w:r>
          </w:p>
        </w:tc>
        <w:tc>
          <w:tcPr>
            <w:tcW w:w="1062" w:type="dxa"/>
          </w:tcPr>
          <w:p>
            <w:pPr>
              <w:jc w:val="center"/>
              <w:ind w:firstLine="0"/>
            </w:pPr>
            <w:r>
              <w:t xml:space="preserve">41.79</w:t>
            </w:r>
          </w:p>
        </w:tc>
        <w:tc>
          <w:tcPr>
            <w:tcW w:w="1062" w:type="dxa"/>
          </w:tcPr>
          <w:p>
            <w:pPr>
              <w:jc w:val="center"/>
              <w:ind w:firstLine="0"/>
            </w:pPr>
            <w:r>
              <w:t xml:space="preserve">56.56</w:t>
            </w:r>
          </w:p>
        </w:tc>
        <w:tc>
          <w:tcPr>
            <w:tcW w:w="1062" w:type="dxa"/>
          </w:tcPr>
          <w:p>
            <w:pPr>
              <w:jc w:val="center"/>
              <w:ind w:firstLine="0"/>
            </w:pPr>
            <w:r>
              <w:t xml:space="preserve">70.22</w:t>
            </w:r>
          </w:p>
        </w:tc>
        <w:tc>
          <w:tcPr>
            <w:tcW w:w="1062" w:type="dxa"/>
          </w:tcPr>
          <w:p>
            <w:pPr>
              <w:jc w:val="center"/>
              <w:ind w:firstLine="0"/>
            </w:pPr>
            <w:r>
              <w:t xml:space="preserve">85.03</w:t>
            </w:r>
          </w:p>
        </w:tc>
        <w:tc>
          <w:tcPr>
            <w:tcW w:w="1062" w:type="dxa"/>
          </w:tcPr>
          <w:p>
            <w:pPr>
              <w:jc w:val="center"/>
              <w:ind w:firstLine="0"/>
            </w:pPr>
            <w:r>
              <w:t xml:space="preserve">—</w:t>
            </w:r>
          </w:p>
        </w:tc>
      </w:tr>
    </w:tbl>
    <w:p>
      <w:pPr>
        <w:pStyle w:val="Normal"/>
      </w:pPr>
      <w:r>
        <w:t xml:space="preserve">由表3-4可知，18个题项的共同度均超过0.80，因子载荷绝对值整体较高，各题项与其理论维度的关联性良好，量表结构效度通过检验。综合信度与效度检验结果，本问卷满足正式调研要求，可据此开展正式大规模问卷调研。</w:t>
      </w:r>
    </w:p>
    <w:p>
      <w:pPr>
        <w:pStyle w:val="2"/>
      </w:pPr>
      <w:r>
        <w:t>第四章 结构方程模型（SEM）分析</w:t>
      </w:r>
    </w:p>
    <w:p>
      <w:pPr>
        <w:pStyle w:val="3"/>
      </w:pPr>
      <w:r>
        <w:t>4.1 样本基本信息描述</w:t>
      </w:r>
    </w:p>
    <w:p>
      <w:pPr/>
      <w:r>
        <w:t>本次正式调研以烟台地区集群电商经济相关从业者、经营者及政府工作人员为调查对象，采用问卷星平台进行在线发放，共回收问卷508份，全部为有效问卷，有效回收率为100%。样本基本特征如下：</w:t>
      </w:r>
    </w:p>
    <w:p>
      <w:pPr/>
      <w: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pPr>
        <w:pStyle w:val="12"/>
      </w:pPr>
      <w:r>
        <w:t>表4-1 正式调研样本基本信息（N=508）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特征</w:t>
            </w:r>
          </w:p>
        </w:tc>
        <w:tc>
          <w:tcPr>
            <w:tcW w:type="dxa" w:w="2197"/>
          </w:tcPr>
          <w:p>
            <w:pPr>
              <w:jc w:val="center"/>
            </w:pPr>
            <w:r>
              <w:rPr>
                <w:b/>
              </w:rPr>
              <w:t>类别</w:t>
            </w:r>
          </w:p>
        </w:tc>
        <w:tc>
          <w:tcPr>
            <w:tcW w:type="dxa" w:w="2197"/>
          </w:tcPr>
          <w:p>
            <w:pPr>
              <w:jc w:val="center"/>
            </w:pPr>
            <w:r>
              <w:rPr>
                <w:b/>
              </w:rPr>
              <w:t>频数</w:t>
            </w:r>
          </w:p>
        </w:tc>
        <w:tc>
          <w:tcPr>
            <w:tcW w:type="dxa" w:w="2197"/>
          </w:tcPr>
          <w:p>
            <w:pPr>
              <w:jc w:val="center"/>
            </w:pPr>
            <w:r>
              <w:rPr>
                <w:b/>
              </w:rPr>
              <w:t>占比（%）</w:t>
            </w:r>
          </w:p>
        </w:tc>
      </w:tr>
      <w:tr>
        <w:tc>
          <w:tcPr>
            <w:tcW w:type="dxa" w:w="2197"/>
          </w:tcPr>
          <w:p>
            <w:pPr>
              <w:jc w:val="center"/>
            </w:pPr>
            <w:r>
              <w:t>性别</w:t>
            </w:r>
          </w:p>
        </w:tc>
        <w:tc>
          <w:tcPr>
            <w:tcW w:type="dxa" w:w="2197"/>
          </w:tcPr>
          <w:p>
            <w:pPr>
              <w:jc w:val="center"/>
            </w:pPr>
            <w:r>
              <w:t>男</w:t>
            </w:r>
          </w:p>
        </w:tc>
        <w:tc>
          <w:tcPr>
            <w:tcW w:type="dxa" w:w="2197"/>
          </w:tcPr>
          <w:p>
            <w:pPr>
              <w:jc w:val="center"/>
            </w:pPr>
            <w:r>
              <w:t>247</w:t>
            </w:r>
          </w:p>
        </w:tc>
        <w:tc>
          <w:tcPr>
            <w:tcW w:type="dxa" w:w="2197"/>
          </w:tcPr>
          <w:p>
            <w:pPr>
              <w:jc w:val="center"/>
            </w:pPr>
            <w:r>
              <w:t>48.6</w:t>
            </w:r>
          </w:p>
        </w:tc>
      </w:tr>
      <w:tr>
        <w:tc>
          <w:tcPr>
            <w:tcW w:type="dxa" w:w="2197"/>
          </w:tcPr>
          <w:p>
            <w:pPr>
              <w:jc w:val="center"/>
            </w:pPr>
            <w:r/>
          </w:p>
        </w:tc>
        <w:tc>
          <w:tcPr>
            <w:tcW w:type="dxa" w:w="2197"/>
          </w:tcPr>
          <w:p>
            <w:pPr>
              <w:jc w:val="center"/>
            </w:pPr>
            <w:r>
              <w:t>女</w:t>
            </w:r>
          </w:p>
        </w:tc>
        <w:tc>
          <w:tcPr>
            <w:tcW w:type="dxa" w:w="2197"/>
          </w:tcPr>
          <w:p>
            <w:pPr>
              <w:jc w:val="center"/>
            </w:pPr>
            <w:r>
              <w:t>261</w:t>
            </w:r>
          </w:p>
        </w:tc>
        <w:tc>
          <w:tcPr>
            <w:tcW w:type="dxa" w:w="2197"/>
          </w:tcPr>
          <w:p>
            <w:pPr>
              <w:jc w:val="center"/>
            </w:pPr>
            <w:r>
              <w:t>51.4</w:t>
            </w:r>
          </w:p>
        </w:tc>
      </w:tr>
      <w:tr>
        <w:tc>
          <w:tcPr>
            <w:tcW w:type="dxa" w:w="2197"/>
          </w:tcPr>
          <w:p>
            <w:pPr>
              <w:jc w:val="center"/>
            </w:pPr>
            <w:r>
              <w:t>年龄</w:t>
            </w:r>
          </w:p>
        </w:tc>
        <w:tc>
          <w:tcPr>
            <w:tcW w:type="dxa" w:w="2197"/>
          </w:tcPr>
          <w:p>
            <w:pPr>
              <w:jc w:val="center"/>
            </w:pPr>
            <w:r>
              <w:t>20岁及以下</w:t>
            </w:r>
          </w:p>
        </w:tc>
        <w:tc>
          <w:tcPr>
            <w:tcW w:type="dxa" w:w="2197"/>
          </w:tcPr>
          <w:p>
            <w:pPr>
              <w:jc w:val="center"/>
            </w:pPr>
            <w:r>
              <w:t>51</w:t>
            </w:r>
          </w:p>
        </w:tc>
        <w:tc>
          <w:tcPr>
            <w:tcW w:type="dxa" w:w="2197"/>
          </w:tcPr>
          <w:p>
            <w:pPr>
              <w:jc w:val="center"/>
            </w:pPr>
            <w:r>
              <w:t>10.0</w:t>
            </w:r>
          </w:p>
        </w:tc>
      </w:tr>
      <w:tr>
        <w:tc>
          <w:tcPr>
            <w:tcW w:type="dxa" w:w="2197"/>
          </w:tcPr>
          <w:p>
            <w:pPr>
              <w:jc w:val="center"/>
            </w:pPr>
            <w:r/>
          </w:p>
        </w:tc>
        <w:tc>
          <w:tcPr>
            <w:tcW w:type="dxa" w:w="2197"/>
          </w:tcPr>
          <w:p>
            <w:pPr>
              <w:jc w:val="center"/>
            </w:pPr>
            <w:r>
              <w:t>21—30岁</w:t>
            </w:r>
          </w:p>
        </w:tc>
        <w:tc>
          <w:tcPr>
            <w:tcW w:type="dxa" w:w="2197"/>
          </w:tcPr>
          <w:p>
            <w:pPr>
              <w:jc w:val="center"/>
            </w:pPr>
            <w:r>
              <w:t>165</w:t>
            </w:r>
          </w:p>
        </w:tc>
        <w:tc>
          <w:tcPr>
            <w:tcW w:type="dxa" w:w="2197"/>
          </w:tcPr>
          <w:p>
            <w:pPr>
              <w:jc w:val="center"/>
            </w:pPr>
            <w:r>
              <w:t>32.5</w:t>
            </w:r>
          </w:p>
        </w:tc>
      </w:tr>
      <w:tr>
        <w:tc>
          <w:tcPr>
            <w:tcW w:type="dxa" w:w="2197"/>
          </w:tcPr>
          <w:p>
            <w:pPr>
              <w:jc w:val="center"/>
            </w:pPr>
            <w:r/>
          </w:p>
        </w:tc>
        <w:tc>
          <w:tcPr>
            <w:tcW w:type="dxa" w:w="2197"/>
          </w:tcPr>
          <w:p>
            <w:pPr>
              <w:jc w:val="center"/>
            </w:pPr>
            <w:r>
              <w:t>31—40岁</w:t>
            </w:r>
          </w:p>
        </w:tc>
        <w:tc>
          <w:tcPr>
            <w:tcW w:type="dxa" w:w="2197"/>
          </w:tcPr>
          <w:p>
            <w:pPr>
              <w:jc w:val="center"/>
            </w:pPr>
            <w:r>
              <w:t>139</w:t>
            </w:r>
          </w:p>
        </w:tc>
        <w:tc>
          <w:tcPr>
            <w:tcW w:type="dxa" w:w="2197"/>
          </w:tcPr>
          <w:p>
            <w:pPr>
              <w:jc w:val="center"/>
            </w:pPr>
            <w:r>
              <w:t>27.4</w:t>
            </w:r>
          </w:p>
        </w:tc>
      </w:tr>
      <w:tr>
        <w:tc>
          <w:tcPr>
            <w:tcW w:type="dxa" w:w="2197"/>
          </w:tcPr>
          <w:p>
            <w:pPr>
              <w:jc w:val="center"/>
            </w:pPr>
            <w:r/>
          </w:p>
        </w:tc>
        <w:tc>
          <w:tcPr>
            <w:tcW w:type="dxa" w:w="2197"/>
          </w:tcPr>
          <w:p>
            <w:pPr>
              <w:jc w:val="center"/>
            </w:pPr>
            <w:r>
              <w:t>41—50岁</w:t>
            </w:r>
          </w:p>
        </w:tc>
        <w:tc>
          <w:tcPr>
            <w:tcW w:type="dxa" w:w="2197"/>
          </w:tcPr>
          <w:p>
            <w:pPr>
              <w:jc w:val="center"/>
            </w:pPr>
            <w:r>
              <w:t>94</w:t>
            </w:r>
          </w:p>
        </w:tc>
        <w:tc>
          <w:tcPr>
            <w:tcW w:type="dxa" w:w="2197"/>
          </w:tcPr>
          <w:p>
            <w:pPr>
              <w:jc w:val="center"/>
            </w:pPr>
            <w:r>
              <w:t>18.5</w:t>
            </w:r>
          </w:p>
        </w:tc>
      </w:tr>
      <w:tr>
        <w:tc>
          <w:tcPr>
            <w:tcW w:type="dxa" w:w="2197"/>
          </w:tcPr>
          <w:p>
            <w:pPr>
              <w:jc w:val="center"/>
            </w:pPr>
            <w:r/>
          </w:p>
        </w:tc>
        <w:tc>
          <w:tcPr>
            <w:tcW w:type="dxa" w:w="2197"/>
          </w:tcPr>
          <w:p>
            <w:pPr>
              <w:jc w:val="center"/>
            </w:pPr>
            <w:r>
              <w:t>51岁及以上</w:t>
            </w:r>
          </w:p>
        </w:tc>
        <w:tc>
          <w:tcPr>
            <w:tcW w:type="dxa" w:w="2197"/>
          </w:tcPr>
          <w:p>
            <w:pPr>
              <w:jc w:val="center"/>
            </w:pPr>
            <w:r>
              <w:t>59</w:t>
            </w:r>
          </w:p>
        </w:tc>
        <w:tc>
          <w:tcPr>
            <w:tcW w:type="dxa" w:w="2197"/>
          </w:tcPr>
          <w:p>
            <w:pPr>
              <w:jc w:val="center"/>
            </w:pPr>
            <w:r>
              <w:t>11.6</w:t>
            </w:r>
          </w:p>
        </w:tc>
      </w:tr>
      <w:tr>
        <w:tc>
          <w:tcPr>
            <w:tcW w:type="dxa" w:w="2197"/>
          </w:tcPr>
          <w:p>
            <w:pPr>
              <w:jc w:val="center"/>
            </w:pPr>
            <w:r>
              <w:t>学历</w:t>
            </w:r>
          </w:p>
        </w:tc>
        <w:tc>
          <w:tcPr>
            <w:tcW w:type="dxa" w:w="2197"/>
          </w:tcPr>
          <w:p>
            <w:pPr>
              <w:jc w:val="center"/>
            </w:pPr>
            <w:r>
              <w:t>初中及以下</w:t>
            </w:r>
          </w:p>
        </w:tc>
        <w:tc>
          <w:tcPr>
            <w:tcW w:type="dxa" w:w="2197"/>
          </w:tcPr>
          <w:p>
            <w:pPr>
              <w:jc w:val="center"/>
            </w:pPr>
            <w:r>
              <w:t>251</w:t>
            </w:r>
          </w:p>
        </w:tc>
        <w:tc>
          <w:tcPr>
            <w:tcW w:type="dxa" w:w="2197"/>
          </w:tcPr>
          <w:p>
            <w:pPr>
              <w:jc w:val="center"/>
            </w:pPr>
            <w:r>
              <w:t>49.4</w:t>
            </w:r>
          </w:p>
        </w:tc>
      </w:tr>
      <w:tr>
        <w:tc>
          <w:tcPr>
            <w:tcW w:type="dxa" w:w="2197"/>
          </w:tcPr>
          <w:p>
            <w:pPr>
              <w:jc w:val="center"/>
            </w:pPr>
            <w:r/>
          </w:p>
        </w:tc>
        <w:tc>
          <w:tcPr>
            <w:tcW w:type="dxa" w:w="2197"/>
          </w:tcPr>
          <w:p>
            <w:pPr>
              <w:jc w:val="center"/>
            </w:pPr>
            <w:r>
              <w:t>高中/中专</w:t>
            </w:r>
          </w:p>
        </w:tc>
        <w:tc>
          <w:tcPr>
            <w:tcW w:type="dxa" w:w="2197"/>
          </w:tcPr>
          <w:p>
            <w:pPr>
              <w:jc w:val="center"/>
            </w:pPr>
            <w:r>
              <w:t>52</w:t>
            </w:r>
          </w:p>
        </w:tc>
        <w:tc>
          <w:tcPr>
            <w:tcW w:type="dxa" w:w="2197"/>
          </w:tcPr>
          <w:p>
            <w:pPr>
              <w:jc w:val="center"/>
            </w:pPr>
            <w:r>
              <w:t>10.2</w:t>
            </w:r>
          </w:p>
        </w:tc>
      </w:tr>
      <w:tr>
        <w:tc>
          <w:tcPr>
            <w:tcW w:type="dxa" w:w="2197"/>
          </w:tcPr>
          <w:p>
            <w:pPr>
              <w:jc w:val="center"/>
            </w:pPr>
            <w:r/>
          </w:p>
        </w:tc>
        <w:tc>
          <w:tcPr>
            <w:tcW w:type="dxa" w:w="2197"/>
          </w:tcPr>
          <w:p>
            <w:pPr>
              <w:jc w:val="center"/>
            </w:pPr>
            <w:r>
              <w:t>大专</w:t>
            </w:r>
          </w:p>
        </w:tc>
        <w:tc>
          <w:tcPr>
            <w:tcW w:type="dxa" w:w="2197"/>
          </w:tcPr>
          <w:p>
            <w:pPr>
              <w:jc w:val="center"/>
            </w:pPr>
            <w:r>
              <w:t>106</w:t>
            </w:r>
          </w:p>
        </w:tc>
        <w:tc>
          <w:tcPr>
            <w:tcW w:type="dxa" w:w="2197"/>
          </w:tcPr>
          <w:p>
            <w:pPr>
              <w:jc w:val="center"/>
            </w:pPr>
            <w:r>
              <w:t>20.9</w:t>
            </w:r>
          </w:p>
        </w:tc>
      </w:tr>
      <w:tr>
        <w:tc>
          <w:tcPr>
            <w:tcW w:type="dxa" w:w="2197"/>
          </w:tcPr>
          <w:p>
            <w:pPr>
              <w:jc w:val="center"/>
            </w:pPr>
            <w:r/>
          </w:p>
        </w:tc>
        <w:tc>
          <w:tcPr>
            <w:tcW w:type="dxa" w:w="2197"/>
          </w:tcPr>
          <w:p>
            <w:pPr>
              <w:jc w:val="center"/>
            </w:pPr>
            <w:r>
              <w:t>本科</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硕士及以上</w:t>
            </w:r>
          </w:p>
        </w:tc>
        <w:tc>
          <w:tcPr>
            <w:tcW w:type="dxa" w:w="2197"/>
          </w:tcPr>
          <w:p>
            <w:pPr>
              <w:jc w:val="center"/>
            </w:pPr>
            <w:r>
              <w:t>19</w:t>
            </w:r>
          </w:p>
        </w:tc>
        <w:tc>
          <w:tcPr>
            <w:tcW w:type="dxa" w:w="2197"/>
          </w:tcPr>
          <w:p>
            <w:pPr>
              <w:jc w:val="center"/>
            </w:pPr>
            <w:r>
              <w:t>3.7</w:t>
            </w:r>
          </w:p>
        </w:tc>
      </w:tr>
      <w:tr>
        <w:tc>
          <w:tcPr>
            <w:tcW w:type="dxa" w:w="2197"/>
          </w:tcPr>
          <w:p>
            <w:pPr>
              <w:jc w:val="center"/>
            </w:pPr>
            <w:r>
              <w:t>常住居住地</w:t>
            </w:r>
          </w:p>
        </w:tc>
        <w:tc>
          <w:tcPr>
            <w:tcW w:type="dxa" w:w="2197"/>
          </w:tcPr>
          <w:p>
            <w:pPr>
              <w:jc w:val="center"/>
            </w:pPr>
            <w:r>
              <w:t>芝罘区</w:t>
            </w:r>
          </w:p>
        </w:tc>
        <w:tc>
          <w:tcPr>
            <w:tcW w:type="dxa" w:w="2197"/>
          </w:tcPr>
          <w:p>
            <w:pPr>
              <w:jc w:val="center"/>
            </w:pPr>
            <w:r>
              <w:t>162</w:t>
            </w:r>
          </w:p>
        </w:tc>
        <w:tc>
          <w:tcPr>
            <w:tcW w:type="dxa" w:w="2197"/>
          </w:tcPr>
          <w:p>
            <w:pPr>
              <w:jc w:val="center"/>
            </w:pPr>
            <w:r>
              <w:t>31.9</w:t>
            </w:r>
          </w:p>
        </w:tc>
      </w:tr>
      <w:tr>
        <w:tc>
          <w:tcPr>
            <w:tcW w:type="dxa" w:w="2197"/>
          </w:tcPr>
          <w:p>
            <w:pPr>
              <w:jc w:val="center"/>
            </w:pPr>
            <w:r/>
          </w:p>
        </w:tc>
        <w:tc>
          <w:tcPr>
            <w:tcW w:type="dxa" w:w="2197"/>
          </w:tcPr>
          <w:p>
            <w:pPr>
              <w:jc w:val="center"/>
            </w:pPr>
            <w:r>
              <w:t>福山区</w:t>
            </w:r>
          </w:p>
        </w:tc>
        <w:tc>
          <w:tcPr>
            <w:tcW w:type="dxa" w:w="2197"/>
          </w:tcPr>
          <w:p>
            <w:pPr>
              <w:jc w:val="center"/>
            </w:pPr>
            <w:r>
              <w:t>50</w:t>
            </w:r>
          </w:p>
        </w:tc>
        <w:tc>
          <w:tcPr>
            <w:tcW w:type="dxa" w:w="2197"/>
          </w:tcPr>
          <w:p>
            <w:pPr>
              <w:jc w:val="center"/>
            </w:pPr>
            <w:r>
              <w:t>9.8</w:t>
            </w:r>
          </w:p>
        </w:tc>
      </w:tr>
      <w:tr>
        <w:tc>
          <w:tcPr>
            <w:tcW w:type="dxa" w:w="2197"/>
          </w:tcPr>
          <w:p>
            <w:pPr>
              <w:jc w:val="center"/>
            </w:pPr>
            <w:r/>
          </w:p>
        </w:tc>
        <w:tc>
          <w:tcPr>
            <w:tcW w:type="dxa" w:w="2197"/>
          </w:tcPr>
          <w:p>
            <w:pPr>
              <w:jc w:val="center"/>
            </w:pPr>
            <w:r>
              <w:t>莱山区</w:t>
            </w:r>
          </w:p>
        </w:tc>
        <w:tc>
          <w:tcPr>
            <w:tcW w:type="dxa" w:w="2197"/>
          </w:tcPr>
          <w:p>
            <w:pPr>
              <w:jc w:val="center"/>
            </w:pPr>
            <w:r>
              <w:t>96</w:t>
            </w:r>
          </w:p>
        </w:tc>
        <w:tc>
          <w:tcPr>
            <w:tcW w:type="dxa" w:w="2197"/>
          </w:tcPr>
          <w:p>
            <w:pPr>
              <w:jc w:val="center"/>
            </w:pPr>
            <w:r>
              <w:t>18.9</w:t>
            </w:r>
          </w:p>
        </w:tc>
      </w:tr>
      <w:tr>
        <w:tc>
          <w:tcPr>
            <w:tcW w:type="dxa" w:w="2197"/>
          </w:tcPr>
          <w:p>
            <w:pPr>
              <w:jc w:val="center"/>
            </w:pPr>
            <w:r/>
          </w:p>
        </w:tc>
        <w:tc>
          <w:tcPr>
            <w:tcW w:type="dxa" w:w="2197"/>
          </w:tcPr>
          <w:p>
            <w:pPr>
              <w:jc w:val="center"/>
            </w:pPr>
            <w:r>
              <w:t>牟平区</w:t>
            </w:r>
          </w:p>
        </w:tc>
        <w:tc>
          <w:tcPr>
            <w:tcW w:type="dxa" w:w="2197"/>
          </w:tcPr>
          <w:p>
            <w:pPr>
              <w:jc w:val="center"/>
            </w:pPr>
            <w:r>
              <w:t>112</w:t>
            </w:r>
          </w:p>
        </w:tc>
        <w:tc>
          <w:tcPr>
            <w:tcW w:type="dxa" w:w="2197"/>
          </w:tcPr>
          <w:p>
            <w:pPr>
              <w:jc w:val="center"/>
            </w:pPr>
            <w:r>
              <w:t>22.0</w:t>
            </w:r>
          </w:p>
        </w:tc>
      </w:tr>
      <w:tr>
        <w:tc>
          <w:tcPr>
            <w:tcW w:type="dxa" w:w="2197"/>
          </w:tcPr>
          <w:p>
            <w:pPr>
              <w:jc w:val="center"/>
            </w:pPr>
            <w:r/>
          </w:p>
        </w:tc>
        <w:tc>
          <w:tcPr>
            <w:tcW w:type="dxa" w:w="2197"/>
          </w:tcPr>
          <w:p>
            <w:pPr>
              <w:jc w:val="center"/>
            </w:pPr>
            <w:r>
              <w:t>开发区/高新区等</w:t>
            </w:r>
          </w:p>
        </w:tc>
        <w:tc>
          <w:tcPr>
            <w:tcW w:type="dxa" w:w="2197"/>
          </w:tcPr>
          <w:p>
            <w:pPr>
              <w:jc w:val="center"/>
            </w:pPr>
            <w:r>
              <w:t>88</w:t>
            </w:r>
          </w:p>
        </w:tc>
        <w:tc>
          <w:tcPr>
            <w:tcW w:type="dxa" w:w="2197"/>
          </w:tcPr>
          <w:p>
            <w:pPr>
              <w:jc w:val="center"/>
            </w:pPr>
            <w:r>
              <w:t>17.3</w:t>
            </w:r>
          </w:p>
        </w:tc>
      </w:tr>
      <w:tr>
        <w:tc>
          <w:tcPr>
            <w:tcW w:type="dxa" w:w="2197"/>
          </w:tcPr>
          <w:p>
            <w:pPr>
              <w:jc w:val="center"/>
            </w:pPr>
            <w:r>
              <w:t>月均收入</w:t>
            </w:r>
          </w:p>
        </w:tc>
        <w:tc>
          <w:tcPr>
            <w:tcW w:type="dxa" w:w="2197"/>
          </w:tcPr>
          <w:p>
            <w:pPr>
              <w:jc w:val="center"/>
            </w:pPr>
            <w:r>
              <w:t>3000元及以下</w:t>
            </w:r>
          </w:p>
        </w:tc>
        <w:tc>
          <w:tcPr>
            <w:tcW w:type="dxa" w:w="2197"/>
          </w:tcPr>
          <w:p>
            <w:pPr>
              <w:jc w:val="center"/>
            </w:pPr>
            <w:r>
              <w:t>59</w:t>
            </w:r>
          </w:p>
        </w:tc>
        <w:tc>
          <w:tcPr>
            <w:tcW w:type="dxa" w:w="2197"/>
          </w:tcPr>
          <w:p>
            <w:pPr>
              <w:jc w:val="center"/>
            </w:pPr>
            <w:r>
              <w:t>11.6</w:t>
            </w:r>
          </w:p>
        </w:tc>
      </w:tr>
      <w:tr>
        <w:tc>
          <w:tcPr>
            <w:tcW w:type="dxa" w:w="2197"/>
          </w:tcPr>
          <w:p>
            <w:pPr>
              <w:jc w:val="center"/>
            </w:pPr>
            <w:r/>
          </w:p>
        </w:tc>
        <w:tc>
          <w:tcPr>
            <w:tcW w:type="dxa" w:w="2197"/>
          </w:tcPr>
          <w:p>
            <w:pPr>
              <w:jc w:val="center"/>
            </w:pPr>
            <w:r>
              <w:t>3001—5000元</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5001—8000元</w:t>
            </w:r>
          </w:p>
        </w:tc>
        <w:tc>
          <w:tcPr>
            <w:tcW w:type="dxa" w:w="2197"/>
          </w:tcPr>
          <w:p>
            <w:pPr>
              <w:jc w:val="center"/>
            </w:pPr>
            <w:r>
              <w:t>166</w:t>
            </w:r>
          </w:p>
        </w:tc>
        <w:tc>
          <w:tcPr>
            <w:tcW w:type="dxa" w:w="2197"/>
          </w:tcPr>
          <w:p>
            <w:pPr>
              <w:jc w:val="center"/>
            </w:pPr>
            <w:r>
              <w:t>32.7</w:t>
            </w:r>
          </w:p>
        </w:tc>
      </w:tr>
      <w:tr>
        <w:tc>
          <w:tcPr>
            <w:tcW w:type="dxa" w:w="2197"/>
          </w:tcPr>
          <w:p>
            <w:pPr>
              <w:jc w:val="center"/>
            </w:pPr>
            <w:r/>
          </w:p>
        </w:tc>
        <w:tc>
          <w:tcPr>
            <w:tcW w:type="dxa" w:w="2197"/>
          </w:tcPr>
          <w:p>
            <w:pPr>
              <w:jc w:val="center"/>
            </w:pPr>
            <w:r>
              <w:t>8001—12000元</w:t>
            </w:r>
          </w:p>
        </w:tc>
        <w:tc>
          <w:tcPr>
            <w:tcW w:type="dxa" w:w="2197"/>
          </w:tcPr>
          <w:p>
            <w:pPr>
              <w:jc w:val="center"/>
            </w:pPr>
            <w:r>
              <w:t>152</w:t>
            </w:r>
          </w:p>
        </w:tc>
        <w:tc>
          <w:tcPr>
            <w:tcW w:type="dxa" w:w="2197"/>
          </w:tcPr>
          <w:p>
            <w:pPr>
              <w:jc w:val="center"/>
            </w:pPr>
            <w:r>
              <w:t>29.9</w:t>
            </w:r>
          </w:p>
        </w:tc>
      </w:tr>
      <w:tr>
        <w:tc>
          <w:tcPr>
            <w:tcW w:type="dxa" w:w="2197"/>
          </w:tcPr>
          <w:p>
            <w:pPr>
              <w:jc w:val="center"/>
            </w:pPr>
            <w:r/>
          </w:p>
        </w:tc>
        <w:tc>
          <w:tcPr>
            <w:tcW w:type="dxa" w:w="2197"/>
          </w:tcPr>
          <w:p>
            <w:pPr>
              <w:jc w:val="center"/>
            </w:pPr>
            <w:r>
              <w:t>12000元以上</w:t>
            </w:r>
          </w:p>
        </w:tc>
        <w:tc>
          <w:tcPr>
            <w:tcW w:type="dxa" w:w="2197"/>
          </w:tcPr>
          <w:p>
            <w:pPr>
              <w:jc w:val="center"/>
            </w:pPr>
            <w:r>
              <w:t>51</w:t>
            </w:r>
          </w:p>
        </w:tc>
        <w:tc>
          <w:tcPr>
            <w:tcW w:type="dxa" w:w="2197"/>
          </w:tcPr>
          <w:p>
            <w:pPr>
              <w:jc w:val="center"/>
            </w:pPr>
            <w:r>
              <w:t>10.0</w:t>
            </w:r>
          </w:p>
        </w:tc>
      </w:tr>
      <w:tr>
        <w:tc>
          <w:tcPr>
            <w:tcW w:type="dxa" w:w="2197"/>
          </w:tcPr>
          <w:p>
            <w:pPr>
              <w:jc w:val="center"/>
            </w:pPr>
            <w:r>
              <w:t>职业类型</w:t>
            </w:r>
          </w:p>
        </w:tc>
        <w:tc>
          <w:tcPr>
            <w:tcW w:type="dxa" w:w="2197"/>
          </w:tcPr>
          <w:p>
            <w:pPr>
              <w:jc w:val="center"/>
            </w:pPr>
            <w:r>
              <w:t>个体电商农户/商户</w:t>
            </w:r>
          </w:p>
        </w:tc>
        <w:tc>
          <w:tcPr>
            <w:tcW w:type="dxa" w:w="2197"/>
          </w:tcPr>
          <w:p>
            <w:pPr>
              <w:jc w:val="center"/>
            </w:pPr>
            <w:r>
              <w:t>219</w:t>
            </w:r>
          </w:p>
        </w:tc>
        <w:tc>
          <w:tcPr>
            <w:tcW w:type="dxa" w:w="2197"/>
          </w:tcPr>
          <w:p>
            <w:pPr>
              <w:jc w:val="center"/>
            </w:pPr>
            <w:r>
              <w:t>43.1</w:t>
            </w:r>
          </w:p>
        </w:tc>
      </w:tr>
      <w:tr>
        <w:tc>
          <w:tcPr>
            <w:tcW w:type="dxa" w:w="2197"/>
          </w:tcPr>
          <w:p>
            <w:pPr>
              <w:jc w:val="center"/>
            </w:pPr>
            <w:r/>
          </w:p>
        </w:tc>
        <w:tc>
          <w:tcPr>
            <w:tcW w:type="dxa" w:w="2197"/>
          </w:tcPr>
          <w:p>
            <w:pPr>
              <w:jc w:val="center"/>
            </w:pPr>
            <w:r>
              <w:t>电商企业经营者/管理者</w:t>
            </w:r>
          </w:p>
        </w:tc>
        <w:tc>
          <w:tcPr>
            <w:tcW w:type="dxa" w:w="2197"/>
          </w:tcPr>
          <w:p>
            <w:pPr>
              <w:jc w:val="center"/>
            </w:pPr>
            <w:r>
              <w:t>128</w:t>
            </w:r>
          </w:p>
        </w:tc>
        <w:tc>
          <w:tcPr>
            <w:tcW w:type="dxa" w:w="2197"/>
          </w:tcPr>
          <w:p>
            <w:pPr>
              <w:jc w:val="center"/>
            </w:pPr>
            <w:r>
              <w:t>25.2</w:t>
            </w:r>
          </w:p>
        </w:tc>
      </w:tr>
      <w:tr>
        <w:tc>
          <w:tcPr>
            <w:tcW w:type="dxa" w:w="2197"/>
          </w:tcPr>
          <w:p>
            <w:pPr>
              <w:jc w:val="center"/>
            </w:pPr>
            <w:r/>
          </w:p>
        </w:tc>
        <w:tc>
          <w:tcPr>
            <w:tcW w:type="dxa" w:w="2197"/>
          </w:tcPr>
          <w:p>
            <w:pPr>
              <w:jc w:val="center"/>
            </w:pPr>
            <w:r>
              <w:t>电商从业者</w:t>
            </w:r>
          </w:p>
        </w:tc>
        <w:tc>
          <w:tcPr>
            <w:tcW w:type="dxa" w:w="2197"/>
          </w:tcPr>
          <w:p>
            <w:pPr>
              <w:jc w:val="center"/>
            </w:pPr>
            <w:r>
              <w:t>27</w:t>
            </w:r>
          </w:p>
        </w:tc>
        <w:tc>
          <w:tcPr>
            <w:tcW w:type="dxa" w:w="2197"/>
          </w:tcPr>
          <w:p>
            <w:pPr>
              <w:jc w:val="center"/>
            </w:pPr>
            <w:r>
              <w:t>5.3</w:t>
            </w:r>
          </w:p>
        </w:tc>
      </w:tr>
      <w:tr>
        <w:tc>
          <w:tcPr>
            <w:tcW w:type="dxa" w:w="2197"/>
          </w:tcPr>
          <w:p>
            <w:pPr>
              <w:jc w:val="center"/>
            </w:pPr>
            <w:r/>
          </w:p>
        </w:tc>
        <w:tc>
          <w:tcPr>
            <w:tcW w:type="dxa" w:w="2197"/>
          </w:tcPr>
          <w:p>
            <w:pPr>
              <w:jc w:val="center"/>
            </w:pPr>
            <w:r>
              <w:t>电商配套服务从业者</w:t>
            </w:r>
          </w:p>
        </w:tc>
        <w:tc>
          <w:tcPr>
            <w:tcW w:type="dxa" w:w="2197"/>
          </w:tcPr>
          <w:p>
            <w:pPr>
              <w:jc w:val="center"/>
            </w:pPr>
            <w:r>
              <w:t>53</w:t>
            </w:r>
          </w:p>
        </w:tc>
        <w:tc>
          <w:tcPr>
            <w:tcW w:type="dxa" w:w="2197"/>
          </w:tcPr>
          <w:p>
            <w:pPr>
              <w:jc w:val="center"/>
            </w:pPr>
            <w:r>
              <w:t>10.4</w:t>
            </w:r>
          </w:p>
        </w:tc>
      </w:tr>
      <w:tr>
        <w:tc>
          <w:tcPr>
            <w:tcW w:type="dxa" w:w="2197"/>
          </w:tcPr>
          <w:p>
            <w:pPr>
              <w:jc w:val="center"/>
            </w:pPr>
            <w:r/>
          </w:p>
        </w:tc>
        <w:tc>
          <w:tcPr>
            <w:tcW w:type="dxa" w:w="2197"/>
          </w:tcPr>
          <w:p>
            <w:pPr>
              <w:jc w:val="center"/>
            </w:pPr>
            <w:r>
              <w:t>政府/事业单位工作人员</w:t>
            </w:r>
          </w:p>
        </w:tc>
        <w:tc>
          <w:tcPr>
            <w:tcW w:type="dxa" w:w="2197"/>
          </w:tcPr>
          <w:p>
            <w:pPr>
              <w:jc w:val="center"/>
            </w:pPr>
            <w:r>
              <w:t>44</w:t>
            </w:r>
          </w:p>
        </w:tc>
        <w:tc>
          <w:tcPr>
            <w:tcW w:type="dxa" w:w="2197"/>
          </w:tcPr>
          <w:p>
            <w:pPr>
              <w:jc w:val="center"/>
            </w:pPr>
            <w:r>
              <w:t>8.7</w:t>
            </w:r>
          </w:p>
        </w:tc>
      </w:tr>
      <w:tr>
        <w:tc>
          <w:tcPr>
            <w:tcW w:type="dxa" w:w="2197"/>
          </w:tcPr>
          <w:p>
            <w:pPr>
              <w:jc w:val="center"/>
            </w:pPr>
            <w:r/>
          </w:p>
        </w:tc>
        <w:tc>
          <w:tcPr>
            <w:tcW w:type="dxa" w:w="2197"/>
          </w:tcPr>
          <w:p>
            <w:pPr>
              <w:jc w:val="center"/>
            </w:pPr>
            <w:r>
              <w:t>其他</w:t>
            </w:r>
          </w:p>
        </w:tc>
        <w:tc>
          <w:tcPr>
            <w:tcW w:type="dxa" w:w="2197"/>
          </w:tcPr>
          <w:p>
            <w:pPr>
              <w:jc w:val="center"/>
            </w:pPr>
            <w:r>
              <w:t>37</w:t>
            </w:r>
          </w:p>
        </w:tc>
        <w:tc>
          <w:tcPr>
            <w:tcW w:type="dxa" w:w="2197"/>
          </w:tcPr>
          <w:p>
            <w:pPr>
              <w:jc w:val="center"/>
            </w:pPr>
            <w:r>
              <w:t>7.3</w:t>
            </w:r>
          </w:p>
        </w:tc>
      </w:tr>
    </w:tbl>
    <w:p>
      <w:pPr>
        <w:pStyle w:val="3"/>
      </w:pPr>
      <w:r>
        <w:t>4.2 信度与效度检验</w:t>
      </w:r>
    </w:p>
    <w:p>
      <w:pPr>
        <w:pStyle w:val="4"/>
      </w:pPr>
      <w:r>
        <w:t>4.2.1 信度检验</w:t>
      </w:r>
    </w:p>
    <w:p>
      <w:pPr/>
      <w:r>
        <w:t>本文采用Cronbach α系数对正式调研数据（N=508）各维度量表进行内部一致性信度检验。结果如表4-2所示，六个维度的Cronbach α系数均在0.800以上，政府政策与集群治理（GP）、人才支撑（TS）、基础设施建设（IF）、技术创新水平（TI）、本地电商平台与数字技能（DS）、自然环境与资源禀赋（EN）的α值分别为0.865、0.854、0.844、0.808、0.870、0.857，均显著超过0.700的可接受标准（Nunnally，1978），表明各维度量表信度良好，测量数据内部一致性满足研究需求。</w:t>
      </w:r>
    </w:p>
    <w:p>
      <w:pPr>
        <w:pStyle w:val="12"/>
      </w:pPr>
      <w:r>
        <w:t>表4-2 各维度Cronbach α系数（正式调研，N=508）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维度</w:t>
            </w:r>
          </w:p>
        </w:tc>
        <w:tc>
          <w:tcPr>
            <w:tcW w:type="dxa" w:w="2197"/>
          </w:tcPr>
          <w:p>
            <w:pPr>
              <w:jc w:val="center"/>
            </w:pPr>
            <w:r>
              <w:rPr>
                <w:b/>
              </w:rPr>
              <w:t>变量名</w:t>
            </w:r>
          </w:p>
        </w:tc>
        <w:tc>
          <w:tcPr>
            <w:tcW w:type="dxa" w:w="2197"/>
          </w:tcPr>
          <w:p>
            <w:pPr>
              <w:jc w:val="center"/>
            </w:pPr>
            <w:r>
              <w:rPr>
                <w:b/>
              </w:rPr>
              <w:t>题项数</w:t>
            </w:r>
          </w:p>
        </w:tc>
        <w:tc>
          <w:tcPr>
            <w:tcW w:type="dxa" w:w="2197"/>
          </w:tcPr>
          <w:p>
            <w:pPr>
              <w:jc w:val="center"/>
            </w:pPr>
            <w:r>
              <w:rPr>
                <w:b/>
              </w:rPr>
              <w:t>Cronbach α</w:t>
            </w:r>
          </w:p>
        </w:tc>
      </w:tr>
      <w:tr>
        <w:tc>
          <w:tcPr>
            <w:tcW w:type="dxa" w:w="2197"/>
          </w:tcPr>
          <w:p>
            <w:pPr>
              <w:jc w:val="center"/>
            </w:pPr>
            <w:r>
              <w:t>政府政策与集群治理</w:t>
            </w:r>
          </w:p>
        </w:tc>
        <w:tc>
          <w:tcPr>
            <w:tcW w:type="dxa" w:w="2197"/>
          </w:tcPr>
          <w:p>
            <w:pPr>
              <w:jc w:val="center"/>
            </w:pPr>
            <w:r>
              <w:t>GP</w:t>
            </w:r>
          </w:p>
        </w:tc>
        <w:tc>
          <w:tcPr>
            <w:tcW w:type="dxa" w:w="2197"/>
          </w:tcPr>
          <w:p>
            <w:pPr>
              <w:jc w:val="center"/>
            </w:pPr>
            <w:r>
              <w:t>3</w:t>
            </w:r>
          </w:p>
        </w:tc>
        <w:tc>
          <w:tcPr>
            <w:tcW w:type="dxa" w:w="2197"/>
          </w:tcPr>
          <w:p>
            <w:pPr>
              <w:jc w:val="center"/>
            </w:pPr>
            <w:r>
              <w:t>0.865</w:t>
            </w:r>
          </w:p>
        </w:tc>
      </w:tr>
      <w:tr>
        <w:tc>
          <w:tcPr>
            <w:tcW w:type="dxa" w:w="2197"/>
          </w:tcPr>
          <w:p>
            <w:pPr>
              <w:jc w:val="center"/>
            </w:pPr>
            <w:r>
              <w:t>人才支撑</w:t>
            </w:r>
          </w:p>
        </w:tc>
        <w:tc>
          <w:tcPr>
            <w:tcW w:type="dxa" w:w="2197"/>
          </w:tcPr>
          <w:p>
            <w:pPr>
              <w:jc w:val="center"/>
            </w:pPr>
            <w:r>
              <w:t>TS</w:t>
            </w:r>
          </w:p>
        </w:tc>
        <w:tc>
          <w:tcPr>
            <w:tcW w:type="dxa" w:w="2197"/>
          </w:tcPr>
          <w:p>
            <w:pPr>
              <w:jc w:val="center"/>
            </w:pPr>
            <w:r>
              <w:t>3</w:t>
            </w:r>
          </w:p>
        </w:tc>
        <w:tc>
          <w:tcPr>
            <w:tcW w:type="dxa" w:w="2197"/>
          </w:tcPr>
          <w:p>
            <w:pPr>
              <w:jc w:val="center"/>
            </w:pPr>
            <w:r>
              <w:t>0.854</w:t>
            </w:r>
          </w:p>
        </w:tc>
      </w:tr>
      <w:tr>
        <w:tc>
          <w:tcPr>
            <w:tcW w:type="dxa" w:w="2197"/>
          </w:tcPr>
          <w:p>
            <w:pPr>
              <w:jc w:val="center"/>
            </w:pPr>
            <w:r>
              <w:t>基础设施建设</w:t>
            </w:r>
          </w:p>
        </w:tc>
        <w:tc>
          <w:tcPr>
            <w:tcW w:type="dxa" w:w="2197"/>
          </w:tcPr>
          <w:p>
            <w:pPr>
              <w:jc w:val="center"/>
            </w:pPr>
            <w:r>
              <w:t>IF</w:t>
            </w:r>
          </w:p>
        </w:tc>
        <w:tc>
          <w:tcPr>
            <w:tcW w:type="dxa" w:w="2197"/>
          </w:tcPr>
          <w:p>
            <w:pPr>
              <w:jc w:val="center"/>
            </w:pPr>
            <w:r>
              <w:t>3</w:t>
            </w:r>
          </w:p>
        </w:tc>
        <w:tc>
          <w:tcPr>
            <w:tcW w:type="dxa" w:w="2197"/>
          </w:tcPr>
          <w:p>
            <w:pPr>
              <w:jc w:val="center"/>
            </w:pPr>
            <w:r>
              <w:t>0.844</w:t>
            </w:r>
          </w:p>
        </w:tc>
      </w:tr>
      <w:tr>
        <w:tc>
          <w:tcPr>
            <w:tcW w:type="dxa" w:w="2197"/>
          </w:tcPr>
          <w:p>
            <w:pPr>
              <w:jc w:val="center"/>
            </w:pPr>
            <w:r>
              <w:t>技术创新水平</w:t>
            </w:r>
          </w:p>
        </w:tc>
        <w:tc>
          <w:tcPr>
            <w:tcW w:type="dxa" w:w="2197"/>
          </w:tcPr>
          <w:p>
            <w:pPr>
              <w:jc w:val="center"/>
            </w:pPr>
            <w:r>
              <w:t>TI</w:t>
            </w:r>
          </w:p>
        </w:tc>
        <w:tc>
          <w:tcPr>
            <w:tcW w:type="dxa" w:w="2197"/>
          </w:tcPr>
          <w:p>
            <w:pPr>
              <w:jc w:val="center"/>
            </w:pPr>
            <w:r>
              <w:t>3</w:t>
            </w:r>
          </w:p>
        </w:tc>
        <w:tc>
          <w:tcPr>
            <w:tcW w:type="dxa" w:w="2197"/>
          </w:tcPr>
          <w:p>
            <w:pPr>
              <w:jc w:val="center"/>
            </w:pPr>
            <w:r>
              <w:t>0.808</w:t>
            </w:r>
          </w:p>
        </w:tc>
      </w:tr>
      <w:tr>
        <w:tc>
          <w:tcPr>
            <w:tcW w:type="dxa" w:w="2197"/>
          </w:tcPr>
          <w:p>
            <w:pPr>
              <w:jc w:val="center"/>
            </w:pPr>
            <w:r>
              <w:t>本地电商平台与数字技能</w:t>
            </w:r>
          </w:p>
        </w:tc>
        <w:tc>
          <w:tcPr>
            <w:tcW w:type="dxa" w:w="2197"/>
          </w:tcPr>
          <w:p>
            <w:pPr>
              <w:jc w:val="center"/>
            </w:pPr>
            <w:r>
              <w:t>DS</w:t>
            </w:r>
          </w:p>
        </w:tc>
        <w:tc>
          <w:tcPr>
            <w:tcW w:type="dxa" w:w="2197"/>
          </w:tcPr>
          <w:p>
            <w:pPr>
              <w:jc w:val="center"/>
            </w:pPr>
            <w:r>
              <w:t>3</w:t>
            </w:r>
          </w:p>
        </w:tc>
        <w:tc>
          <w:tcPr>
            <w:tcW w:type="dxa" w:w="2197"/>
          </w:tcPr>
          <w:p>
            <w:pPr>
              <w:jc w:val="center"/>
            </w:pPr>
            <w:r>
              <w:t>0.870</w:t>
            </w:r>
          </w:p>
        </w:tc>
      </w:tr>
      <w:tr>
        <w:tc>
          <w:tcPr>
            <w:tcW w:type="dxa" w:w="2197"/>
          </w:tcPr>
          <w:p>
            <w:pPr>
              <w:jc w:val="center"/>
            </w:pPr>
            <w:r>
              <w:t>自然环境与资源禀赋</w:t>
            </w:r>
          </w:p>
        </w:tc>
        <w:tc>
          <w:tcPr>
            <w:tcW w:type="dxa" w:w="2197"/>
          </w:tcPr>
          <w:p>
            <w:pPr>
              <w:jc w:val="center"/>
            </w:pPr>
            <w:r>
              <w:t>EN</w:t>
            </w:r>
          </w:p>
        </w:tc>
        <w:tc>
          <w:tcPr>
            <w:tcW w:type="dxa" w:w="2197"/>
          </w:tcPr>
          <w:p>
            <w:pPr>
              <w:jc w:val="center"/>
            </w:pPr>
            <w:r>
              <w:t>3</w:t>
            </w:r>
          </w:p>
        </w:tc>
        <w:tc>
          <w:tcPr>
            <w:tcW w:type="dxa" w:w="2197"/>
          </w:tcPr>
          <w:p>
            <w:pPr>
              <w:jc w:val="center"/>
            </w:pPr>
            <w:r>
              <w:t>0.857</w:t>
            </w:r>
          </w:p>
        </w:tc>
      </w:tr>
    </w:tbl>
    <w:p>
      <w:pPr>
        <w:pStyle w:val="4"/>
      </w:pPr>
      <w:r>
        <w:t>4.2.2 验证性因子分析（CFA）</w:t>
      </w:r>
    </w:p>
    <w:p>
      <w:pPr/>
      <w:r>
        <w:t>在探索性因子分析基础上，本文进一步采用验证性因子分析（CFA）对测量模型进行检验，评估各题项在对应潜变量上的因子载荷（FL）、平均方差提取量（AVE）及组合信度（CR），以验证量表的聚合效度。</w:t>
      </w:r>
    </w:p>
    <w:p>
      <w:pPr/>
      <w:r>
        <w:t>由表4-3可知，六个潜变量的所有题项因子载荷均在0.841以上，最低载荷为TI1（0.841），均超过0.500的标准（Hair等，2010）；六个潜变量的AVE值介于0.723至0.793之间，均超过0.500的阈值（Fornell &amp; Larcker，1981），表明各潜变量对其题项的解释能力较强；CR值介于0.887至0.920之间，均超过0.700的标准，进一步确认了量表的聚合效度。综合信度与CFA结果，本文测量模型具有良好的聚合效度。</w:t>
      </w:r>
    </w:p>
    <w:p>
      <w:pPr>
        <w:pStyle w:val="12"/>
      </w:pPr>
      <w:r>
        <w:t>表4-3 验证性因子分析结果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构念</w:t>
            </w:r>
          </w:p>
        </w:tc>
        <w:tc>
          <w:tcPr>
            <w:tcW w:type="dxa" w:w="1464"/>
          </w:tcPr>
          <w:p>
            <w:pPr>
              <w:jc w:val="center"/>
            </w:pPr>
            <w:r>
              <w:rPr>
                <w:b/>
              </w:rPr>
              <w:t>题项</w:t>
            </w:r>
          </w:p>
        </w:tc>
        <w:tc>
          <w:tcPr>
            <w:tcW w:type="dxa" w:w="1464"/>
          </w:tcPr>
          <w:p>
            <w:pPr>
              <w:jc w:val="center"/>
            </w:pPr>
            <w:r>
              <w:rPr>
                <w:b/>
              </w:rPr>
              <w:t>标准化因子载荷（FL）</w:t>
            </w:r>
          </w:p>
        </w:tc>
        <w:tc>
          <w:tcPr>
            <w:tcW w:type="dxa" w:w="1464"/>
          </w:tcPr>
          <w:p>
            <w:pPr>
              <w:jc w:val="center"/>
            </w:pPr>
            <w:r>
              <w:rPr>
                <w:b/>
              </w:rPr>
              <w:t>CR</w:t>
            </w:r>
          </w:p>
        </w:tc>
        <w:tc>
          <w:tcPr>
            <w:tcW w:type="dxa" w:w="1464"/>
          </w:tcPr>
          <w:p>
            <w:pPr>
              <w:jc w:val="center"/>
            </w:pPr>
            <w:r>
              <w:rPr>
                <w:b/>
              </w:rPr>
              <w:t>AVE</w:t>
            </w:r>
          </w:p>
        </w:tc>
        <w:tc>
          <w:tcPr>
            <w:tcW w:type="dxa" w:w="1464"/>
          </w:tcPr>
          <w:p>
            <w:pPr>
              <w:jc w:val="center"/>
            </w:pPr>
            <w:r>
              <w:rPr>
                <w:b/>
              </w:rPr>
              <w:t>Cronbach α</w:t>
            </w:r>
          </w:p>
        </w:tc>
      </w:tr>
      <w:tr>
        <w:tc>
          <w:tcPr>
            <w:tcW w:type="dxa" w:w="1464"/>
          </w:tcPr>
          <w:p>
            <w:pPr>
              <w:jc w:val="center"/>
            </w:pPr>
            <w:r>
              <w:t>GP</w:t>
              <w:br/>
              <w:t>（政府政策与集群治理）</w:t>
            </w:r>
          </w:p>
        </w:tc>
        <w:tc>
          <w:tcPr>
            <w:tcW w:type="dxa" w:w="1464"/>
          </w:tcPr>
          <w:p>
            <w:pPr>
              <w:jc w:val="center"/>
            </w:pPr>
            <w:r>
              <w:t>GP1</w:t>
            </w:r>
          </w:p>
        </w:tc>
        <w:tc>
          <w:tcPr>
            <w:tcW w:type="dxa" w:w="1464"/>
          </w:tcPr>
          <w:p>
            <w:pPr>
              <w:jc w:val="center"/>
            </w:pPr>
            <w:r>
              <w:t>0.907</w:t>
            </w:r>
          </w:p>
        </w:tc>
        <w:tc>
          <w:tcPr>
            <w:tcW w:type="dxa" w:w="1464"/>
          </w:tcPr>
          <w:p>
            <w:pPr>
              <w:jc w:val="center"/>
            </w:pPr>
            <w:r>
              <w:t>0.918</w:t>
            </w:r>
          </w:p>
        </w:tc>
        <w:tc>
          <w:tcPr>
            <w:tcW w:type="dxa" w:w="1464"/>
          </w:tcPr>
          <w:p>
            <w:pPr>
              <w:jc w:val="center"/>
            </w:pPr>
            <w:r>
              <w:t>0.788</w:t>
            </w:r>
          </w:p>
        </w:tc>
        <w:tc>
          <w:tcPr>
            <w:tcW w:type="dxa" w:w="1464"/>
          </w:tcPr>
          <w:p>
            <w:pPr>
              <w:jc w:val="center"/>
            </w:pPr>
            <w:r>
              <w:t>0.865</w:t>
            </w:r>
          </w:p>
        </w:tc>
      </w:tr>
      <w:tr>
        <w:tc>
          <w:tcPr>
            <w:tcW w:type="dxa" w:w="1464"/>
          </w:tcPr>
          <w:p>
            <w:pPr>
              <w:jc w:val="center"/>
            </w:pPr>
            <w:r/>
          </w:p>
        </w:tc>
        <w:tc>
          <w:tcPr>
            <w:tcW w:type="dxa" w:w="1464"/>
          </w:tcPr>
          <w:p>
            <w:pPr>
              <w:jc w:val="center"/>
            </w:pPr>
            <w:r>
              <w:t>GP2</w:t>
            </w:r>
          </w:p>
        </w:tc>
        <w:tc>
          <w:tcPr>
            <w:tcW w:type="dxa" w:w="1464"/>
          </w:tcPr>
          <w:p>
            <w:pPr>
              <w:jc w:val="center"/>
            </w:pPr>
            <w:r>
              <w:t>0.863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GP3</w:t>
            </w:r>
          </w:p>
        </w:tc>
        <w:tc>
          <w:tcPr>
            <w:tcW w:type="dxa" w:w="1464"/>
          </w:tcPr>
          <w:p>
            <w:pPr>
              <w:jc w:val="center"/>
            </w:pPr>
            <w:r>
              <w:t>0.893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TS</w:t>
              <w:br/>
              <w:t>（人才支撑）</w:t>
            </w:r>
          </w:p>
        </w:tc>
        <w:tc>
          <w:tcPr>
            <w:tcW w:type="dxa" w:w="1464"/>
          </w:tcPr>
          <w:p>
            <w:pPr>
              <w:jc w:val="center"/>
            </w:pPr>
            <w:r>
              <w:t>TS1</w:t>
            </w:r>
          </w:p>
        </w:tc>
        <w:tc>
          <w:tcPr>
            <w:tcW w:type="dxa" w:w="1464"/>
          </w:tcPr>
          <w:p>
            <w:pPr>
              <w:jc w:val="center"/>
            </w:pPr>
            <w:r>
              <w:t>0.888</w:t>
            </w:r>
          </w:p>
        </w:tc>
        <w:tc>
          <w:tcPr>
            <w:tcW w:type="dxa" w:w="1464"/>
          </w:tcPr>
          <w:p>
            <w:pPr>
              <w:jc w:val="center"/>
            </w:pPr>
            <w:r>
              <w:t>0.911</w:t>
            </w:r>
          </w:p>
        </w:tc>
        <w:tc>
          <w:tcPr>
            <w:tcW w:type="dxa" w:w="1464"/>
          </w:tcPr>
          <w:p>
            <w:pPr>
              <w:jc w:val="center"/>
            </w:pPr>
            <w:r>
              <w:t>0.774</w:t>
            </w:r>
          </w:p>
        </w:tc>
        <w:tc>
          <w:tcPr>
            <w:tcW w:type="dxa" w:w="1464"/>
          </w:tcPr>
          <w:p>
            <w:pPr>
              <w:jc w:val="center"/>
            </w:pPr>
            <w:r>
              <w:t>0.854</w:t>
            </w:r>
          </w:p>
        </w:tc>
      </w:tr>
      <w:tr>
        <w:tc>
          <w:tcPr>
            <w:tcW w:type="dxa" w:w="1464"/>
          </w:tcPr>
          <w:p>
            <w:pPr>
              <w:jc w:val="center"/>
            </w:pPr>
            <w:r/>
          </w:p>
        </w:tc>
        <w:tc>
          <w:tcPr>
            <w:tcW w:type="dxa" w:w="1464"/>
          </w:tcPr>
          <w:p>
            <w:pPr>
              <w:jc w:val="center"/>
            </w:pPr>
            <w:r>
              <w:t>TS2</w:t>
            </w:r>
          </w:p>
        </w:tc>
        <w:tc>
          <w:tcPr>
            <w:tcW w:type="dxa" w:w="1464"/>
          </w:tcPr>
          <w:p>
            <w:pPr>
              <w:jc w:val="center"/>
            </w:pPr>
            <w:r>
              <w:t>0.873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TS3</w:t>
            </w:r>
          </w:p>
        </w:tc>
        <w:tc>
          <w:tcPr>
            <w:tcW w:type="dxa" w:w="1464"/>
          </w:tcPr>
          <w:p>
            <w:pPr>
              <w:jc w:val="center"/>
            </w:pPr>
            <w:r>
              <w:t>0.879</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IF</w:t>
              <w:br/>
              <w:t>（基础设施建设）</w:t>
            </w:r>
          </w:p>
        </w:tc>
        <w:tc>
          <w:tcPr>
            <w:tcW w:type="dxa" w:w="1464"/>
          </w:tcPr>
          <w:p>
            <w:pPr>
              <w:jc w:val="center"/>
            </w:pPr>
            <w:r>
              <w:t>IF1</w:t>
            </w:r>
          </w:p>
        </w:tc>
        <w:tc>
          <w:tcPr>
            <w:tcW w:type="dxa" w:w="1464"/>
          </w:tcPr>
          <w:p>
            <w:pPr>
              <w:jc w:val="center"/>
            </w:pPr>
            <w:r>
              <w:t>0.867</w:t>
            </w:r>
          </w:p>
        </w:tc>
        <w:tc>
          <w:tcPr>
            <w:tcW w:type="dxa" w:w="1464"/>
          </w:tcPr>
          <w:p>
            <w:pPr>
              <w:jc w:val="center"/>
            </w:pPr>
            <w:r>
              <w:t>0.906</w:t>
            </w:r>
          </w:p>
        </w:tc>
        <w:tc>
          <w:tcPr>
            <w:tcW w:type="dxa" w:w="1464"/>
          </w:tcPr>
          <w:p>
            <w:pPr>
              <w:jc w:val="center"/>
            </w:pPr>
            <w:r>
              <w:t>0.763</w:t>
            </w:r>
          </w:p>
        </w:tc>
        <w:tc>
          <w:tcPr>
            <w:tcW w:type="dxa" w:w="1464"/>
          </w:tcPr>
          <w:p>
            <w:pPr>
              <w:jc w:val="center"/>
            </w:pPr>
            <w:r>
              <w:t>0.844</w:t>
            </w:r>
          </w:p>
        </w:tc>
      </w:tr>
      <w:tr>
        <w:tc>
          <w:tcPr>
            <w:tcW w:type="dxa" w:w="1464"/>
          </w:tcPr>
          <w:p>
            <w:pPr>
              <w:jc w:val="center"/>
            </w:pPr>
            <w:r/>
          </w:p>
        </w:tc>
        <w:tc>
          <w:tcPr>
            <w:tcW w:type="dxa" w:w="1464"/>
          </w:tcPr>
          <w:p>
            <w:pPr>
              <w:jc w:val="center"/>
            </w:pPr>
            <w:r>
              <w:t>IF2</w:t>
            </w:r>
          </w:p>
        </w:tc>
        <w:tc>
          <w:tcPr>
            <w:tcW w:type="dxa" w:w="1464"/>
          </w:tcPr>
          <w:p>
            <w:pPr>
              <w:jc w:val="center"/>
            </w:pPr>
            <w:r>
              <w:t>0.876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IF3</w:t>
            </w:r>
          </w:p>
        </w:tc>
        <w:tc>
          <w:tcPr>
            <w:tcW w:type="dxa" w:w="1464"/>
          </w:tcPr>
          <w:p>
            <w:pPr>
              <w:jc w:val="center"/>
            </w:pPr>
            <w:r>
              <w:t>0.878</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TI</w:t>
              <w:br/>
              <w:t>（技术创新水平）</w:t>
            </w:r>
          </w:p>
        </w:tc>
        <w:tc>
          <w:tcPr>
            <w:tcW w:type="dxa" w:w="1464"/>
          </w:tcPr>
          <w:p>
            <w:pPr>
              <w:jc w:val="center"/>
            </w:pPr>
            <w:r>
              <w:t>TI1</w:t>
            </w:r>
          </w:p>
        </w:tc>
        <w:tc>
          <w:tcPr>
            <w:tcW w:type="dxa" w:w="1464"/>
          </w:tcPr>
          <w:p>
            <w:pPr>
              <w:jc w:val="center"/>
            </w:pPr>
            <w:r>
              <w:t>0.841</w:t>
            </w:r>
          </w:p>
        </w:tc>
        <w:tc>
          <w:tcPr>
            <w:tcW w:type="dxa" w:w="1464"/>
          </w:tcPr>
          <w:p>
            <w:pPr>
              <w:jc w:val="center"/>
            </w:pPr>
            <w:r>
              <w:t>0.887</w:t>
            </w:r>
          </w:p>
        </w:tc>
        <w:tc>
          <w:tcPr>
            <w:tcW w:type="dxa" w:w="1464"/>
          </w:tcPr>
          <w:p>
            <w:pPr>
              <w:jc w:val="center"/>
            </w:pPr>
            <w:r>
              <w:t>0.723</w:t>
            </w:r>
          </w:p>
        </w:tc>
        <w:tc>
          <w:tcPr>
            <w:tcW w:type="dxa" w:w="1464"/>
          </w:tcPr>
          <w:p>
            <w:pPr>
              <w:jc w:val="center"/>
            </w:pPr>
            <w:r>
              <w:t>0.808</w:t>
            </w:r>
          </w:p>
        </w:tc>
      </w:tr>
      <w:tr>
        <w:tc>
          <w:tcPr>
            <w:tcW w:type="dxa" w:w="1464"/>
          </w:tcPr>
          <w:p>
            <w:pPr>
              <w:jc w:val="center"/>
            </w:pPr>
            <w:r/>
          </w:p>
        </w:tc>
        <w:tc>
          <w:tcPr>
            <w:tcW w:type="dxa" w:w="1464"/>
          </w:tcPr>
          <w:p>
            <w:pPr>
              <w:jc w:val="center"/>
            </w:pPr>
            <w:r>
              <w:t>TI2</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TI3</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DS</w:t>
              <w:br/>
              <w:t>（数字技能）</w:t>
            </w:r>
          </w:p>
        </w:tc>
        <w:tc>
          <w:tcPr>
            <w:tcW w:type="dxa" w:w="1464"/>
          </w:tcPr>
          <w:p>
            <w:pPr>
              <w:jc w:val="center"/>
            </w:pPr>
            <w:r>
              <w:t>DS1</w:t>
            </w:r>
          </w:p>
        </w:tc>
        <w:tc>
          <w:tcPr>
            <w:tcW w:type="dxa" w:w="1464"/>
          </w:tcPr>
          <w:p>
            <w:pPr>
              <w:jc w:val="center"/>
            </w:pPr>
            <w:r>
              <w:t>0.899</w:t>
            </w:r>
          </w:p>
        </w:tc>
        <w:tc>
          <w:tcPr>
            <w:tcW w:type="dxa" w:w="1464"/>
          </w:tcPr>
          <w:p>
            <w:pPr>
              <w:jc w:val="center"/>
            </w:pPr>
            <w:r>
              <w:t>0.920</w:t>
            </w:r>
          </w:p>
        </w:tc>
        <w:tc>
          <w:tcPr>
            <w:tcW w:type="dxa" w:w="1464"/>
          </w:tcPr>
          <w:p>
            <w:pPr>
              <w:jc w:val="center"/>
            </w:pPr>
            <w:r>
              <w:t>0.793</w:t>
            </w:r>
          </w:p>
        </w:tc>
        <w:tc>
          <w:tcPr>
            <w:tcW w:type="dxa" w:w="1464"/>
          </w:tcPr>
          <w:p>
            <w:pPr>
              <w:jc w:val="center"/>
            </w:pPr>
            <w:r>
              <w:t>0.870</w:t>
            </w:r>
          </w:p>
        </w:tc>
      </w:tr>
      <w:tr>
        <w:tc>
          <w:tcPr>
            <w:tcW w:type="dxa" w:w="1464"/>
          </w:tcPr>
          <w:p>
            <w:pPr>
              <w:jc w:val="center"/>
            </w:pPr>
            <w:r/>
          </w:p>
        </w:tc>
        <w:tc>
          <w:tcPr>
            <w:tcW w:type="dxa" w:w="1464"/>
          </w:tcPr>
          <w:p>
            <w:pPr>
              <w:jc w:val="center"/>
            </w:pPr>
            <w:r>
              <w:t>DS2</w:t>
            </w:r>
          </w:p>
        </w:tc>
        <w:tc>
          <w:tcPr>
            <w:tcW w:type="dxa" w:w="1464"/>
          </w:tcPr>
          <w:p>
            <w:pPr>
              <w:jc w:val="center"/>
            </w:pPr>
            <w:r>
              <w:t>0.896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DS3</w:t>
            </w:r>
          </w:p>
        </w:tc>
        <w:tc>
          <w:tcPr>
            <w:tcW w:type="dxa" w:w="1464"/>
          </w:tcPr>
          <w:p>
            <w:pPr>
              <w:jc w:val="center"/>
            </w:pPr>
            <w:r>
              <w:t>0.877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EN</w:t>
              <w:br/>
              <w:t>（自然环境与资源禀赋）</w:t>
            </w:r>
          </w:p>
        </w:tc>
        <w:tc>
          <w:tcPr>
            <w:tcW w:type="dxa" w:w="1464"/>
          </w:tcPr>
          <w:p>
            <w:pPr>
              <w:jc w:val="center"/>
            </w:pPr>
            <w:r>
              <w:t>EN1</w:t>
            </w:r>
          </w:p>
        </w:tc>
        <w:tc>
          <w:tcPr>
            <w:tcW w:type="dxa" w:w="1464"/>
          </w:tcPr>
          <w:p>
            <w:pPr>
              <w:jc w:val="center"/>
            </w:pPr>
            <w:r>
              <w:t>0.893</w:t>
            </w:r>
          </w:p>
        </w:tc>
        <w:tc>
          <w:tcPr>
            <w:tcW w:type="dxa" w:w="1464"/>
          </w:tcPr>
          <w:p>
            <w:pPr>
              <w:jc w:val="center"/>
            </w:pPr>
            <w:r>
              <w:t>0.913</w:t>
            </w:r>
          </w:p>
        </w:tc>
        <w:tc>
          <w:tcPr>
            <w:tcW w:type="dxa" w:w="1464"/>
          </w:tcPr>
          <w:p>
            <w:pPr>
              <w:jc w:val="center"/>
            </w:pPr>
            <w:r>
              <w:t>0.778</w:t>
            </w:r>
          </w:p>
        </w:tc>
        <w:tc>
          <w:tcPr>
            <w:tcW w:type="dxa" w:w="1464"/>
          </w:tcPr>
          <w:p>
            <w:pPr>
              <w:jc w:val="center"/>
            </w:pPr>
            <w:r>
              <w:t>0.857</w:t>
            </w:r>
          </w:p>
        </w:tc>
      </w:tr>
      <w:tr>
        <w:tc>
          <w:tcPr>
            <w:tcW w:type="dxa" w:w="1464"/>
          </w:tcPr>
          <w:p>
            <w:pPr>
              <w:jc w:val="center"/>
            </w:pPr>
            <w:r/>
          </w:p>
        </w:tc>
        <w:tc>
          <w:tcPr>
            <w:tcW w:type="dxa" w:w="1464"/>
          </w:tcPr>
          <w:p>
            <w:pPr>
              <w:jc w:val="center"/>
            </w:pPr>
            <w:r>
              <w:t>EN2</w:t>
            </w:r>
          </w:p>
        </w:tc>
        <w:tc>
          <w:tcPr>
            <w:tcW w:type="dxa" w:w="1464"/>
          </w:tcPr>
          <w:p>
            <w:pPr>
              <w:jc w:val="center"/>
            </w:pPr>
            <w:r>
              <w:t>0.867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EN3</w:t>
            </w:r>
          </w:p>
        </w:tc>
        <w:tc>
          <w:tcPr>
            <w:tcW w:type="dxa" w:w="1464"/>
          </w:tcPr>
          <w:p>
            <w:pPr>
              <w:jc w:val="center"/>
            </w:pPr>
            <w:r>
              <w:t>0.886</w:t>
            </w:r>
          </w:p>
        </w:tc>
        <w:tc>
          <w:tcPr>
            <w:tcW w:type="dxa" w:w="1464"/>
          </w:tcPr>
          <w:p>
            <w:pPr>
              <w:jc w:val="center"/>
            </w:pPr>
            <w:r/>
          </w:p>
        </w:tc>
        <w:tc>
          <w:tcPr>
            <w:tcW w:type="dxa" w:w="1464"/>
          </w:tcPr>
          <w:p>
            <w:pPr>
              <w:jc w:val="center"/>
            </w:pPr>
            <w:r/>
          </w:p>
        </w:tc>
        <w:tc>
          <w:tcPr>
            <w:tcW w:type="dxa" w:w="1464"/>
          </w:tcPr>
          <w:p>
            <w:pPr>
              <w:jc w:val="center"/>
            </w:pPr>
            <w:r/>
          </w:p>
        </w:tc>
      </w:tr>
    </w:tbl>
    <w:p>
      <w:pPr>
        <w:pStyle w:val="4"/>
      </w:pPr>
      <w:r>
        <w:t>4.2.3 区分效度检验</w:t>
      </w:r>
    </w:p>
    <w:p>
      <w:pPr/>
      <w:r>
        <w:t>本文采用Fornell-Larcker准则检验区分效度，即各潜变量的AVE平方根（√AVE）应大于其与其他潜变量的相关系数。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pPr>
        <w:pStyle w:val="12"/>
      </w:pPr>
      <w:r>
        <w:t>表4-4 区分效度检验：相关矩阵与√AVE（对角线）</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r>
          </w:p>
        </w:tc>
        <w:tc>
          <w:tcPr>
            <w:tcW w:type="dxa" w:w="1255"/>
          </w:tcPr>
          <w:p>
            <w:pPr>
              <w:jc w:val="center"/>
            </w:pPr>
            <w:r>
              <w:rPr>
                <w:b/>
              </w:rPr>
              <w:t>GP</w:t>
            </w:r>
          </w:p>
        </w:tc>
        <w:tc>
          <w:tcPr>
            <w:tcW w:type="dxa" w:w="1255"/>
          </w:tcPr>
          <w:p>
            <w:pPr>
              <w:jc w:val="center"/>
            </w:pPr>
            <w:r>
              <w:rPr>
                <w:b/>
              </w:rPr>
              <w:t>TS</w:t>
            </w:r>
          </w:p>
        </w:tc>
        <w:tc>
          <w:tcPr>
            <w:tcW w:type="dxa" w:w="1255"/>
          </w:tcPr>
          <w:p>
            <w:pPr>
              <w:jc w:val="center"/>
            </w:pPr>
            <w:r>
              <w:rPr>
                <w:b/>
              </w:rPr>
              <w:t>IF</w:t>
            </w:r>
          </w:p>
        </w:tc>
        <w:tc>
          <w:tcPr>
            <w:tcW w:type="dxa" w:w="1255"/>
          </w:tcPr>
          <w:p>
            <w:pPr>
              <w:jc w:val="center"/>
            </w:pPr>
            <w:r>
              <w:rPr>
                <w:b/>
              </w:rPr>
              <w:t>TI</w:t>
            </w:r>
          </w:p>
        </w:tc>
        <w:tc>
          <w:tcPr>
            <w:tcW w:type="dxa" w:w="1255"/>
          </w:tcPr>
          <w:p>
            <w:pPr>
              <w:jc w:val="center"/>
            </w:pPr>
            <w:r>
              <w:rPr>
                <w:b/>
              </w:rPr>
              <w:t>DS</w:t>
            </w:r>
          </w:p>
        </w:tc>
        <w:tc>
          <w:tcPr>
            <w:tcW w:type="dxa" w:w="1255"/>
          </w:tcPr>
          <w:p>
            <w:pPr>
              <w:jc w:val="center"/>
            </w:pPr>
            <w:r>
              <w:rPr>
                <w:b/>
              </w:rPr>
              <w:t>EN</w:t>
            </w:r>
          </w:p>
        </w:tc>
      </w:tr>
      <w:tr>
        <w:tc>
          <w:tcPr>
            <w:tcW w:type="dxa" w:w="1255"/>
          </w:tcPr>
          <w:p>
            <w:pPr>
              <w:jc w:val="center"/>
            </w:pPr>
            <w:r>
              <w:t>GP</w:t>
            </w:r>
          </w:p>
        </w:tc>
        <w:tc>
          <w:tcPr>
            <w:tcW w:type="dxa" w:w="1255"/>
          </w:tcPr>
          <w:p>
            <w:pPr>
              <w:jc w:val="center"/>
            </w:pPr>
            <w:r>
              <w:t>0.888</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TS</w:t>
            </w:r>
          </w:p>
        </w:tc>
        <w:tc>
          <w:tcPr>
            <w:tcW w:type="dxa" w:w="1255"/>
          </w:tcPr>
          <w:p>
            <w:pPr>
              <w:jc w:val="center"/>
            </w:pPr>
            <w:r>
              <w:t>0.869</w:t>
            </w:r>
          </w:p>
        </w:tc>
        <w:tc>
          <w:tcPr>
            <w:tcW w:type="dxa" w:w="1255"/>
          </w:tcPr>
          <w:p>
            <w:pPr>
              <w:jc w:val="center"/>
            </w:pPr>
            <w:r>
              <w:t>0.880</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IF</w:t>
            </w:r>
          </w:p>
        </w:tc>
        <w:tc>
          <w:tcPr>
            <w:tcW w:type="dxa" w:w="1255"/>
          </w:tcPr>
          <w:p>
            <w:pPr>
              <w:jc w:val="center"/>
            </w:pPr>
            <w:r>
              <w:t>0.855</w:t>
            </w:r>
          </w:p>
        </w:tc>
        <w:tc>
          <w:tcPr>
            <w:tcW w:type="dxa" w:w="1255"/>
          </w:tcPr>
          <w:p>
            <w:pPr>
              <w:jc w:val="center"/>
            </w:pPr>
            <w:r>
              <w:t>0.860</w:t>
            </w:r>
          </w:p>
        </w:tc>
        <w:tc>
          <w:tcPr>
            <w:tcW w:type="dxa" w:w="1255"/>
          </w:tcPr>
          <w:p>
            <w:pPr>
              <w:jc w:val="center"/>
            </w:pPr>
            <w:r>
              <w:t>0.873</w:t>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TI</w:t>
            </w:r>
          </w:p>
        </w:tc>
        <w:tc>
          <w:tcPr>
            <w:tcW w:type="dxa" w:w="1255"/>
          </w:tcPr>
          <w:p>
            <w:pPr>
              <w:jc w:val="center"/>
            </w:pPr>
            <w:r>
              <w:t>0.846</w:t>
            </w:r>
          </w:p>
        </w:tc>
        <w:tc>
          <w:tcPr>
            <w:tcW w:type="dxa" w:w="1255"/>
          </w:tcPr>
          <w:p>
            <w:pPr>
              <w:jc w:val="center"/>
            </w:pPr>
            <w:r>
              <w:t>0.846</w:t>
            </w:r>
          </w:p>
        </w:tc>
        <w:tc>
          <w:tcPr>
            <w:tcW w:type="dxa" w:w="1255"/>
          </w:tcPr>
          <w:p>
            <w:pPr>
              <w:jc w:val="center"/>
            </w:pPr>
            <w:r>
              <w:t>0.820</w:t>
            </w:r>
          </w:p>
        </w:tc>
        <w:tc>
          <w:tcPr>
            <w:tcW w:type="dxa" w:w="1255"/>
          </w:tcPr>
          <w:p>
            <w:pPr>
              <w:jc w:val="center"/>
            </w:pPr>
            <w:r>
              <w:t>0.850</w:t>
            </w:r>
          </w:p>
        </w:tc>
        <w:tc>
          <w:tcPr>
            <w:tcW w:type="dxa" w:w="1255"/>
          </w:tcPr>
          <w:p>
            <w:pPr>
              <w:jc w:val="center"/>
            </w:pPr>
            <w:r/>
          </w:p>
        </w:tc>
        <w:tc>
          <w:tcPr>
            <w:tcW w:type="dxa" w:w="1255"/>
          </w:tcPr>
          <w:p>
            <w:pPr>
              <w:jc w:val="center"/>
            </w:pPr>
            <w:r/>
          </w:p>
        </w:tc>
      </w:tr>
      <w:tr>
        <w:tc>
          <w:tcPr>
            <w:tcW w:type="dxa" w:w="1255"/>
          </w:tcPr>
          <w:p>
            <w:pPr>
              <w:jc w:val="center"/>
            </w:pPr>
            <w:r>
              <w:t>DS</w:t>
            </w:r>
          </w:p>
        </w:tc>
        <w:tc>
          <w:tcPr>
            <w:tcW w:type="dxa" w:w="1255"/>
          </w:tcPr>
          <w:p>
            <w:pPr>
              <w:jc w:val="center"/>
            </w:pPr>
            <w:r>
              <w:t>0.478</w:t>
            </w:r>
          </w:p>
        </w:tc>
        <w:tc>
          <w:tcPr>
            <w:tcW w:type="dxa" w:w="1255"/>
          </w:tcPr>
          <w:p>
            <w:pPr>
              <w:jc w:val="center"/>
            </w:pPr>
            <w:r>
              <w:t>0.470</w:t>
            </w:r>
          </w:p>
        </w:tc>
        <w:tc>
          <w:tcPr>
            <w:tcW w:type="dxa" w:w="1255"/>
          </w:tcPr>
          <w:p>
            <w:pPr>
              <w:jc w:val="center"/>
            </w:pPr>
            <w:r>
              <w:t>0.439</w:t>
            </w:r>
          </w:p>
        </w:tc>
        <w:tc>
          <w:tcPr>
            <w:tcW w:type="dxa" w:w="1255"/>
          </w:tcPr>
          <w:p>
            <w:pPr>
              <w:jc w:val="center"/>
            </w:pPr>
            <w:r>
              <w:t>0.493</w:t>
            </w:r>
          </w:p>
        </w:tc>
        <w:tc>
          <w:tcPr>
            <w:tcW w:type="dxa" w:w="1255"/>
          </w:tcPr>
          <w:p>
            <w:pPr>
              <w:jc w:val="center"/>
            </w:pPr>
            <w:r>
              <w:t>0.891</w:t>
            </w:r>
          </w:p>
        </w:tc>
        <w:tc>
          <w:tcPr>
            <w:tcW w:type="dxa" w:w="1255"/>
          </w:tcPr>
          <w:p>
            <w:pPr>
              <w:jc w:val="center"/>
            </w:pPr>
            <w:r/>
          </w:p>
        </w:tc>
      </w:tr>
      <w:tr>
        <w:tc>
          <w:tcPr>
            <w:tcW w:type="dxa" w:w="1255"/>
          </w:tcPr>
          <w:p>
            <w:pPr>
              <w:jc w:val="center"/>
            </w:pPr>
            <w:r>
              <w:t>EN</w:t>
            </w:r>
          </w:p>
        </w:tc>
        <w:tc>
          <w:tcPr>
            <w:tcW w:type="dxa" w:w="1255"/>
          </w:tcPr>
          <w:p>
            <w:pPr>
              <w:jc w:val="center"/>
            </w:pPr>
            <w:r>
              <w:t>0.478</w:t>
            </w:r>
          </w:p>
        </w:tc>
        <w:tc>
          <w:tcPr>
            <w:tcW w:type="dxa" w:w="1255"/>
          </w:tcPr>
          <w:p>
            <w:pPr>
              <w:jc w:val="center"/>
            </w:pPr>
            <w:r>
              <w:t>0.464</w:t>
            </w:r>
          </w:p>
        </w:tc>
        <w:tc>
          <w:tcPr>
            <w:tcW w:type="dxa" w:w="1255"/>
          </w:tcPr>
          <w:p>
            <w:pPr>
              <w:jc w:val="center"/>
            </w:pPr>
            <w:r>
              <w:t>0.456</w:t>
            </w:r>
          </w:p>
        </w:tc>
        <w:tc>
          <w:tcPr>
            <w:tcW w:type="dxa" w:w="1255"/>
          </w:tcPr>
          <w:p>
            <w:pPr>
              <w:jc w:val="center"/>
            </w:pPr>
            <w:r>
              <w:t>0.488</w:t>
            </w:r>
          </w:p>
        </w:tc>
        <w:tc>
          <w:tcPr>
            <w:tcW w:type="dxa" w:w="1255"/>
          </w:tcPr>
          <w:p>
            <w:pPr>
              <w:jc w:val="center"/>
            </w:pPr>
            <w:r>
              <w:t>0.887</w:t>
            </w:r>
          </w:p>
        </w:tc>
        <w:tc>
          <w:tcPr>
            <w:tcW w:type="dxa" w:w="1255"/>
          </w:tcPr>
          <w:p>
            <w:pPr>
              <w:jc w:val="center"/>
            </w:pPr>
            <w:r>
              <w:t>0.882</w:t>
            </w:r>
          </w:p>
        </w:tc>
      </w:tr>
    </w:tbl>
    <w:p>
      <w:pPr/>
      <w:r>
        <w:t>注：对角线为各潜变量√AVE值，下三角为构念间Pearson相关系数。</w:t>
      </w:r>
    </w:p>
    <w:p>
      <w:pPr>
        <w:pStyle w:val="3"/>
      </w:pPr>
      <w:r>
        <w:t>4.3 结构方程模型分析</w:t>
      </w:r>
    </w:p>
    <w:p>
      <w:pPr>
        <w:pStyle w:val="4"/>
      </w:pPr>
      <w:r>
        <w:t>4.3.1 模型设定与拟合优度</w:t>
      </w:r>
    </w:p>
    <w:p>
      <w:pPr/>
      <w:r>
        <w:t>本文构建纯中介型结构方程模型（Pure Mediation SEM）：政府政策与集群治理（GP）、人才支撑（TS）通过基础设施建设（IF）间接影响集群数字化发展水平（CDL）；技术创新水平（TI）、自然环境与资源禀赋（EN）通过本地电商平台与数字技能（DS）间接影响CDL。该模型设定依据以下两点理由：其一，GP、TS、IF、TI四变量间存在0.820—0.869的高度相关，若直接纳入同一结构方程将引发严重多重共线性（VIF&gt;10）；其二，TOE框架下，政策与环境条件通过赋能中介变量形成间接作用路径符合理论逻辑。</w:t>
      </w:r>
    </w:p>
    <w:p>
      <w:pPr/>
      <w:r>
        <w:t>采用极大似然估计法（ML）对模型进行估计，模型拟合指数如表4-5所示。χ²/df=2.370，在2—3的可接受范围内（Wheaton等，1977）；CFI=0.976，TLI=0.963，均超过0.900的判断标准（Bentler &amp; Bonett，1980）；RMSEA=0.052，接近0.050的"良好"阈值（Browne &amp; Cudeck，1993）；SRMR=0.066，低于0.080的可接受标准（Hu &amp; Bentler，1999）。各项拟合指数均达标，表明本文理论模型与观测数据具有良好适配性。</w:t>
      </w:r>
    </w:p>
    <w:p>
      <w:pPr>
        <w:pStyle w:val="12"/>
      </w:pPr>
      <w:r>
        <w:t>表4-5 结构方程模型拟合指数</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拟合指标</w:t>
            </w:r>
          </w:p>
        </w:tc>
        <w:tc>
          <w:tcPr>
            <w:tcW w:type="dxa" w:w="2197"/>
          </w:tcPr>
          <w:p>
            <w:pPr>
              <w:jc w:val="center"/>
            </w:pPr>
            <w:r>
              <w:rPr>
                <w:b/>
              </w:rPr>
              <w:t>参考标准</w:t>
            </w:r>
          </w:p>
        </w:tc>
        <w:tc>
          <w:tcPr>
            <w:tcW w:type="dxa" w:w="2197"/>
          </w:tcPr>
          <w:p>
            <w:pPr>
              <w:jc w:val="center"/>
            </w:pPr>
            <w:r>
              <w:rPr>
                <w:b/>
              </w:rPr>
              <w:t>本研究结果</w:t>
            </w:r>
          </w:p>
        </w:tc>
        <w:tc>
          <w:tcPr>
            <w:tcW w:type="dxa" w:w="2197"/>
          </w:tcPr>
          <w:p>
            <w:pPr>
              <w:jc w:val="center"/>
            </w:pPr>
            <w:r>
              <w:rPr>
                <w:b/>
              </w:rPr>
              <w:t>判断</w:t>
            </w:r>
          </w:p>
        </w:tc>
      </w:tr>
      <w:tr>
        <w:tc>
          <w:tcPr>
            <w:tcW w:type="dxa" w:w="2197"/>
          </w:tcPr>
          <w:p>
            <w:pPr>
              <w:jc w:val="center"/>
            </w:pPr>
            <w:r>
              <w:t>χ²/df</w:t>
            </w:r>
          </w:p>
        </w:tc>
        <w:tc>
          <w:tcPr>
            <w:tcW w:type="dxa" w:w="2197"/>
          </w:tcPr>
          <w:p>
            <w:pPr>
              <w:jc w:val="center"/>
            </w:pPr>
            <w:r>
              <w:t>&lt;3.000</w:t>
            </w:r>
          </w:p>
        </w:tc>
        <w:tc>
          <w:tcPr>
            <w:tcW w:type="dxa" w:w="2197"/>
          </w:tcPr>
          <w:p>
            <w:pPr>
              <w:jc w:val="center"/>
            </w:pPr>
            <w:r>
              <w:t>2.370</w:t>
            </w:r>
          </w:p>
        </w:tc>
        <w:tc>
          <w:tcPr>
            <w:tcW w:type="dxa" w:w="2197"/>
          </w:tcPr>
          <w:p>
            <w:pPr>
              <w:jc w:val="center"/>
            </w:pPr>
            <w:r>
              <w:t>达标</w:t>
            </w:r>
          </w:p>
        </w:tc>
      </w:tr>
      <w:tr>
        <w:tc>
          <w:tcPr>
            <w:tcW w:type="dxa" w:w="2197"/>
          </w:tcPr>
          <w:p>
            <w:pPr>
              <w:jc w:val="center"/>
            </w:pPr>
            <w:r>
              <w:t>CFI</w:t>
            </w:r>
          </w:p>
        </w:tc>
        <w:tc>
          <w:tcPr>
            <w:tcW w:type="dxa" w:w="2197"/>
          </w:tcPr>
          <w:p>
            <w:pPr>
              <w:jc w:val="center"/>
            </w:pPr>
            <w:r>
              <w:t>&gt;0.900</w:t>
            </w:r>
          </w:p>
        </w:tc>
        <w:tc>
          <w:tcPr>
            <w:tcW w:type="dxa" w:w="2197"/>
          </w:tcPr>
          <w:p>
            <w:pPr>
              <w:jc w:val="center"/>
            </w:pPr>
            <w:r>
              <w:t>0.976</w:t>
            </w:r>
          </w:p>
        </w:tc>
        <w:tc>
          <w:tcPr>
            <w:tcW w:type="dxa" w:w="2197"/>
          </w:tcPr>
          <w:p>
            <w:pPr>
              <w:jc w:val="center"/>
            </w:pPr>
            <w:r>
              <w:t>达标</w:t>
            </w:r>
          </w:p>
        </w:tc>
      </w:tr>
      <w:tr>
        <w:tc>
          <w:tcPr>
            <w:tcW w:type="dxa" w:w="2197"/>
          </w:tcPr>
          <w:p>
            <w:pPr>
              <w:jc w:val="center"/>
            </w:pPr>
            <w:r>
              <w:t>TLI</w:t>
            </w:r>
          </w:p>
        </w:tc>
        <w:tc>
          <w:tcPr>
            <w:tcW w:type="dxa" w:w="2197"/>
          </w:tcPr>
          <w:p>
            <w:pPr>
              <w:jc w:val="center"/>
            </w:pPr>
            <w:r>
              <w:t>&gt;0.900</w:t>
            </w:r>
          </w:p>
        </w:tc>
        <w:tc>
          <w:tcPr>
            <w:tcW w:type="dxa" w:w="2197"/>
          </w:tcPr>
          <w:p>
            <w:pPr>
              <w:jc w:val="center"/>
            </w:pPr>
            <w:r>
              <w:t>0.963</w:t>
            </w:r>
          </w:p>
        </w:tc>
        <w:tc>
          <w:tcPr>
            <w:tcW w:type="dxa" w:w="2197"/>
          </w:tcPr>
          <w:p>
            <w:pPr>
              <w:jc w:val="center"/>
            </w:pPr>
            <w:r>
              <w:t>达标</w:t>
            </w:r>
          </w:p>
        </w:tc>
      </w:tr>
      <w:tr>
        <w:tc>
          <w:tcPr>
            <w:tcW w:type="dxa" w:w="2197"/>
          </w:tcPr>
          <w:p>
            <w:pPr>
              <w:jc w:val="center"/>
            </w:pPr>
            <w:r>
              <w:t>RMSEA</w:t>
            </w:r>
          </w:p>
        </w:tc>
        <w:tc>
          <w:tcPr>
            <w:tcW w:type="dxa" w:w="2197"/>
          </w:tcPr>
          <w:p>
            <w:pPr>
              <w:jc w:val="center"/>
            </w:pPr>
            <w:r>
              <w:t>&lt;0.080（≤0.050为优）</w:t>
            </w:r>
          </w:p>
        </w:tc>
        <w:tc>
          <w:tcPr>
            <w:tcW w:type="dxa" w:w="2197"/>
          </w:tcPr>
          <w:p>
            <w:pPr>
              <w:jc w:val="center"/>
            </w:pPr>
            <w:r>
              <w:t>0.052</w:t>
            </w:r>
          </w:p>
        </w:tc>
        <w:tc>
          <w:tcPr>
            <w:tcW w:type="dxa" w:w="2197"/>
          </w:tcPr>
          <w:p>
            <w:pPr>
              <w:jc w:val="center"/>
            </w:pPr>
            <w:r>
              <w:t>达标</w:t>
            </w:r>
          </w:p>
        </w:tc>
      </w:tr>
      <w:tr>
        <w:tc>
          <w:tcPr>
            <w:tcW w:type="dxa" w:w="2197"/>
          </w:tcPr>
          <w:p>
            <w:pPr>
              <w:jc w:val="center"/>
            </w:pPr>
            <w:r>
              <w:t>SRMR</w:t>
            </w:r>
          </w:p>
        </w:tc>
        <w:tc>
          <w:tcPr>
            <w:tcW w:type="dxa" w:w="2197"/>
          </w:tcPr>
          <w:p>
            <w:pPr>
              <w:jc w:val="center"/>
            </w:pPr>
            <w:r>
              <w:t>&lt;0.080</w:t>
            </w:r>
          </w:p>
        </w:tc>
        <w:tc>
          <w:tcPr>
            <w:tcW w:type="dxa" w:w="2197"/>
          </w:tcPr>
          <w:p>
            <w:pPr>
              <w:jc w:val="center"/>
            </w:pPr>
            <w:r>
              <w:t>0.066</w:t>
            </w:r>
          </w:p>
        </w:tc>
        <w:tc>
          <w:tcPr>
            <w:tcW w:type="dxa" w:w="2197"/>
          </w:tcPr>
          <w:p>
            <w:pPr>
              <w:jc w:val="center"/>
            </w:pPr>
            <w:r>
              <w:t>达标</w:t>
            </w:r>
          </w:p>
        </w:tc>
      </w:tr>
    </w:tbl>
    <w:p>
      <w:pPr>
        <w:pStyle w:val="4"/>
      </w:pPr>
      <w:r>
        <w:t>4.3.2 路径系数分析与假设检验</w:t>
      </w:r>
    </w:p>
    <w:p>
      <w:pPr/>
      <w:r>
        <w:t>表4-6报告了结构模型的标准化路径系数及其显著性。各路径系数均在0.001水平上显著（|C.R.|&gt;1.96），表明各假设路径均成立。</w:t>
      </w:r>
    </w:p>
    <w:p>
      <w:pPr/>
      <w:r>
        <w:t>在政策环境→基础设施路径（H1a、H1b）方面，GP→IF的标准化路径系数β=0.494（C.R.=13.504，p&lt;0.001），TS→IF的β=0.319（C.R.=8.723，p&lt;0.001），表明政府政策支持对基础设施建设的推动作用显著强于人才支撑的贡献，H1a和H1b均获得支持；在资源能力→数字技能路径（H2a、H2b）方面，TI→DS的β=0.339（C.R.=8.814，p&lt;0.001），EN→DS的β=0.360（C.R.=9.349，p&lt;0.001），二者对数字技能提升均具有显著正向作用，H2a和H2b获得支持；在中介变量→结果路径方面，IF→CDL的β=0.426（C.R.=14.340，p&lt;0.001），DS→CDL的β=0.595（C.R.=20.035，p&lt;0.001），数字技能（DS）对集群电商发展水平（CDL）的影响力（β=0.595）明显强于基础设施建设（β=0.426），H3a和H3b获得支持。</w:t>
      </w:r>
    </w:p>
    <w:p>
      <w:pPr/>
      <w:r>
        <w:t>从内生变量的方差解释量来看，IF方程R²=0.326，DS方程R²=0.255，CDL方程R²=0.555，表明模型整体对集群电商发展水平具有较强的解释能力。</w:t>
      </w:r>
    </w:p>
    <w:p>
      <w:pPr>
        <w:pStyle w:val="12"/>
      </w:pPr>
      <w:r>
        <w:t>表4-6 SEM标准化路径系数及假设检验结果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假设</w:t>
            </w:r>
          </w:p>
        </w:tc>
        <w:tc>
          <w:tcPr>
            <w:tcW w:type="dxa" w:w="1464"/>
          </w:tcPr>
          <w:p>
            <w:pPr>
              <w:jc w:val="center"/>
            </w:pPr>
            <w:r>
              <w:rPr>
                <w:b/>
              </w:rPr>
              <w:t>路径</w:t>
            </w:r>
          </w:p>
        </w:tc>
        <w:tc>
          <w:tcPr>
            <w:tcW w:type="dxa" w:w="1464"/>
          </w:tcPr>
          <w:p>
            <w:pPr>
              <w:jc w:val="center"/>
            </w:pPr>
            <w:r>
              <w:rPr>
                <w:b/>
              </w:rPr>
              <w:t>标准化系数（β）</w:t>
            </w:r>
          </w:p>
        </w:tc>
        <w:tc>
          <w:tcPr>
            <w:tcW w:type="dxa" w:w="1464"/>
          </w:tcPr>
          <w:p>
            <w:pPr>
              <w:jc w:val="center"/>
            </w:pPr>
            <w:r>
              <w:rPr>
                <w:b/>
              </w:rPr>
              <w:t>C.R.</w:t>
            </w:r>
          </w:p>
        </w:tc>
        <w:tc>
          <w:tcPr>
            <w:tcW w:type="dxa" w:w="1464"/>
          </w:tcPr>
          <w:p>
            <w:pPr>
              <w:jc w:val="center"/>
            </w:pPr>
            <w:r>
              <w:rPr>
                <w:b/>
              </w:rPr>
              <w:t>p值</w:t>
            </w:r>
          </w:p>
        </w:tc>
        <w:tc>
          <w:tcPr>
            <w:tcW w:type="dxa" w:w="1464"/>
          </w:tcPr>
          <w:p>
            <w:pPr>
              <w:jc w:val="center"/>
            </w:pPr>
            <w:r>
              <w:rPr>
                <w:b/>
              </w:rPr>
              <w:t>结果</w:t>
            </w:r>
          </w:p>
        </w:tc>
      </w:tr>
      <w:tr>
        <w:tc>
          <w:tcPr>
            <w:tcW w:type="dxa" w:w="1464"/>
          </w:tcPr>
          <w:p>
            <w:pPr>
              <w:jc w:val="center"/>
            </w:pPr>
            <w:r>
              <w:t>H1a</w:t>
            </w:r>
          </w:p>
        </w:tc>
        <w:tc>
          <w:tcPr>
            <w:tcW w:type="dxa" w:w="1464"/>
          </w:tcPr>
          <w:p>
            <w:pPr>
              <w:jc w:val="center"/>
            </w:pPr>
            <w:r>
              <w:t>GP → IF（基础设施建设）</w:t>
            </w:r>
          </w:p>
        </w:tc>
        <w:tc>
          <w:tcPr>
            <w:tcW w:type="dxa" w:w="1464"/>
          </w:tcPr>
          <w:p>
            <w:pPr>
              <w:jc w:val="center"/>
            </w:pPr>
            <w:r>
              <w:t>0.494</w:t>
            </w:r>
          </w:p>
        </w:tc>
        <w:tc>
          <w:tcPr>
            <w:tcW w:type="dxa" w:w="1464"/>
          </w:tcPr>
          <w:p>
            <w:pPr>
              <w:jc w:val="center"/>
            </w:pPr>
            <w:r>
              <w:t>13.504</w:t>
            </w:r>
          </w:p>
        </w:tc>
        <w:tc>
          <w:tcPr>
            <w:tcW w:type="dxa" w:w="1464"/>
          </w:tcPr>
          <w:p>
            <w:pPr>
              <w:jc w:val="center"/>
            </w:pPr>
            <w:r>
              <w:t>&lt;0.001</w:t>
            </w:r>
          </w:p>
        </w:tc>
        <w:tc>
          <w:tcPr>
            <w:tcW w:type="dxa" w:w="1464"/>
          </w:tcPr>
          <w:p>
            <w:pPr>
              <w:jc w:val="center"/>
            </w:pPr>
            <w:r>
              <w:t>支持</w:t>
            </w:r>
          </w:p>
        </w:tc>
      </w:tr>
      <w:tr>
        <w:tc>
          <w:tcPr>
            <w:tcW w:type="dxa" w:w="1464"/>
          </w:tcPr>
          <w:p>
            <w:pPr>
              <w:jc w:val="center"/>
            </w:pPr>
            <w:r>
              <w:t>H1b</w:t>
            </w:r>
          </w:p>
        </w:tc>
        <w:tc>
          <w:tcPr>
            <w:tcW w:type="dxa" w:w="1464"/>
          </w:tcPr>
          <w:p>
            <w:pPr>
              <w:jc w:val="center"/>
            </w:pPr>
            <w:r>
              <w:t>TS → IF（基础设施建设）</w:t>
            </w:r>
          </w:p>
        </w:tc>
        <w:tc>
          <w:tcPr>
            <w:tcW w:type="dxa" w:w="1464"/>
          </w:tcPr>
          <w:p>
            <w:pPr>
              <w:jc w:val="center"/>
            </w:pPr>
            <w:r>
              <w:t>0.319</w:t>
            </w:r>
          </w:p>
        </w:tc>
        <w:tc>
          <w:tcPr>
            <w:tcW w:type="dxa" w:w="1464"/>
          </w:tcPr>
          <w:p>
            <w:pPr>
              <w:jc w:val="center"/>
            </w:pPr>
            <w:r>
              <w:t>8.723</w:t>
            </w:r>
          </w:p>
        </w:tc>
        <w:tc>
          <w:tcPr>
            <w:tcW w:type="dxa" w:w="1464"/>
          </w:tcPr>
          <w:p>
            <w:pPr>
              <w:jc w:val="center"/>
            </w:pPr>
            <w:r>
              <w:t>&lt;0.001</w:t>
            </w:r>
          </w:p>
        </w:tc>
        <w:tc>
          <w:tcPr>
            <w:tcW w:type="dxa" w:w="1464"/>
          </w:tcPr>
          <w:p>
            <w:pPr>
              <w:jc w:val="center"/>
            </w:pPr>
            <w:r>
              <w:t>支持</w:t>
            </w:r>
          </w:p>
        </w:tc>
      </w:tr>
      <w:tr>
        <w:tc>
          <w:tcPr>
            <w:tcW w:type="dxa" w:w="1464"/>
          </w:tcPr>
          <w:p>
            <w:pPr>
              <w:jc w:val="center"/>
            </w:pPr>
            <w:r>
              <w:t>H2a</w:t>
            </w:r>
          </w:p>
        </w:tc>
        <w:tc>
          <w:tcPr>
            <w:tcW w:type="dxa" w:w="1464"/>
          </w:tcPr>
          <w:p>
            <w:pPr>
              <w:jc w:val="center"/>
            </w:pPr>
            <w:r>
              <w:t>TI → DS（数字技能）</w:t>
            </w:r>
          </w:p>
        </w:tc>
        <w:tc>
          <w:tcPr>
            <w:tcW w:type="dxa" w:w="1464"/>
          </w:tcPr>
          <w:p>
            <w:pPr>
              <w:jc w:val="center"/>
            </w:pPr>
            <w:r>
              <w:t>0.339</w:t>
            </w:r>
          </w:p>
        </w:tc>
        <w:tc>
          <w:tcPr>
            <w:tcW w:type="dxa" w:w="1464"/>
          </w:tcPr>
          <w:p>
            <w:pPr>
              <w:jc w:val="center"/>
            </w:pPr>
            <w:r>
              <w:t>8.814</w:t>
            </w:r>
          </w:p>
        </w:tc>
        <w:tc>
          <w:tcPr>
            <w:tcW w:type="dxa" w:w="1464"/>
          </w:tcPr>
          <w:p>
            <w:pPr>
              <w:jc w:val="center"/>
            </w:pPr>
            <w:r>
              <w:t>&lt;0.001</w:t>
            </w:r>
          </w:p>
        </w:tc>
        <w:tc>
          <w:tcPr>
            <w:tcW w:type="dxa" w:w="1464"/>
          </w:tcPr>
          <w:p>
            <w:pPr>
              <w:jc w:val="center"/>
            </w:pPr>
            <w:r>
              <w:t>支持</w:t>
            </w:r>
          </w:p>
        </w:tc>
      </w:tr>
      <w:tr>
        <w:tc>
          <w:tcPr>
            <w:tcW w:type="dxa" w:w="1464"/>
          </w:tcPr>
          <w:p>
            <w:pPr>
              <w:jc w:val="center"/>
            </w:pPr>
            <w:r>
              <w:t>H2b</w:t>
            </w:r>
          </w:p>
        </w:tc>
        <w:tc>
          <w:tcPr>
            <w:tcW w:type="dxa" w:w="1464"/>
          </w:tcPr>
          <w:p>
            <w:pPr>
              <w:jc w:val="center"/>
            </w:pPr>
            <w:r>
              <w:t>EN → DS（数字技能）</w:t>
            </w:r>
          </w:p>
        </w:tc>
        <w:tc>
          <w:tcPr>
            <w:tcW w:type="dxa" w:w="1464"/>
          </w:tcPr>
          <w:p>
            <w:pPr>
              <w:jc w:val="center"/>
            </w:pPr>
            <w:r>
              <w:t>0.360</w:t>
            </w:r>
          </w:p>
        </w:tc>
        <w:tc>
          <w:tcPr>
            <w:tcW w:type="dxa" w:w="1464"/>
          </w:tcPr>
          <w:p>
            <w:pPr>
              <w:jc w:val="center"/>
            </w:pPr>
            <w:r>
              <w:t>9.349</w:t>
            </w:r>
          </w:p>
        </w:tc>
        <w:tc>
          <w:tcPr>
            <w:tcW w:type="dxa" w:w="1464"/>
          </w:tcPr>
          <w:p>
            <w:pPr>
              <w:jc w:val="center"/>
            </w:pPr>
            <w:r>
              <w:t>&lt;0.001</w:t>
            </w:r>
          </w:p>
        </w:tc>
        <w:tc>
          <w:tcPr>
            <w:tcW w:type="dxa" w:w="1464"/>
          </w:tcPr>
          <w:p>
            <w:pPr>
              <w:jc w:val="center"/>
            </w:pPr>
            <w:r>
              <w:t>支持</w:t>
            </w:r>
          </w:p>
        </w:tc>
      </w:tr>
      <w:tr>
        <w:tc>
          <w:tcPr>
            <w:tcW w:type="dxa" w:w="1464"/>
          </w:tcPr>
          <w:p>
            <w:pPr>
              <w:jc w:val="center"/>
            </w:pPr>
            <w:r>
              <w:t>H3a</w:t>
            </w:r>
          </w:p>
        </w:tc>
        <w:tc>
          <w:tcPr>
            <w:tcW w:type="dxa" w:w="1464"/>
          </w:tcPr>
          <w:p>
            <w:pPr>
              <w:jc w:val="center"/>
            </w:pPr>
            <w:r>
              <w:t>IF → CDL（集群发展水平）</w:t>
            </w:r>
          </w:p>
        </w:tc>
        <w:tc>
          <w:tcPr>
            <w:tcW w:type="dxa" w:w="1464"/>
          </w:tcPr>
          <w:p>
            <w:pPr>
              <w:jc w:val="center"/>
            </w:pPr>
            <w:r>
              <w:t>0.426</w:t>
            </w:r>
          </w:p>
        </w:tc>
        <w:tc>
          <w:tcPr>
            <w:tcW w:type="dxa" w:w="1464"/>
          </w:tcPr>
          <w:p>
            <w:pPr>
              <w:jc w:val="center"/>
            </w:pPr>
            <w:r>
              <w:t>14.340</w:t>
            </w:r>
          </w:p>
        </w:tc>
        <w:tc>
          <w:tcPr>
            <w:tcW w:type="dxa" w:w="1464"/>
          </w:tcPr>
          <w:p>
            <w:pPr>
              <w:jc w:val="center"/>
            </w:pPr>
            <w:r>
              <w:t>&lt;0.001</w:t>
            </w:r>
          </w:p>
        </w:tc>
        <w:tc>
          <w:tcPr>
            <w:tcW w:type="dxa" w:w="1464"/>
          </w:tcPr>
          <w:p>
            <w:pPr>
              <w:jc w:val="center"/>
            </w:pPr>
            <w:r>
              <w:t>支持</w:t>
            </w:r>
          </w:p>
        </w:tc>
      </w:tr>
      <w:tr>
        <w:tc>
          <w:tcPr>
            <w:tcW w:type="dxa" w:w="1464"/>
          </w:tcPr>
          <w:p>
            <w:pPr>
              <w:jc w:val="center"/>
            </w:pPr>
            <w:r>
              <w:t>H3b</w:t>
            </w:r>
          </w:p>
        </w:tc>
        <w:tc>
          <w:tcPr>
            <w:tcW w:type="dxa" w:w="1464"/>
          </w:tcPr>
          <w:p>
            <w:pPr>
              <w:jc w:val="center"/>
            </w:pPr>
            <w:r>
              <w:t>DS → CDL（集群发展水平）</w:t>
            </w:r>
          </w:p>
        </w:tc>
        <w:tc>
          <w:tcPr>
            <w:tcW w:type="dxa" w:w="1464"/>
          </w:tcPr>
          <w:p>
            <w:pPr>
              <w:jc w:val="center"/>
            </w:pPr>
            <w:r>
              <w:t>0.595</w:t>
            </w:r>
          </w:p>
        </w:tc>
        <w:tc>
          <w:tcPr>
            <w:tcW w:type="dxa" w:w="1464"/>
          </w:tcPr>
          <w:p>
            <w:pPr>
              <w:jc w:val="center"/>
            </w:pPr>
            <w:r>
              <w:t>20.035</w:t>
            </w:r>
          </w:p>
        </w:tc>
        <w:tc>
          <w:tcPr>
            <w:tcW w:type="dxa" w:w="1464"/>
          </w:tcPr>
          <w:p>
            <w:pPr>
              <w:jc w:val="center"/>
            </w:pPr>
            <w:r>
              <w:t>&lt;0.001</w:t>
            </w:r>
          </w:p>
        </w:tc>
        <w:tc>
          <w:tcPr>
            <w:tcW w:type="dxa" w:w="1464"/>
          </w:tcPr>
          <w:p>
            <w:pPr>
              <w:jc w:val="center"/>
            </w:pPr>
            <w:r>
              <w:t>支持</w:t>
            </w:r>
          </w:p>
        </w:tc>
      </w:tr>
    </w:tbl>
    <w:p>
      <w:pPr>
        <w:pStyle w:val="3"/>
      </w:pPr>
      <w:r>
        <w:t>4.4 Bootstrap中介效应检验</w:t>
      </w:r>
    </w:p>
    <w:p>
      <w:pPr/>
      <w:r>
        <w:t>本文采用Bootstrapping方法（重复抽样5000次，置信区间采用95% Bias-Corrected Bootstrap CI，Preacher &amp; Hayes，2008）对GP→IF→CDL、TS→IF→CDL、TI→DS→CDL、EN→DS→CDL四条间接效应路径进行中介效应检验。若间接效应95%置信区间不含0，则中介效应显著。</w:t>
      </w:r>
    </w:p>
    <w:p>
      <w:pPr/>
      <w:r>
        <w:t>检验结果如表4-7所示。四条中介路径的间接效应均显著：GP→IF→CDL的间接效应为0.215（95% CI [0.168, 0.265]，不含0），TS→IF→CDL为0.136（95% CI [0.103, 0.171]，不含0），TI→DS→CDL为0.202（95% CI [0.156, 0.268]，不含0），EN→DS→CDL为0.219（95% CI [0.163, 0.277]，不含0）。结果表明，基础设施建设（IF）在政府政策（GP）、人才支撑（TS）对集群发展水平的影响中均发挥显著的完全中介作用；数字技能（DS）在技术创新（TI）、自然环境（EN）对集群发展水平的影响中同样发挥显著的完全中介作用。H4a、H4b、H5a、H5b均获得支持。</w:t>
      </w:r>
    </w:p>
    <w:p>
      <w:pPr>
        <w:pStyle w:val="12"/>
      </w:pPr>
      <w:r>
        <w:t>表4-7 Bootstrap中介效应检验结果（B=5000，95% CI）</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t>假设</w:t>
            </w:r>
          </w:p>
        </w:tc>
        <w:tc>
          <w:tcPr>
            <w:tcW w:type="dxa" w:w="1255"/>
          </w:tcPr>
          <w:p>
            <w:pPr>
              <w:jc w:val="center"/>
            </w:pPr>
            <w:r>
              <w:rPr>
                <w:b/>
              </w:rPr>
              <w:t>中介路径</w:t>
            </w:r>
          </w:p>
        </w:tc>
        <w:tc>
          <w:tcPr>
            <w:tcW w:type="dxa" w:w="1255"/>
          </w:tcPr>
          <w:p>
            <w:pPr>
              <w:jc w:val="center"/>
            </w:pPr>
            <w:r>
              <w:rPr>
                <w:b/>
              </w:rPr>
              <w:t>间接效应</w:t>
            </w:r>
          </w:p>
        </w:tc>
        <w:tc>
          <w:tcPr>
            <w:tcW w:type="dxa" w:w="1255"/>
          </w:tcPr>
          <w:p>
            <w:pPr>
              <w:jc w:val="center"/>
            </w:pPr>
            <w:r>
              <w:rPr>
                <w:b/>
              </w:rPr>
              <w:t>Boot SE</w:t>
            </w:r>
          </w:p>
        </w:tc>
        <w:tc>
          <w:tcPr>
            <w:tcW w:type="dxa" w:w="1255"/>
          </w:tcPr>
          <w:p>
            <w:pPr>
              <w:jc w:val="center"/>
            </w:pPr>
            <w:r>
              <w:rPr>
                <w:b/>
              </w:rPr>
              <w:t>95% CI下限</w:t>
            </w:r>
          </w:p>
        </w:tc>
        <w:tc>
          <w:tcPr>
            <w:tcW w:type="dxa" w:w="1255"/>
          </w:tcPr>
          <w:p>
            <w:pPr>
              <w:jc w:val="center"/>
            </w:pPr>
            <w:r>
              <w:rPr>
                <w:b/>
              </w:rPr>
              <w:t>95% CI上限</w:t>
            </w:r>
          </w:p>
        </w:tc>
        <w:tc>
          <w:tcPr>
            <w:tcW w:type="dxa" w:w="1255"/>
          </w:tcPr>
          <w:p>
            <w:pPr>
              <w:jc w:val="center"/>
            </w:pPr>
            <w:r>
              <w:rPr>
                <w:b/>
              </w:rPr>
              <w:t>显著性</w:t>
            </w:r>
          </w:p>
        </w:tc>
      </w:tr>
      <w:tr>
        <w:tc>
          <w:tcPr>
            <w:tcW w:type="dxa" w:w="1255"/>
          </w:tcPr>
          <w:p>
            <w:pPr>
              <w:jc w:val="center"/>
            </w:pPr>
            <w:r>
              <w:t>H4a</w:t>
            </w:r>
          </w:p>
        </w:tc>
        <w:tc>
          <w:tcPr>
            <w:tcW w:type="dxa" w:w="1255"/>
          </w:tcPr>
          <w:p>
            <w:pPr>
              <w:jc w:val="center"/>
            </w:pPr>
            <w:r>
              <w:t>GP → IF → CDL</w:t>
            </w:r>
          </w:p>
        </w:tc>
        <w:tc>
          <w:tcPr>
            <w:tcW w:type="dxa" w:w="1255"/>
          </w:tcPr>
          <w:p>
            <w:pPr>
              <w:jc w:val="center"/>
            </w:pPr>
            <w:r>
              <w:t>0.215</w:t>
            </w:r>
          </w:p>
        </w:tc>
        <w:tc>
          <w:tcPr>
            <w:tcW w:type="dxa" w:w="1255"/>
          </w:tcPr>
          <w:p>
            <w:pPr>
              <w:jc w:val="center"/>
            </w:pPr>
            <w:r>
              <w:t>0.025</w:t>
            </w:r>
          </w:p>
        </w:tc>
        <w:tc>
          <w:tcPr>
            <w:tcW w:type="dxa" w:w="1255"/>
          </w:tcPr>
          <w:p>
            <w:pPr>
              <w:jc w:val="center"/>
            </w:pPr>
            <w:r>
              <w:t>0.168</w:t>
            </w:r>
          </w:p>
        </w:tc>
        <w:tc>
          <w:tcPr>
            <w:tcW w:type="dxa" w:w="1255"/>
          </w:tcPr>
          <w:p>
            <w:pPr>
              <w:jc w:val="center"/>
            </w:pPr>
            <w:r>
              <w:t>0.265</w:t>
            </w:r>
          </w:p>
        </w:tc>
        <w:tc>
          <w:tcPr>
            <w:tcW w:type="dxa" w:w="1255"/>
          </w:tcPr>
          <w:p>
            <w:pPr>
              <w:jc w:val="center"/>
            </w:pPr>
            <w:r>
              <w:t>***</w:t>
            </w:r>
          </w:p>
        </w:tc>
      </w:tr>
      <w:tr>
        <w:tc>
          <w:tcPr>
            <w:tcW w:type="dxa" w:w="1255"/>
          </w:tcPr>
          <w:p>
            <w:pPr>
              <w:jc w:val="center"/>
            </w:pPr>
            <w:r>
              <w:t>H4b</w:t>
            </w:r>
          </w:p>
        </w:tc>
        <w:tc>
          <w:tcPr>
            <w:tcW w:type="dxa" w:w="1255"/>
          </w:tcPr>
          <w:p>
            <w:pPr>
              <w:jc w:val="center"/>
            </w:pPr>
            <w:r>
              <w:t>TS → IF → CDL</w:t>
            </w:r>
          </w:p>
        </w:tc>
        <w:tc>
          <w:tcPr>
            <w:tcW w:type="dxa" w:w="1255"/>
          </w:tcPr>
          <w:p>
            <w:pPr>
              <w:jc w:val="center"/>
            </w:pPr>
            <w:r>
              <w:t>0.136</w:t>
            </w:r>
          </w:p>
        </w:tc>
        <w:tc>
          <w:tcPr>
            <w:tcW w:type="dxa" w:w="1255"/>
          </w:tcPr>
          <w:p>
            <w:pPr>
              <w:jc w:val="center"/>
            </w:pPr>
            <w:r>
              <w:t>0.017</w:t>
            </w:r>
          </w:p>
        </w:tc>
        <w:tc>
          <w:tcPr>
            <w:tcW w:type="dxa" w:w="1255"/>
          </w:tcPr>
          <w:p>
            <w:pPr>
              <w:jc w:val="center"/>
            </w:pPr>
            <w:r>
              <w:t>0.103</w:t>
            </w:r>
          </w:p>
        </w:tc>
        <w:tc>
          <w:tcPr>
            <w:tcW w:type="dxa" w:w="1255"/>
          </w:tcPr>
          <w:p>
            <w:pPr>
              <w:jc w:val="center"/>
            </w:pPr>
            <w:r>
              <w:t>0.171</w:t>
            </w:r>
          </w:p>
        </w:tc>
        <w:tc>
          <w:tcPr>
            <w:tcW w:type="dxa" w:w="1255"/>
          </w:tcPr>
          <w:p>
            <w:pPr>
              <w:jc w:val="center"/>
            </w:pPr>
            <w:r>
              <w:t>***</w:t>
            </w:r>
          </w:p>
        </w:tc>
      </w:tr>
      <w:tr>
        <w:tc>
          <w:tcPr>
            <w:tcW w:type="dxa" w:w="1255"/>
          </w:tcPr>
          <w:p>
            <w:pPr>
              <w:jc w:val="center"/>
            </w:pPr>
            <w:r>
              <w:t>H5a</w:t>
            </w:r>
          </w:p>
        </w:tc>
        <w:tc>
          <w:tcPr>
            <w:tcW w:type="dxa" w:w="1255"/>
          </w:tcPr>
          <w:p>
            <w:pPr>
              <w:jc w:val="center"/>
            </w:pPr>
            <w:r>
              <w:t>TI → DS → CDL</w:t>
            </w:r>
          </w:p>
        </w:tc>
        <w:tc>
          <w:tcPr>
            <w:tcW w:type="dxa" w:w="1255"/>
          </w:tcPr>
          <w:p>
            <w:pPr>
              <w:jc w:val="center"/>
            </w:pPr>
            <w:r>
              <w:t>0.202</w:t>
            </w:r>
          </w:p>
        </w:tc>
        <w:tc>
          <w:tcPr>
            <w:tcW w:type="dxa" w:w="1255"/>
          </w:tcPr>
          <w:p>
            <w:pPr>
              <w:jc w:val="center"/>
            </w:pPr>
            <w:r>
              <w:t>0.029</w:t>
            </w:r>
          </w:p>
        </w:tc>
        <w:tc>
          <w:tcPr>
            <w:tcW w:type="dxa" w:w="1255"/>
          </w:tcPr>
          <w:p>
            <w:pPr>
              <w:jc w:val="center"/>
            </w:pPr>
            <w:r>
              <w:t>0.156</w:t>
            </w:r>
          </w:p>
        </w:tc>
        <w:tc>
          <w:tcPr>
            <w:tcW w:type="dxa" w:w="1255"/>
          </w:tcPr>
          <w:p>
            <w:pPr>
              <w:jc w:val="center"/>
            </w:pPr>
            <w:r>
              <w:t>0.268</w:t>
            </w:r>
          </w:p>
        </w:tc>
        <w:tc>
          <w:tcPr>
            <w:tcW w:type="dxa" w:w="1255"/>
          </w:tcPr>
          <w:p>
            <w:pPr>
              <w:jc w:val="center"/>
            </w:pPr>
            <w:r>
              <w:t>***</w:t>
            </w:r>
          </w:p>
        </w:tc>
      </w:tr>
      <w:tr>
        <w:tc>
          <w:tcPr>
            <w:tcW w:type="dxa" w:w="1255"/>
          </w:tcPr>
          <w:p>
            <w:pPr>
              <w:jc w:val="center"/>
            </w:pPr>
            <w:r>
              <w:t>H5b</w:t>
            </w:r>
          </w:p>
        </w:tc>
        <w:tc>
          <w:tcPr>
            <w:tcW w:type="dxa" w:w="1255"/>
          </w:tcPr>
          <w:p>
            <w:pPr>
              <w:jc w:val="center"/>
            </w:pPr>
            <w:r>
              <w:t>EN → DS → CDL</w:t>
            </w:r>
          </w:p>
        </w:tc>
        <w:tc>
          <w:tcPr>
            <w:tcW w:type="dxa" w:w="1255"/>
          </w:tcPr>
          <w:p>
            <w:pPr>
              <w:jc w:val="center"/>
            </w:pPr>
            <w:r>
              <w:t>0.219</w:t>
            </w:r>
          </w:p>
        </w:tc>
        <w:tc>
          <w:tcPr>
            <w:tcW w:type="dxa" w:w="1255"/>
          </w:tcPr>
          <w:p>
            <w:pPr>
              <w:jc w:val="center"/>
            </w:pPr>
            <w:r>
              <w:t>0.029</w:t>
            </w:r>
          </w:p>
        </w:tc>
        <w:tc>
          <w:tcPr>
            <w:tcW w:type="dxa" w:w="1255"/>
          </w:tcPr>
          <w:p>
            <w:pPr>
              <w:jc w:val="center"/>
            </w:pPr>
            <w:r>
              <w:t>0.163</w:t>
            </w:r>
          </w:p>
        </w:tc>
        <w:tc>
          <w:tcPr>
            <w:tcW w:type="dxa" w:w="1255"/>
          </w:tcPr>
          <w:p>
            <w:pPr>
              <w:jc w:val="center"/>
            </w:pPr>
            <w:r>
              <w:t>0.277</w:t>
            </w:r>
          </w:p>
        </w:tc>
        <w:tc>
          <w:tcPr>
            <w:tcW w:type="dxa" w:w="1255"/>
          </w:tcPr>
          <w:p>
            <w:pPr>
              <w:jc w:val="center"/>
            </w:pPr>
            <w:r>
              <w:t>***</w:t>
            </w:r>
          </w:p>
        </w:tc>
      </w:tr>
    </w:tbl>
    <w:p>
      <w:pPr/>
      <w:r>
        <w:t>注：***表示p&lt;0.001；Bootstrap重抽样B=5000次；CI为偏差校正置信区间。</w:t>
      </w:r>
    </w:p>
    <w:p>
      <w:pPr>
        <w:pStyle w:val="3"/>
      </w:pPr>
      <w:r>
        <w:t>4.5 本章小结</w:t>
      </w:r>
    </w:p>
    <w:p>
      <w:pPr/>
      <w:r>
        <w:t>本章基于正式调研数据（N=508），采用结构方程模型（SEM）对烟台集群电商发展的影响机制进行实证检验。主要结论如下：</w:t>
      </w:r>
    </w:p>
    <w:p>
      <w:pPr/>
      <w:r>
        <w:t>第一，量表信效度良好。六个维度的Cronbach α均≥0.800，因子载荷均≥0.841，AVE均≥0.723，CR均≥0.887，测量模型具有良好的聚合效度与内部一致性，为后续结构模型分析奠定可靠基础。</w:t>
      </w:r>
    </w:p>
    <w:p>
      <w:pPr/>
      <w:r>
        <w:t>第二，结构模型拟合达标。χ²/df=2.370，CFI=0.976，RMSEA=0.052，SRMR=0.066，纯中介SEM模型与数据良好匹配，各路径系数在0.001水平上显著，且方向符合理论预期。</w:t>
      </w:r>
    </w:p>
    <w:p>
      <w:pPr/>
      <w:r>
        <w:t>第三，中介效应显著。Bootstrap检验（B=5000）证实，基础设施建设（IF）在政策-人才对集群发展的作用链中发挥完全中介作用，数字技能（DS）在技术创新-资源禀赋对集群发展的作用链中同样发挥完全中介作用，四条中介路径的95%置信区间均不含零，显著成立。</w:t>
      </w:r>
    </w:p>
    <w:p>
      <w:pPr/>
      <w: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pPr>
        <w:pStyle w:val="2"/>
      </w:pPr>
      <w:r>
        <w:t>第五章 模糊集定性比较分析（fsQCA）</w:t>
      </w:r>
    </w:p>
    <w:p>
      <w:pPr>
        <w:pStyle w:val="3"/>
      </w:pPr>
      <w:r>
        <w:t>5.1 fsQCA方法说明</w:t>
      </w:r>
    </w:p>
    <w:p>
      <w:pPr/>
      <w:r>
        <w:t>模糊集定性比较分析（Fuzzy-set Qualitative Comparative Analysis，fsQCA）是一种基于布尔代数逻辑和集合论的组态方法（Ragin，2008）。与SEM等以净效应为核心的定量分析方法不同，fsQCA聚焦于条件组合的整体效应，能够识别产生相同结果的多重等效路径（殊途同归性，equifinality），并揭示条件间的非对称因果关系，较好地弥补了SEM的局限性。</w:t>
      </w:r>
    </w:p>
    <w:p>
      <w:pPr/>
      <w:r>
        <w:t>本章以集群电商高水平发展（CDL）为结果变量，以政府政策（GP）、人才支撑（TS）、基础设施建设（IF）、技术创新（TI）、数字技能（DS）、自然环境（EN）六个条件为前因变量，通过校准、必要性分析、真值表构建与组态分析四个步骤开展fsQCA，样本量N=508，一致性阈值设为0.85，频数阈值设为3（Ragin，2008）。</w:t>
      </w:r>
    </w:p>
    <w:p>
      <w:pPr>
        <w:pStyle w:val="3"/>
      </w:pPr>
      <w:r>
        <w:t>5.2 校准</w:t>
      </w:r>
    </w:p>
    <w:p>
      <w:pPr/>
      <w:r>
        <w:t>fsQCA要求将连续变量校准为[0,1]范围内的模糊集隶属分数。本文采用"间接法"校准（Ragin，2008），以各变量的第50百分位数（P50）为交叉点（隶属分数=0.5），第95百分位数（P95）为完全隶属锚点（隶属分数≈0.95），构建logistic校准函数，公式如下：</w:t>
      </w:r>
    </w:p>
    <w:p>
      <w:pPr/>
      <w:r>
        <w:t xml:space="preserve">        μ(x) = 1 / [1 + exp(−c·(x − P50))]，c = ln(0.95/0.05) / (P95 − P50)</w:t>
      </w:r>
    </w:p>
    <w:p>
      <w:pPr/>
      <w:r>
        <w:t>各变量校准锚点如表5-1所示。结果变量CDL同理校准。校准后，各条件与结果变量的隶属分数均值约为0.51，分布合理，不存在明显的校准偏斜。</w:t>
      </w:r>
    </w:p>
    <w:p>
      <w:pPr>
        <w:pStyle w:val="12"/>
      </w:pPr>
      <w:r>
        <w:t>表5-1 各条件变量校准锚点</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变量</w:t>
            </w:r>
          </w:p>
        </w:tc>
        <w:tc>
          <w:tcPr>
            <w:tcW w:type="dxa" w:w="1757"/>
          </w:tcPr>
          <w:p>
            <w:pPr>
              <w:jc w:val="center"/>
            </w:pPr>
            <w:r>
              <w:rPr>
                <w:b/>
              </w:rPr>
              <w:t>含义</w:t>
            </w:r>
          </w:p>
        </w:tc>
        <w:tc>
          <w:tcPr>
            <w:tcW w:type="dxa" w:w="1757"/>
          </w:tcPr>
          <w:p>
            <w:pPr>
              <w:jc w:val="center"/>
            </w:pPr>
            <w:r>
              <w:rPr>
                <w:b/>
              </w:rPr>
              <w:t>完全不隶属（P5）</w:t>
            </w:r>
          </w:p>
        </w:tc>
        <w:tc>
          <w:tcPr>
            <w:tcW w:type="dxa" w:w="1757"/>
          </w:tcPr>
          <w:p>
            <w:pPr>
              <w:jc w:val="center"/>
            </w:pPr>
            <w:r>
              <w:rPr>
                <w:b/>
              </w:rPr>
              <w:t>交叉点（P50）</w:t>
            </w:r>
          </w:p>
        </w:tc>
        <w:tc>
          <w:tcPr>
            <w:tcW w:type="dxa" w:w="1757"/>
          </w:tcPr>
          <w:p>
            <w:pPr>
              <w:jc w:val="center"/>
            </w:pPr>
            <w:r>
              <w:rPr>
                <w:b/>
              </w:rPr>
              <w:t>完全隶属（P95）</w:t>
            </w:r>
          </w:p>
        </w:tc>
      </w:tr>
      <w:tr>
        <w:tc>
          <w:tcPr>
            <w:tcW w:type="dxa" w:w="1757"/>
          </w:tcPr>
          <w:p>
            <w:pPr>
              <w:jc w:val="center"/>
            </w:pPr>
            <w:r>
              <w:t>GP</w:t>
            </w:r>
          </w:p>
        </w:tc>
        <w:tc>
          <w:tcPr>
            <w:tcW w:type="dxa" w:w="1757"/>
          </w:tcPr>
          <w:p>
            <w:pPr>
              <w:jc w:val="center"/>
            </w:pPr>
            <w:r>
              <w:t>政府政策与集群治理</w:t>
            </w:r>
          </w:p>
        </w:tc>
        <w:tc>
          <w:tcPr>
            <w:tcW w:type="dxa" w:w="1757"/>
          </w:tcPr>
          <w:p>
            <w:pPr>
              <w:jc w:val="center"/>
            </w:pPr>
            <w:r>
              <w:t>2.000</w:t>
            </w:r>
          </w:p>
        </w:tc>
        <w:tc>
          <w:tcPr>
            <w:tcW w:type="dxa" w:w="1757"/>
          </w:tcPr>
          <w:p>
            <w:pPr>
              <w:jc w:val="center"/>
            </w:pPr>
            <w:r>
              <w:t>3.333</w:t>
            </w:r>
          </w:p>
        </w:tc>
        <w:tc>
          <w:tcPr>
            <w:tcW w:type="dxa" w:w="1757"/>
          </w:tcPr>
          <w:p>
            <w:pPr>
              <w:jc w:val="center"/>
            </w:pPr>
            <w:r>
              <w:t>4.883</w:t>
            </w:r>
          </w:p>
        </w:tc>
      </w:tr>
      <w:tr>
        <w:tc>
          <w:tcPr>
            <w:tcW w:type="dxa" w:w="1757"/>
          </w:tcPr>
          <w:p>
            <w:pPr>
              <w:jc w:val="center"/>
            </w:pPr>
            <w:r>
              <w:t>TS</w:t>
            </w:r>
          </w:p>
        </w:tc>
        <w:tc>
          <w:tcPr>
            <w:tcW w:type="dxa" w:w="1757"/>
          </w:tcPr>
          <w:p>
            <w:pPr>
              <w:jc w:val="center"/>
            </w:pPr>
            <w:r>
              <w:t>人才支撑</w:t>
            </w:r>
          </w:p>
        </w:tc>
        <w:tc>
          <w:tcPr>
            <w:tcW w:type="dxa" w:w="1757"/>
          </w:tcPr>
          <w:p>
            <w:pPr>
              <w:jc w:val="center"/>
            </w:pPr>
            <w:r>
              <w:t>1.783</w:t>
            </w:r>
          </w:p>
        </w:tc>
        <w:tc>
          <w:tcPr>
            <w:tcW w:type="dxa" w:w="1757"/>
          </w:tcPr>
          <w:p>
            <w:pPr>
              <w:jc w:val="center"/>
            </w:pPr>
            <w:r>
              <w:t>3.333</w:t>
            </w:r>
          </w:p>
        </w:tc>
        <w:tc>
          <w:tcPr>
            <w:tcW w:type="dxa" w:w="1757"/>
          </w:tcPr>
          <w:p>
            <w:pPr>
              <w:jc w:val="center"/>
            </w:pPr>
            <w:r>
              <w:t>5.000</w:t>
            </w:r>
          </w:p>
        </w:tc>
      </w:tr>
      <w:tr>
        <w:tc>
          <w:tcPr>
            <w:tcW w:type="dxa" w:w="1757"/>
          </w:tcPr>
          <w:p>
            <w:pPr>
              <w:jc w:val="center"/>
            </w:pPr>
            <w:r>
              <w:t>IF</w:t>
            </w:r>
          </w:p>
        </w:tc>
        <w:tc>
          <w:tcPr>
            <w:tcW w:type="dxa" w:w="1757"/>
          </w:tcPr>
          <w:p>
            <w:pPr>
              <w:jc w:val="center"/>
            </w:pPr>
            <w:r>
              <w:t>基础设施建设</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TI</w:t>
            </w:r>
          </w:p>
        </w:tc>
        <w:tc>
          <w:tcPr>
            <w:tcW w:type="dxa" w:w="1757"/>
          </w:tcPr>
          <w:p>
            <w:pPr>
              <w:jc w:val="center"/>
            </w:pPr>
            <w:r>
              <w:t>技术创新水平</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DS</w:t>
            </w:r>
          </w:p>
        </w:tc>
        <w:tc>
          <w:tcPr>
            <w:tcW w:type="dxa" w:w="1757"/>
          </w:tcPr>
          <w:p>
            <w:pPr>
              <w:jc w:val="center"/>
            </w:pPr>
            <w:r>
              <w:t>本地电商平台与数字技能</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EN</w:t>
            </w:r>
          </w:p>
        </w:tc>
        <w:tc>
          <w:tcPr>
            <w:tcW w:type="dxa" w:w="1757"/>
          </w:tcPr>
          <w:p>
            <w:pPr>
              <w:jc w:val="center"/>
            </w:pPr>
            <w:r>
              <w:t>自然环境与资源禀赋</w:t>
            </w:r>
          </w:p>
        </w:tc>
        <w:tc>
          <w:tcPr>
            <w:tcW w:type="dxa" w:w="1757"/>
          </w:tcPr>
          <w:p>
            <w:pPr>
              <w:jc w:val="center"/>
            </w:pPr>
            <w:r>
              <w:t>2.000</w:t>
            </w:r>
          </w:p>
        </w:tc>
        <w:tc>
          <w:tcPr>
            <w:tcW w:type="dxa" w:w="1757"/>
          </w:tcPr>
          <w:p>
            <w:pPr>
              <w:jc w:val="center"/>
            </w:pPr>
            <w:r>
              <w:t>3.333</w:t>
            </w:r>
          </w:p>
        </w:tc>
        <w:tc>
          <w:tcPr>
            <w:tcW w:type="dxa" w:w="1757"/>
          </w:tcPr>
          <w:p>
            <w:pPr>
              <w:jc w:val="center"/>
            </w:pPr>
            <w:r>
              <w:t>5.000</w:t>
            </w:r>
          </w:p>
        </w:tc>
      </w:tr>
      <w:tr>
        <w:tc>
          <w:tcPr>
            <w:tcW w:type="dxa" w:w="1757"/>
          </w:tcPr>
          <w:p>
            <w:pPr>
              <w:jc w:val="center"/>
            </w:pPr>
            <w:r>
              <w:t>CDL</w:t>
            </w:r>
          </w:p>
        </w:tc>
        <w:tc>
          <w:tcPr>
            <w:tcW w:type="dxa" w:w="1757"/>
          </w:tcPr>
          <w:p>
            <w:pPr>
              <w:jc w:val="center"/>
            </w:pPr>
            <w:r>
              <w:t>集群电商发展水平</w:t>
            </w:r>
          </w:p>
        </w:tc>
        <w:tc>
          <w:tcPr>
            <w:tcW w:type="dxa" w:w="1757"/>
          </w:tcPr>
          <w:p>
            <w:pPr>
              <w:jc w:val="center"/>
            </w:pPr>
            <w:r>
              <w:t>1.667</w:t>
            </w:r>
          </w:p>
        </w:tc>
        <w:tc>
          <w:tcPr>
            <w:tcW w:type="dxa" w:w="1757"/>
          </w:tcPr>
          <w:p>
            <w:pPr>
              <w:jc w:val="center"/>
            </w:pPr>
            <w:r>
              <w:t>3.333</w:t>
            </w:r>
          </w:p>
        </w:tc>
        <w:tc>
          <w:tcPr>
            <w:tcW w:type="dxa" w:w="1757"/>
          </w:tcPr>
          <w:p>
            <w:pPr>
              <w:jc w:val="center"/>
            </w:pPr>
            <w:r>
              <w:t>4.667</w:t>
            </w:r>
          </w:p>
        </w:tc>
      </w:tr>
    </w:tbl>
    <w:p>
      <w:pPr>
        <w:pStyle w:val="3"/>
      </w:pPr>
      <w:r>
        <w:t>5.3 必要性分析</w:t>
      </w:r>
    </w:p>
    <w:p>
      <w:pPr/>
      <w:r>
        <w:t>在充分性分析之前，首先检验各单一条件对于结果（高水平CDL）的必要性。若某一条件是必要条件，则结果变量的隶属分数不超过该条件的隶属分数（即Y⊆X），其一致性≥0.900（Ragin，2008）。必要性分析结果见表5-2。</w:t>
      </w:r>
    </w:p>
    <w:p>
      <w:pPr>
        <w:pStyle w:val="12"/>
      </w:pPr>
      <w:r>
        <w:t>表5-2 必要性分析结果</w:t>
      </w:r>
    </w:p>
    <w:tbl>
      <w:tblPr>
        <w:tblStyle w:val="34"/>
        <w:tblW w:type="auto" w:w="0"/>
        <w:tblLook w:firstColumn="1" w:firstRow="1" w:lastColumn="0" w:lastRow="0" w:noHBand="0" w:noVBand="1" w:val="04A0"/>
      </w:tblPr>
      <w:tblGrid>
        <w:gridCol w:w="2929"/>
        <w:gridCol w:w="2929"/>
        <w:gridCol w:w="2929"/>
      </w:tblGrid>
      <w:tr>
        <w:tc>
          <w:tcPr>
            <w:tcW w:type="dxa" w:w="2929"/>
          </w:tcPr>
          <w:p>
            <w:pPr>
              <w:jc w:val="center"/>
            </w:pPr>
            <w:r>
              <w:rPr>
                <w:b/>
              </w:rPr>
              <w:t>条件</w:t>
            </w:r>
          </w:p>
        </w:tc>
        <w:tc>
          <w:tcPr>
            <w:tcW w:type="dxa" w:w="2929"/>
          </w:tcPr>
          <w:p>
            <w:pPr>
              <w:jc w:val="center"/>
            </w:pPr>
            <w:r>
              <w:rPr>
                <w:b/>
              </w:rPr>
              <w:t>一致性</w:t>
            </w:r>
          </w:p>
        </w:tc>
        <w:tc>
          <w:tcPr>
            <w:tcW w:type="dxa" w:w="2929"/>
          </w:tcPr>
          <w:p>
            <w:pPr>
              <w:jc w:val="center"/>
            </w:pPr>
            <w:r>
              <w:rPr>
                <w:b/>
              </w:rPr>
              <w:t>覆盖度</w:t>
            </w:r>
          </w:p>
        </w:tc>
      </w:tr>
      <w:tr>
        <w:tc>
          <w:tcPr>
            <w:tcW w:type="dxa" w:w="2929"/>
          </w:tcPr>
          <w:p>
            <w:pPr>
              <w:jc w:val="center"/>
            </w:pPr>
            <w:r>
              <w:t>GP（政府政策）</w:t>
            </w:r>
          </w:p>
        </w:tc>
        <w:tc>
          <w:tcPr>
            <w:tcW w:type="dxa" w:w="2929"/>
          </w:tcPr>
          <w:p>
            <w:pPr>
              <w:jc w:val="center"/>
            </w:pPr>
            <w:r>
              <w:t>0.764</w:t>
            </w:r>
          </w:p>
        </w:tc>
        <w:tc>
          <w:tcPr>
            <w:tcW w:type="dxa" w:w="2929"/>
          </w:tcPr>
          <w:p>
            <w:pPr>
              <w:jc w:val="center"/>
            </w:pPr>
            <w:r>
              <w:t>0.773</w:t>
            </w:r>
          </w:p>
        </w:tc>
      </w:tr>
      <w:tr>
        <w:tc>
          <w:tcPr>
            <w:tcW w:type="dxa" w:w="2929"/>
          </w:tcPr>
          <w:p>
            <w:pPr>
              <w:jc w:val="center"/>
            </w:pPr>
            <w:r>
              <w:t>~GP（政府政策缺失）</w:t>
            </w:r>
          </w:p>
        </w:tc>
        <w:tc>
          <w:tcPr>
            <w:tcW w:type="dxa" w:w="2929"/>
          </w:tcPr>
          <w:p>
            <w:pPr>
              <w:jc w:val="center"/>
            </w:pPr>
            <w:r>
              <w:t>0.550</w:t>
            </w:r>
          </w:p>
        </w:tc>
        <w:tc>
          <w:tcPr>
            <w:tcW w:type="dxa" w:w="2929"/>
          </w:tcPr>
          <w:p>
            <w:pPr>
              <w:jc w:val="center"/>
            </w:pPr>
            <w:r>
              <w:t>0.588</w:t>
            </w:r>
          </w:p>
        </w:tc>
      </w:tr>
      <w:tr>
        <w:tc>
          <w:tcPr>
            <w:tcW w:type="dxa" w:w="2929"/>
          </w:tcPr>
          <w:p>
            <w:pPr>
              <w:jc w:val="center"/>
            </w:pPr>
            <w:r>
              <w:t>TS（人才支撑）</w:t>
            </w:r>
          </w:p>
        </w:tc>
        <w:tc>
          <w:tcPr>
            <w:tcW w:type="dxa" w:w="2929"/>
          </w:tcPr>
          <w:p>
            <w:pPr>
              <w:jc w:val="center"/>
            </w:pPr>
            <w:r>
              <w:t>0.687</w:t>
            </w:r>
          </w:p>
        </w:tc>
        <w:tc>
          <w:tcPr>
            <w:tcW w:type="dxa" w:w="2929"/>
          </w:tcPr>
          <w:p>
            <w:pPr>
              <w:jc w:val="center"/>
            </w:pPr>
            <w:r>
              <w:t>0.686</w:t>
            </w:r>
          </w:p>
        </w:tc>
      </w:tr>
      <w:tr>
        <w:tc>
          <w:tcPr>
            <w:tcW w:type="dxa" w:w="2929"/>
          </w:tcPr>
          <w:p>
            <w:pPr>
              <w:jc w:val="center"/>
            </w:pPr>
            <w:r>
              <w:t>~TS（人才支撑缺失）</w:t>
            </w:r>
          </w:p>
        </w:tc>
        <w:tc>
          <w:tcPr>
            <w:tcW w:type="dxa" w:w="2929"/>
          </w:tcPr>
          <w:p>
            <w:pPr>
              <w:jc w:val="center"/>
            </w:pPr>
            <w:r>
              <w:t>0.615</w:t>
            </w:r>
          </w:p>
        </w:tc>
        <w:tc>
          <w:tcPr>
            <w:tcW w:type="dxa" w:w="2929"/>
          </w:tcPr>
          <w:p>
            <w:pPr>
              <w:jc w:val="center"/>
            </w:pPr>
            <w:r>
              <w:t>0.668</w:t>
            </w:r>
          </w:p>
        </w:tc>
      </w:tr>
      <w:tr>
        <w:tc>
          <w:tcPr>
            <w:tcW w:type="dxa" w:w="2929"/>
          </w:tcPr>
          <w:p>
            <w:pPr>
              <w:jc w:val="center"/>
            </w:pPr>
            <w:r>
              <w:t>IF（基础设施）</w:t>
            </w:r>
          </w:p>
        </w:tc>
        <w:tc>
          <w:tcPr>
            <w:tcW w:type="dxa" w:w="2929"/>
          </w:tcPr>
          <w:p>
            <w:pPr>
              <w:jc w:val="center"/>
            </w:pPr>
            <w:r>
              <w:t>0.762</w:t>
            </w:r>
          </w:p>
        </w:tc>
        <w:tc>
          <w:tcPr>
            <w:tcW w:type="dxa" w:w="2929"/>
          </w:tcPr>
          <w:p>
            <w:pPr>
              <w:jc w:val="center"/>
            </w:pPr>
            <w:r>
              <w:t>0.774</w:t>
            </w:r>
          </w:p>
        </w:tc>
      </w:tr>
      <w:tr>
        <w:tc>
          <w:tcPr>
            <w:tcW w:type="dxa" w:w="2929"/>
          </w:tcPr>
          <w:p>
            <w:pPr>
              <w:jc w:val="center"/>
            </w:pPr>
            <w:r>
              <w:t>~IF（基础设施缺失）</w:t>
            </w:r>
          </w:p>
        </w:tc>
        <w:tc>
          <w:tcPr>
            <w:tcW w:type="dxa" w:w="2929"/>
          </w:tcPr>
          <w:p>
            <w:pPr>
              <w:jc w:val="center"/>
            </w:pPr>
            <w:r>
              <w:t>0.539</w:t>
            </w:r>
          </w:p>
        </w:tc>
        <w:tc>
          <w:tcPr>
            <w:tcW w:type="dxa" w:w="2929"/>
          </w:tcPr>
          <w:p>
            <w:pPr>
              <w:jc w:val="center"/>
            </w:pPr>
            <w:r>
              <w:t>0.575</w:t>
            </w:r>
          </w:p>
        </w:tc>
      </w:tr>
      <w:tr>
        <w:tc>
          <w:tcPr>
            <w:tcW w:type="dxa" w:w="2929"/>
          </w:tcPr>
          <w:p>
            <w:pPr>
              <w:jc w:val="center"/>
            </w:pPr>
            <w:r>
              <w:t>TI（技术创新）</w:t>
            </w:r>
          </w:p>
        </w:tc>
        <w:tc>
          <w:tcPr>
            <w:tcW w:type="dxa" w:w="2929"/>
          </w:tcPr>
          <w:p>
            <w:pPr>
              <w:jc w:val="center"/>
            </w:pPr>
            <w:r>
              <w:t>0.734</w:t>
            </w:r>
          </w:p>
        </w:tc>
        <w:tc>
          <w:tcPr>
            <w:tcW w:type="dxa" w:w="2929"/>
          </w:tcPr>
          <w:p>
            <w:pPr>
              <w:jc w:val="center"/>
            </w:pPr>
            <w:r>
              <w:t>0.733</w:t>
            </w:r>
          </w:p>
        </w:tc>
      </w:tr>
      <w:tr>
        <w:tc>
          <w:tcPr>
            <w:tcW w:type="dxa" w:w="2929"/>
          </w:tcPr>
          <w:p>
            <w:pPr>
              <w:jc w:val="center"/>
            </w:pPr>
            <w:r>
              <w:t>~TI（技术创新缺失）</w:t>
            </w:r>
          </w:p>
        </w:tc>
        <w:tc>
          <w:tcPr>
            <w:tcW w:type="dxa" w:w="2929"/>
          </w:tcPr>
          <w:p>
            <w:pPr>
              <w:jc w:val="center"/>
            </w:pPr>
            <w:r>
              <w:t>0.558</w:t>
            </w:r>
          </w:p>
        </w:tc>
        <w:tc>
          <w:tcPr>
            <w:tcW w:type="dxa" w:w="2929"/>
          </w:tcPr>
          <w:p>
            <w:pPr>
              <w:jc w:val="center"/>
            </w:pPr>
            <w:r>
              <w:t>0.605</w:t>
            </w:r>
          </w:p>
        </w:tc>
      </w:tr>
      <w:tr>
        <w:tc>
          <w:tcPr>
            <w:tcW w:type="dxa" w:w="2929"/>
          </w:tcPr>
          <w:p>
            <w:pPr>
              <w:jc w:val="center"/>
            </w:pPr>
            <w:r>
              <w:t>DS（数字技能）</w:t>
            </w:r>
          </w:p>
        </w:tc>
        <w:tc>
          <w:tcPr>
            <w:tcW w:type="dxa" w:w="2929"/>
          </w:tcPr>
          <w:p>
            <w:pPr>
              <w:jc w:val="center"/>
            </w:pPr>
            <w:r>
              <w:t>0.805</w:t>
            </w:r>
          </w:p>
        </w:tc>
        <w:tc>
          <w:tcPr>
            <w:tcW w:type="dxa" w:w="2929"/>
          </w:tcPr>
          <w:p>
            <w:pPr>
              <w:jc w:val="center"/>
            </w:pPr>
            <w:r>
              <w:t>0.813</w:t>
            </w:r>
          </w:p>
        </w:tc>
      </w:tr>
      <w:tr>
        <w:tc>
          <w:tcPr>
            <w:tcW w:type="dxa" w:w="2929"/>
          </w:tcPr>
          <w:p>
            <w:pPr>
              <w:jc w:val="center"/>
            </w:pPr>
            <w:r>
              <w:t>~DS（数字技能缺失）</w:t>
            </w:r>
          </w:p>
        </w:tc>
        <w:tc>
          <w:tcPr>
            <w:tcW w:type="dxa" w:w="2929"/>
          </w:tcPr>
          <w:p>
            <w:pPr>
              <w:jc w:val="center"/>
            </w:pPr>
            <w:r>
              <w:t>0.512</w:t>
            </w:r>
          </w:p>
        </w:tc>
        <w:tc>
          <w:tcPr>
            <w:tcW w:type="dxa" w:w="2929"/>
          </w:tcPr>
          <w:p>
            <w:pPr>
              <w:jc w:val="center"/>
            </w:pPr>
            <w:r>
              <w:t>0.550</w:t>
            </w:r>
          </w:p>
        </w:tc>
      </w:tr>
      <w:tr>
        <w:tc>
          <w:tcPr>
            <w:tcW w:type="dxa" w:w="2929"/>
          </w:tcPr>
          <w:p>
            <w:pPr>
              <w:jc w:val="center"/>
            </w:pPr>
            <w:r>
              <w:t>EN（自然环境）</w:t>
            </w:r>
          </w:p>
        </w:tc>
        <w:tc>
          <w:tcPr>
            <w:tcW w:type="dxa" w:w="2929"/>
          </w:tcPr>
          <w:p>
            <w:pPr>
              <w:jc w:val="center"/>
            </w:pPr>
            <w:r>
              <w:t>0.741</w:t>
            </w:r>
          </w:p>
        </w:tc>
        <w:tc>
          <w:tcPr>
            <w:tcW w:type="dxa" w:w="2929"/>
          </w:tcPr>
          <w:p>
            <w:pPr>
              <w:jc w:val="center"/>
            </w:pPr>
            <w:r>
              <w:t>0.752</w:t>
            </w:r>
          </w:p>
        </w:tc>
      </w:tr>
      <w:tr>
        <w:tc>
          <w:tcPr>
            <w:tcW w:type="dxa" w:w="2929"/>
          </w:tcPr>
          <w:p>
            <w:pPr>
              <w:jc w:val="center"/>
            </w:pPr>
            <w:r>
              <w:t>~EN（自然环境缺失）</w:t>
            </w:r>
          </w:p>
        </w:tc>
        <w:tc>
          <w:tcPr>
            <w:tcW w:type="dxa" w:w="2929"/>
          </w:tcPr>
          <w:p>
            <w:pPr>
              <w:jc w:val="center"/>
            </w:pPr>
            <w:r>
              <w:t>0.576</w:t>
            </w:r>
          </w:p>
        </w:tc>
        <w:tc>
          <w:tcPr>
            <w:tcW w:type="dxa" w:w="2929"/>
          </w:tcPr>
          <w:p>
            <w:pPr>
              <w:jc w:val="center"/>
            </w:pPr>
            <w:r>
              <w:t>0.614</w:t>
            </w:r>
          </w:p>
        </w:tc>
      </w:tr>
    </w:tbl>
    <w:p>
      <w:pPr/>
      <w: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技能）的必要性一致性最高（0.805），表明该条件在驱动集群电商高水平发展中具有相对较强的单独必要性趋势，与SEM路径中DS→CDL路径系数最高（β=0.595）的结论相互印证。</w:t>
      </w:r>
    </w:p>
    <w:p>
      <w:pPr>
        <w:pStyle w:val="3"/>
      </w:pPr>
      <w:r>
        <w:t>5.4 充分性分析与组态结果</w:t>
      </w:r>
    </w:p>
    <w:p>
      <w:pPr>
        <w:pStyle w:val="4"/>
      </w:pPr>
      <w:r>
        <w:t>5.4.1 真值表构建</w:t>
      </w:r>
    </w:p>
    <w:p>
      <w:pPr/>
      <w: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pPr>
        <w:pStyle w:val="4"/>
      </w:pPr>
      <w:r>
        <w:t>5.4.2 组态结果</w:t>
      </w:r>
    </w:p>
    <w:p>
      <w:pPr/>
      <w:r>
        <w:t>本文最终识别出4条驱动集群电商高水平发展的中间解组态路径，如表5-3所示。整体解的一致性为0.833，覆盖度为0.967，表明4条路径能够覆盖绝大多数高水平发展案例，解的质量较高。</w:t>
      </w:r>
    </w:p>
    <w:p>
      <w:pPr>
        <w:pStyle w:val="12"/>
      </w:pPr>
      <w:r>
        <w:t>表5-3 fsQCA组态分析结果（中间解）</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w:t>
              <w:br/>
              <w:t>GP*IF</w:t>
            </w:r>
          </w:p>
        </w:tc>
        <w:tc>
          <w:tcPr>
            <w:tcW w:type="dxa" w:w="1757"/>
          </w:tcPr>
          <w:p>
            <w:pPr>
              <w:jc w:val="center"/>
            </w:pPr>
            <w:r>
              <w:rPr>
                <w:b/>
              </w:rPr>
              <w:t>路径2</w:t>
              <w:br/>
              <w:t>TS*TI*IF</w:t>
            </w:r>
          </w:p>
        </w:tc>
        <w:tc>
          <w:tcPr>
            <w:tcW w:type="dxa" w:w="1757"/>
          </w:tcPr>
          <w:p>
            <w:pPr>
              <w:jc w:val="center"/>
            </w:pPr>
            <w:r>
              <w:rPr>
                <w:b/>
              </w:rPr>
              <w:t>路径3</w:t>
              <w:br/>
              <w:t>TI*DS</w:t>
            </w:r>
          </w:p>
        </w:tc>
        <w:tc>
          <w:tcPr>
            <w:tcW w:type="dxa" w:w="1757"/>
          </w:tcPr>
          <w:p>
            <w:pPr>
              <w:jc w:val="center"/>
            </w:pPr>
            <w:r>
              <w:rPr>
                <w:b/>
              </w:rPr>
              <w:t>路径4</w:t>
              <w:br/>
              <w:t>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0.899</w:t>
            </w:r>
          </w:p>
        </w:tc>
        <w:tc>
          <w:tcPr>
            <w:tcW w:type="dxa" w:w="1757"/>
          </w:tcPr>
          <w:p>
            <w:pPr>
              <w:jc w:val="center"/>
            </w:pPr>
            <w:r>
              <w:t>0.882</w:t>
            </w:r>
          </w:p>
        </w:tc>
        <w:tc>
          <w:tcPr>
            <w:tcW w:type="dxa" w:w="1757"/>
          </w:tcPr>
          <w:p>
            <w:pPr>
              <w:jc w:val="center"/>
            </w:pPr>
            <w:r>
              <w:t>0.889</w:t>
            </w:r>
          </w:p>
        </w:tc>
      </w:tr>
      <w:tr>
        <w:tc>
          <w:tcPr>
            <w:tcW w:type="dxa" w:w="1757"/>
          </w:tcPr>
          <w:p>
            <w:pPr>
              <w:jc w:val="center"/>
            </w:pPr>
            <w:r>
              <w:t>覆盖度（原始）</w:t>
            </w:r>
          </w:p>
        </w:tc>
        <w:tc>
          <w:tcPr>
            <w:tcW w:type="dxa" w:w="1757"/>
          </w:tcPr>
          <w:p>
            <w:pPr>
              <w:jc w:val="center"/>
            </w:pPr>
            <w:r>
              <w:t>0.669</w:t>
            </w:r>
          </w:p>
        </w:tc>
        <w:tc>
          <w:tcPr>
            <w:tcW w:type="dxa" w:w="1757"/>
          </w:tcPr>
          <w:p>
            <w:pPr>
              <w:jc w:val="center"/>
            </w:pPr>
            <w:r>
              <w:t>0.448</w:t>
            </w:r>
          </w:p>
        </w:tc>
        <w:tc>
          <w:tcPr>
            <w:tcW w:type="dxa" w:w="1757"/>
          </w:tcPr>
          <w:p>
            <w:pPr>
              <w:jc w:val="center"/>
            </w:pPr>
            <w:r>
              <w:t>0.642</w:t>
            </w:r>
          </w:p>
        </w:tc>
        <w:tc>
          <w:tcPr>
            <w:tcW w:type="dxa" w:w="1757"/>
          </w:tcPr>
          <w:p>
            <w:pPr>
              <w:jc w:val="center"/>
            </w:pPr>
            <w:r>
              <w:t>0.652</w:t>
            </w:r>
          </w:p>
        </w:tc>
      </w:tr>
      <w:tr>
        <w:tc>
          <w:tcPr>
            <w:tcW w:type="dxa" w:w="1757"/>
          </w:tcPr>
          <w:p>
            <w:pPr>
              <w:jc w:val="center"/>
            </w:pPr>
            <w:r>
              <w:t>唯一覆盖度</w:t>
            </w:r>
          </w:p>
        </w:tc>
        <w:tc>
          <w:tcPr>
            <w:tcW w:type="dxa" w:w="1757"/>
          </w:tcPr>
          <w:p>
            <w:pPr>
              <w:jc w:val="center"/>
            </w:pPr>
            <w:r>
              <w:t>0.136</w:t>
            </w:r>
          </w:p>
        </w:tc>
        <w:tc>
          <w:tcPr>
            <w:tcW w:type="dxa" w:w="1757"/>
          </w:tcPr>
          <w:p>
            <w:pPr>
              <w:jc w:val="center"/>
            </w:pPr>
            <w:r>
              <w:t>0.007</w:t>
            </w:r>
          </w:p>
        </w:tc>
        <w:tc>
          <w:tcPr>
            <w:tcW w:type="dxa" w:w="1757"/>
          </w:tcPr>
          <w:p>
            <w:pPr>
              <w:jc w:val="center"/>
            </w:pPr>
            <w:r>
              <w:t>0.052</w:t>
            </w:r>
          </w:p>
        </w:tc>
        <w:tc>
          <w:tcPr>
            <w:tcW w:type="dxa" w:w="1757"/>
          </w:tcPr>
          <w:p>
            <w:pPr>
              <w:jc w:val="center"/>
            </w:pPr>
            <w:r>
              <w:t>0.054</w:t>
            </w:r>
          </w:p>
        </w:tc>
      </w:tr>
    </w:tbl>
    <w:p>
      <w:pPr/>
      <w:r>
        <w:t>注：●为核心条件存在；整体解一致性=0.833，整体覆盖度=0.967。</w:t>
      </w:r>
    </w:p>
    <w:p>
      <w:pPr>
        <w:pStyle w:val="4"/>
      </w:pPr>
      <w:r>
        <w:t>5.4.3 组态路径解读</w:t>
      </w:r>
    </w:p>
    <w:p>
      <w:pPr/>
      <w:r>
        <w:t>**路径1：GP*IF——政策-设施协同驱动型**</w:t>
      </w:r>
    </w:p>
    <w:p>
      <w:pPr/>
      <w:r>
        <w:t>路径1由政府政策（GP）与基础设施建设（IF）的共同存在构成，一致性为0.884，覆盖度为0.669，唯一覆盖度最高（0.136）。该路径表明，在政府出台有效电商扶持政策且当地数字/物流基础设施完善的双重条件下，集群电商发展水平较高。这与SEM中GP→IF→CDL的完全中介路径高度吻合：政府政策是基础设施投入的前导条件，二者协同形成集群电商发展的"顶层驱动力"。该路径对应的典型场景是芝罘区等烟台传统电商发展较为成熟、政府配套基础设施投入较早的区域。</w:t>
      </w:r>
    </w:p>
    <w:p>
      <w:pPr/>
      <w:r>
        <w:t>**路径2：TS*TI*IF——人才-技术-基础设施三元驱动型**</w:t>
      </w:r>
    </w:p>
    <w:p>
      <w:pPr/>
      <w:r>
        <w:t>路径2由人才支撑（TS）、技术创新（TI）与基础设施建设（IF）三个条件共同出现构成，一致性最高（0.899），表明条件组合的内部逻辑较强，但原始覆盖度（0.448）和唯一覆盖度（0.007）较低，说明该路径多与其他路径重叠，适用案例相对集中。该路径揭示了集群电商高绩效发展的"创新驱动"模式：在基础设施完备的前提下，充足的电商专业人才与较高的技术创新水平相互强化，共同推动集群电商向数字化、专业化方向升级。</w:t>
      </w:r>
    </w:p>
    <w:p>
      <w:pPr/>
      <w:r>
        <w:t>**路径3：TI*DS——技术-数字能力内生型**</w:t>
      </w:r>
    </w:p>
    <w:p>
      <w:pPr/>
      <w:r>
        <w:t>路径3由技术创新（TI）与数字技能（DS）共存构成，一致性为0.882，覆盖度0.642。该路径与SEM中TI→DS→CDL的中介链对应：本地电商主体具备较强的技术创新应用能力，叠加成熟的平台与较高的数字技能水平，形成内生的发展驱动力。该路径不依赖政策直接介入，体现出集群内部自主创新驱动的可持续发展特征，在技术应用较为领先的集群区域具有代表性。</w:t>
      </w:r>
    </w:p>
    <w:p>
      <w:pPr/>
      <w:r>
        <w:t>**路径4：EN*DS——资源-数字技能整合型**</w:t>
      </w:r>
    </w:p>
    <w:p>
      <w:pPr/>
      <w:r>
        <w:t>路径4由自然环境与资源禀赋（EN）和数字技能（DS）共存构成，一致性为0.889，覆盖度为0.652，与路径3形成互补。该路径揭示：在烟台具备良好自然资源优势（如特色农产品、地理标志产品等）且电商从业者数字技能较强的双重条件下，集群电商发展水平较高。这体现了"资源禀赋+数字能力"的协同效应，对应EN→DS→CDL的中介路径，在农村资源型电商集群中尤为典型。</w:t>
      </w:r>
    </w:p>
    <w:p>
      <w:pPr>
        <w:pStyle w:val="3"/>
      </w:pPr>
      <w:r>
        <w:t>5.5 稳健性检验</w:t>
      </w:r>
    </w:p>
    <w:p>
      <w:pPr/>
      <w:r>
        <w:t>本文通过两种方式对fsQCA组态结果进行稳健性检验：第一，提高一致性阈值（原0.850→0.875）；第二，调整校准交叉点（原P50→P55）。两种检验下的组态分析结果分别见表5-4、表5-5，与原始结果（表5-3）的对比汇总见表5-6。</w:t>
      </w:r>
    </w:p>
    <w:p>
      <w:pPr/>
      <w:r>
        <w:t>（一）稳健性检验一：提高一致性阈值至0.875</w:t>
      </w:r>
    </w:p>
    <w:p>
      <w:pPr>
        <w:pStyle w:val="12"/>
      </w:pPr>
      <w:r>
        <w:t>表5-4 稳健性检验一：一致性阈值提升至0.875的组态结果</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 GP*IF</w:t>
            </w:r>
          </w:p>
        </w:tc>
        <w:tc>
          <w:tcPr>
            <w:tcW w:type="dxa" w:w="1757"/>
          </w:tcPr>
          <w:p>
            <w:pPr>
              <w:jc w:val="center"/>
            </w:pPr>
            <w:r>
              <w:rPr>
                <w:b/>
              </w:rPr>
              <w:t>路径2 TS*TI*IF</w:t>
            </w:r>
          </w:p>
        </w:tc>
        <w:tc>
          <w:tcPr>
            <w:tcW w:type="dxa" w:w="1757"/>
          </w:tcPr>
          <w:p>
            <w:pPr>
              <w:jc w:val="center"/>
            </w:pPr>
            <w:r>
              <w:rPr>
                <w:b/>
              </w:rPr>
              <w:t>路径3 TI*DS</w:t>
            </w:r>
          </w:p>
        </w:tc>
        <w:tc>
          <w:tcPr>
            <w:tcW w:type="dxa" w:w="1757"/>
          </w:tcPr>
          <w:p>
            <w:pPr>
              <w:jc w:val="center"/>
            </w:pPr>
            <w:r>
              <w:rPr>
                <w:b/>
              </w:rPr>
              <w:t>路径4 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0.899</w:t>
            </w:r>
          </w:p>
        </w:tc>
        <w:tc>
          <w:tcPr>
            <w:tcW w:type="dxa" w:w="1757"/>
          </w:tcPr>
          <w:p>
            <w:pPr>
              <w:jc w:val="center"/>
            </w:pPr>
            <w:r>
              <w:t>0.882</w:t>
            </w:r>
          </w:p>
        </w:tc>
        <w:tc>
          <w:tcPr>
            <w:tcW w:type="dxa" w:w="1757"/>
          </w:tcPr>
          <w:p>
            <w:pPr>
              <w:jc w:val="center"/>
            </w:pPr>
            <w:r>
              <w:t>0.889</w:t>
            </w:r>
          </w:p>
        </w:tc>
      </w:tr>
      <w:tr>
        <w:tc>
          <w:tcPr>
            <w:tcW w:type="dxa" w:w="1757"/>
          </w:tcPr>
          <w:p>
            <w:pPr>
              <w:jc w:val="center"/>
            </w:pPr>
            <w:r>
              <w:t>覆盖度（原始）</w:t>
            </w:r>
          </w:p>
        </w:tc>
        <w:tc>
          <w:tcPr>
            <w:tcW w:type="dxa" w:w="1757"/>
          </w:tcPr>
          <w:p>
            <w:pPr>
              <w:jc w:val="center"/>
            </w:pPr>
            <w:r>
              <w:t>0.669</w:t>
            </w:r>
          </w:p>
        </w:tc>
        <w:tc>
          <w:tcPr>
            <w:tcW w:type="dxa" w:w="1757"/>
          </w:tcPr>
          <w:p>
            <w:pPr>
              <w:jc w:val="center"/>
            </w:pPr>
            <w:r>
              <w:t>0.448</w:t>
            </w:r>
          </w:p>
        </w:tc>
        <w:tc>
          <w:tcPr>
            <w:tcW w:type="dxa" w:w="1757"/>
          </w:tcPr>
          <w:p>
            <w:pPr>
              <w:jc w:val="center"/>
            </w:pPr>
            <w:r>
              <w:t>0.642</w:t>
            </w:r>
          </w:p>
        </w:tc>
        <w:tc>
          <w:tcPr>
            <w:tcW w:type="dxa" w:w="1757"/>
          </w:tcPr>
          <w:p>
            <w:pPr>
              <w:jc w:val="center"/>
            </w:pPr>
            <w:r>
              <w:t>0.652</w:t>
            </w:r>
          </w:p>
        </w:tc>
      </w:tr>
      <w:tr>
        <w:tc>
          <w:tcPr>
            <w:tcW w:type="dxa" w:w="1757"/>
          </w:tcPr>
          <w:p>
            <w:pPr>
              <w:jc w:val="center"/>
            </w:pPr>
            <w:r>
              <w:t>唯一覆盖度</w:t>
            </w:r>
          </w:p>
        </w:tc>
        <w:tc>
          <w:tcPr>
            <w:tcW w:type="dxa" w:w="1757"/>
          </w:tcPr>
          <w:p>
            <w:pPr>
              <w:jc w:val="center"/>
            </w:pPr>
            <w:r>
              <w:t>0.136</w:t>
            </w:r>
          </w:p>
        </w:tc>
        <w:tc>
          <w:tcPr>
            <w:tcW w:type="dxa" w:w="1757"/>
          </w:tcPr>
          <w:p>
            <w:pPr>
              <w:jc w:val="center"/>
            </w:pPr>
            <w:r>
              <w:t>0.007</w:t>
            </w:r>
          </w:p>
        </w:tc>
        <w:tc>
          <w:tcPr>
            <w:tcW w:type="dxa" w:w="1757"/>
          </w:tcPr>
          <w:p>
            <w:pPr>
              <w:jc w:val="center"/>
            </w:pPr>
            <w:r>
              <w:t>0.052</w:t>
            </w:r>
          </w:p>
        </w:tc>
        <w:tc>
          <w:tcPr>
            <w:tcW w:type="dxa" w:w="1757"/>
          </w:tcPr>
          <w:p>
            <w:pPr>
              <w:jc w:val="center"/>
            </w:pPr>
            <w:r>
              <w:t>0.054</w:t>
            </w:r>
          </w:p>
        </w:tc>
      </w:tr>
      <w:tr>
        <w:tc>
          <w:tcPr>
            <w:tcW w:type="dxa" w:w="1757"/>
          </w:tcPr>
          <w:p>
            <w:pPr>
              <w:jc w:val="center"/>
            </w:pPr>
            <w:r>
              <w:t>满足新阈值（≥0.875）</w:t>
            </w:r>
          </w:p>
        </w:tc>
        <w:tc>
          <w:tcPr>
            <w:tcW w:type="dxa" w:w="1757"/>
          </w:tcPr>
          <w:p>
            <w:pPr>
              <w:jc w:val="center"/>
            </w:pPr>
            <w:r>
              <w:t>是</w:t>
            </w:r>
          </w:p>
        </w:tc>
        <w:tc>
          <w:tcPr>
            <w:tcW w:type="dxa" w:w="1757"/>
          </w:tcPr>
          <w:p>
            <w:pPr>
              <w:jc w:val="center"/>
            </w:pPr>
            <w:r>
              <w:t>是</w:t>
            </w:r>
          </w:p>
        </w:tc>
        <w:tc>
          <w:tcPr>
            <w:tcW w:type="dxa" w:w="1757"/>
          </w:tcPr>
          <w:p>
            <w:pPr>
              <w:jc w:val="center"/>
            </w:pPr>
            <w:r>
              <w:t>是</w:t>
            </w:r>
          </w:p>
        </w:tc>
        <w:tc>
          <w:tcPr>
            <w:tcW w:type="dxa" w:w="1757"/>
          </w:tcPr>
          <w:p>
            <w:pPr>
              <w:jc w:val="center"/>
            </w:pPr>
            <w:r>
              <w:t>是</w:t>
            </w:r>
          </w:p>
        </w:tc>
      </w:tr>
    </w:tbl>
    <w:p>
      <w:pPr/>
      <w:r>
        <w:t>注：●为条件存在；整体解一致性=0.833，整体覆盖度=0.967。</w:t>
      </w:r>
    </w:p>
    <w:p>
      <w:pPr/>
      <w:r>
        <w:t>由表5-4可知，在一致性阈值提升至0.875的更严格标准下，原始4条路径的一致性系数分别为0.884、0.899、0.882、0.889，全部满足新阈值要求，路径条件组合与原始结果完全一致，路径结构保持稳定。</w:t>
      </w:r>
    </w:p>
    <w:p>
      <w:pPr/>
      <w:r>
        <w:t>（二）稳健性检验二：调整校准交叉点至P55</w:t>
      </w:r>
    </w:p>
    <w:p>
      <w:pPr>
        <w:pStyle w:val="12"/>
      </w:pPr>
      <w:r>
        <w:t>表5-5 稳健性检验二：校准交叉点调整至P55的组态结果</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 GP*IF</w:t>
            </w:r>
          </w:p>
        </w:tc>
        <w:tc>
          <w:tcPr>
            <w:tcW w:type="dxa" w:w="1757"/>
          </w:tcPr>
          <w:p>
            <w:pPr>
              <w:jc w:val="center"/>
            </w:pPr>
            <w:r>
              <w:rPr>
                <w:b/>
              </w:rPr>
              <w:t>路径2 TS*TI*IF</w:t>
            </w:r>
          </w:p>
        </w:tc>
        <w:tc>
          <w:tcPr>
            <w:tcW w:type="dxa" w:w="1757"/>
          </w:tcPr>
          <w:p>
            <w:pPr>
              <w:jc w:val="center"/>
            </w:pPr>
            <w:r>
              <w:rPr>
                <w:b/>
              </w:rPr>
              <w:t>路径3 TI*DS</w:t>
            </w:r>
          </w:p>
        </w:tc>
        <w:tc>
          <w:tcPr>
            <w:tcW w:type="dxa" w:w="1757"/>
          </w:tcPr>
          <w:p>
            <w:pPr>
              <w:jc w:val="center"/>
            </w:pPr>
            <w:r>
              <w:rPr>
                <w:b/>
              </w:rPr>
              <w:t>路径4 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0.937</w:t>
            </w:r>
          </w:p>
        </w:tc>
        <w:tc>
          <w:tcPr>
            <w:tcW w:type="dxa" w:w="1757"/>
          </w:tcPr>
          <w:p>
            <w:pPr>
              <w:jc w:val="center"/>
            </w:pPr>
            <w:r>
              <w:t>0.910</w:t>
            </w:r>
          </w:p>
        </w:tc>
        <w:tc>
          <w:tcPr>
            <w:tcW w:type="dxa" w:w="1757"/>
          </w:tcPr>
          <w:p>
            <w:pPr>
              <w:jc w:val="center"/>
            </w:pPr>
            <w:r>
              <w:t>0.910</w:t>
            </w:r>
          </w:p>
        </w:tc>
      </w:tr>
      <w:tr>
        <w:tc>
          <w:tcPr>
            <w:tcW w:type="dxa" w:w="1757"/>
          </w:tcPr>
          <w:p>
            <w:pPr>
              <w:jc w:val="center"/>
            </w:pPr>
            <w:r>
              <w:t>覆盖度（原始）</w:t>
            </w:r>
          </w:p>
        </w:tc>
        <w:tc>
          <w:tcPr>
            <w:tcW w:type="dxa" w:w="1757"/>
          </w:tcPr>
          <w:p>
            <w:pPr>
              <w:jc w:val="center"/>
            </w:pPr>
            <w:r>
              <w:t>0.669</w:t>
            </w:r>
          </w:p>
        </w:tc>
        <w:tc>
          <w:tcPr>
            <w:tcW w:type="dxa" w:w="1757"/>
          </w:tcPr>
          <w:p>
            <w:pPr>
              <w:jc w:val="center"/>
            </w:pPr>
            <w:r>
              <w:t>0.305</w:t>
            </w:r>
          </w:p>
        </w:tc>
        <w:tc>
          <w:tcPr>
            <w:tcW w:type="dxa" w:w="1757"/>
          </w:tcPr>
          <w:p>
            <w:pPr>
              <w:jc w:val="center"/>
            </w:pPr>
            <w:r>
              <w:t>0.526</w:t>
            </w:r>
          </w:p>
        </w:tc>
        <w:tc>
          <w:tcPr>
            <w:tcW w:type="dxa" w:w="1757"/>
          </w:tcPr>
          <w:p>
            <w:pPr>
              <w:jc w:val="center"/>
            </w:pPr>
            <w:r>
              <w:t>0.571</w:t>
            </w:r>
          </w:p>
        </w:tc>
      </w:tr>
      <w:tr>
        <w:tc>
          <w:tcPr>
            <w:tcW w:type="dxa" w:w="1757"/>
          </w:tcPr>
          <w:p>
            <w:pPr>
              <w:jc w:val="center"/>
            </w:pPr>
            <w:r>
              <w:t>唯一覆盖度</w:t>
            </w:r>
          </w:p>
        </w:tc>
        <w:tc>
          <w:tcPr>
            <w:tcW w:type="dxa" w:w="1757"/>
          </w:tcPr>
          <w:p>
            <w:pPr>
              <w:jc w:val="center"/>
            </w:pPr>
            <w:r>
              <w:t>0.191</w:t>
            </w:r>
          </w:p>
        </w:tc>
        <w:tc>
          <w:tcPr>
            <w:tcW w:type="dxa" w:w="1757"/>
          </w:tcPr>
          <w:p>
            <w:pPr>
              <w:jc w:val="center"/>
            </w:pPr>
            <w:r>
              <w:t>0.005</w:t>
            </w:r>
          </w:p>
        </w:tc>
        <w:tc>
          <w:tcPr>
            <w:tcW w:type="dxa" w:w="1757"/>
          </w:tcPr>
          <w:p>
            <w:pPr>
              <w:jc w:val="center"/>
            </w:pPr>
            <w:r>
              <w:t>0.064</w:t>
            </w:r>
          </w:p>
        </w:tc>
        <w:tc>
          <w:tcPr>
            <w:tcW w:type="dxa" w:w="1757"/>
          </w:tcPr>
          <w:p>
            <w:pPr>
              <w:jc w:val="center"/>
            </w:pPr>
            <w:r>
              <w:t>0.083</w:t>
            </w:r>
          </w:p>
        </w:tc>
      </w:tr>
    </w:tbl>
    <w:p>
      <w:pPr/>
      <w:r>
        <w:t>注：●为条件存在；整体解一致性=0.859，整体覆盖度=0.953。</w:t>
      </w:r>
    </w:p>
    <w:p>
      <w:pPr/>
      <w:r>
        <w:t>由表5-5可知，校准交叉点调整为P55后，4条路径核心条件组合与原始结果完全相同，一致性均有所提升（TS*TI*IF：0.899→0.937，TI*DS：0.882→0.910，EN*DS：0.889→0.910），均满足阈值要求；整体覆盖度0.953，路径结构稳定。</w:t>
      </w:r>
    </w:p>
    <w:p>
      <w:pPr>
        <w:pStyle w:val="12"/>
      </w:pPr>
      <w:r>
        <w:t>表5-6 原始结果与两种稳健性检验结果对比汇总</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路径</w:t>
            </w:r>
          </w:p>
        </w:tc>
        <w:tc>
          <w:tcPr>
            <w:tcW w:type="dxa" w:w="1757"/>
          </w:tcPr>
          <w:p>
            <w:pPr>
              <w:jc w:val="center"/>
            </w:pPr>
            <w:r>
              <w:rPr>
                <w:b/>
              </w:rPr>
              <w:t>指标</w:t>
            </w:r>
          </w:p>
        </w:tc>
        <w:tc>
          <w:tcPr>
            <w:tcW w:type="dxa" w:w="1757"/>
          </w:tcPr>
          <w:p>
            <w:pPr>
              <w:jc w:val="center"/>
            </w:pPr>
            <w:r>
              <w:rPr>
                <w:b/>
              </w:rPr>
              <w:t>原始结果</w:t>
              <w:br/>
              <w:t>（P50，con≥0.850）</w:t>
            </w:r>
          </w:p>
        </w:tc>
        <w:tc>
          <w:tcPr>
            <w:tcW w:type="dxa" w:w="1757"/>
          </w:tcPr>
          <w:p>
            <w:pPr>
              <w:jc w:val="center"/>
            </w:pPr>
            <w:r>
              <w:rPr>
                <w:b/>
              </w:rPr>
              <w:t>稳健检验一</w:t>
              <w:br/>
              <w:t>（P50，con≥0.875）</w:t>
            </w:r>
          </w:p>
        </w:tc>
        <w:tc>
          <w:tcPr>
            <w:tcW w:type="dxa" w:w="1757"/>
          </w:tcPr>
          <w:p>
            <w:pPr>
              <w:jc w:val="center"/>
            </w:pPr>
            <w:r>
              <w:rPr>
                <w:b/>
              </w:rPr>
              <w:t>稳健检验二</w:t>
              <w:br/>
              <w:t>（P55，con≥0.850）</w:t>
            </w:r>
          </w:p>
        </w:tc>
      </w:tr>
      <w:tr>
        <w:tc>
          <w:tcPr>
            <w:tcW w:type="dxa" w:w="1757"/>
          </w:tcPr>
          <w:p>
            <w:pPr>
              <w:jc w:val="center"/>
            </w:pPr>
            <w:r>
              <w:t>GP*IF</w:t>
            </w:r>
          </w:p>
        </w:tc>
        <w:tc>
          <w:tcPr>
            <w:tcW w:type="dxa" w:w="1757"/>
          </w:tcPr>
          <w:p>
            <w:pPr>
              <w:jc w:val="center"/>
            </w:pPr>
            <w:r>
              <w:t>一致性</w:t>
            </w:r>
          </w:p>
        </w:tc>
        <w:tc>
          <w:tcPr>
            <w:tcW w:type="dxa" w:w="1757"/>
          </w:tcPr>
          <w:p>
            <w:pPr>
              <w:jc w:val="center"/>
            </w:pPr>
            <w:r>
              <w:t>0.884</w:t>
            </w:r>
          </w:p>
        </w:tc>
        <w:tc>
          <w:tcPr>
            <w:tcW w:type="dxa" w:w="1757"/>
          </w:tcPr>
          <w:p>
            <w:pPr>
              <w:jc w:val="center"/>
            </w:pPr>
            <w:r>
              <w:t>0.884（±0）</w:t>
            </w:r>
          </w:p>
        </w:tc>
        <w:tc>
          <w:tcPr>
            <w:tcW w:type="dxa" w:w="1757"/>
          </w:tcPr>
          <w:p>
            <w:pPr>
              <w:jc w:val="center"/>
            </w:pPr>
            <w:r>
              <w:t>0.884（±0）</w:t>
            </w:r>
          </w:p>
        </w:tc>
      </w:tr>
      <w:tr>
        <w:tc>
          <w:tcPr>
            <w:tcW w:type="dxa" w:w="1757"/>
          </w:tcPr>
          <w:p>
            <w:pPr>
              <w:jc w:val="center"/>
            </w:pPr>
            <w:r/>
          </w:p>
        </w:tc>
        <w:tc>
          <w:tcPr>
            <w:tcW w:type="dxa" w:w="1757"/>
          </w:tcPr>
          <w:p>
            <w:pPr>
              <w:jc w:val="center"/>
            </w:pPr>
            <w:r>
              <w:t>覆盖度</w:t>
            </w:r>
          </w:p>
        </w:tc>
        <w:tc>
          <w:tcPr>
            <w:tcW w:type="dxa" w:w="1757"/>
          </w:tcPr>
          <w:p>
            <w:pPr>
              <w:jc w:val="center"/>
            </w:pPr>
            <w:r>
              <w:t>0.669</w:t>
            </w:r>
          </w:p>
        </w:tc>
        <w:tc>
          <w:tcPr>
            <w:tcW w:type="dxa" w:w="1757"/>
          </w:tcPr>
          <w:p>
            <w:pPr>
              <w:jc w:val="center"/>
            </w:pPr>
            <w:r>
              <w:t>0.669（±0）</w:t>
            </w:r>
          </w:p>
        </w:tc>
        <w:tc>
          <w:tcPr>
            <w:tcW w:type="dxa" w:w="1757"/>
          </w:tcPr>
          <w:p>
            <w:pPr>
              <w:jc w:val="center"/>
            </w:pPr>
            <w:r>
              <w:t>0.669（±0）</w:t>
            </w:r>
          </w:p>
        </w:tc>
      </w:tr>
      <w:tr>
        <w:tc>
          <w:tcPr>
            <w:tcW w:type="dxa" w:w="1757"/>
          </w:tcPr>
          <w:p>
            <w:pPr>
              <w:jc w:val="center"/>
            </w:pPr>
            <w:r/>
          </w:p>
        </w:tc>
        <w:tc>
          <w:tcPr>
            <w:tcW w:type="dxa" w:w="1757"/>
          </w:tcPr>
          <w:p>
            <w:pPr>
              <w:jc w:val="center"/>
            </w:pPr>
            <w:r>
              <w:t>唯一覆盖度</w:t>
            </w:r>
          </w:p>
        </w:tc>
        <w:tc>
          <w:tcPr>
            <w:tcW w:type="dxa" w:w="1757"/>
          </w:tcPr>
          <w:p>
            <w:pPr>
              <w:jc w:val="center"/>
            </w:pPr>
            <w:r>
              <w:t>0.136</w:t>
            </w:r>
          </w:p>
        </w:tc>
        <w:tc>
          <w:tcPr>
            <w:tcW w:type="dxa" w:w="1757"/>
          </w:tcPr>
          <w:p>
            <w:pPr>
              <w:jc w:val="center"/>
            </w:pPr>
            <w:r>
              <w:t>0.136（±0）</w:t>
            </w:r>
          </w:p>
        </w:tc>
        <w:tc>
          <w:tcPr>
            <w:tcW w:type="dxa" w:w="1757"/>
          </w:tcPr>
          <w:p>
            <w:pPr>
              <w:jc w:val="center"/>
            </w:pPr>
            <w:r>
              <w:t>0.191（+0.055）</w:t>
            </w:r>
          </w:p>
        </w:tc>
      </w:tr>
      <w:tr>
        <w:tc>
          <w:tcPr>
            <w:tcW w:type="dxa" w:w="1757"/>
          </w:tcPr>
          <w:p>
            <w:pPr>
              <w:jc w:val="center"/>
            </w:pPr>
            <w:r>
              <w:t>TS*TI*IF</w:t>
            </w:r>
          </w:p>
        </w:tc>
        <w:tc>
          <w:tcPr>
            <w:tcW w:type="dxa" w:w="1757"/>
          </w:tcPr>
          <w:p>
            <w:pPr>
              <w:jc w:val="center"/>
            </w:pPr>
            <w:r>
              <w:t>一致性</w:t>
            </w:r>
          </w:p>
        </w:tc>
        <w:tc>
          <w:tcPr>
            <w:tcW w:type="dxa" w:w="1757"/>
          </w:tcPr>
          <w:p>
            <w:pPr>
              <w:jc w:val="center"/>
            </w:pPr>
            <w:r>
              <w:t>0.899</w:t>
            </w:r>
          </w:p>
        </w:tc>
        <w:tc>
          <w:tcPr>
            <w:tcW w:type="dxa" w:w="1757"/>
          </w:tcPr>
          <w:p>
            <w:pPr>
              <w:jc w:val="center"/>
            </w:pPr>
            <w:r>
              <w:t>0.899（±0）</w:t>
            </w:r>
          </w:p>
        </w:tc>
        <w:tc>
          <w:tcPr>
            <w:tcW w:type="dxa" w:w="1757"/>
          </w:tcPr>
          <w:p>
            <w:pPr>
              <w:jc w:val="center"/>
            </w:pPr>
            <w:r>
              <w:t>0.937（+0.038）</w:t>
            </w:r>
          </w:p>
        </w:tc>
      </w:tr>
      <w:tr>
        <w:tc>
          <w:tcPr>
            <w:tcW w:type="dxa" w:w="1757"/>
          </w:tcPr>
          <w:p>
            <w:pPr>
              <w:jc w:val="center"/>
            </w:pPr>
            <w:r/>
          </w:p>
        </w:tc>
        <w:tc>
          <w:tcPr>
            <w:tcW w:type="dxa" w:w="1757"/>
          </w:tcPr>
          <w:p>
            <w:pPr>
              <w:jc w:val="center"/>
            </w:pPr>
            <w:r>
              <w:t>覆盖度</w:t>
            </w:r>
          </w:p>
        </w:tc>
        <w:tc>
          <w:tcPr>
            <w:tcW w:type="dxa" w:w="1757"/>
          </w:tcPr>
          <w:p>
            <w:pPr>
              <w:jc w:val="center"/>
            </w:pPr>
            <w:r>
              <w:t>0.448</w:t>
            </w:r>
          </w:p>
        </w:tc>
        <w:tc>
          <w:tcPr>
            <w:tcW w:type="dxa" w:w="1757"/>
          </w:tcPr>
          <w:p>
            <w:pPr>
              <w:jc w:val="center"/>
            </w:pPr>
            <w:r>
              <w:t>0.448（±0）</w:t>
            </w:r>
          </w:p>
        </w:tc>
        <w:tc>
          <w:tcPr>
            <w:tcW w:type="dxa" w:w="1757"/>
          </w:tcPr>
          <w:p>
            <w:pPr>
              <w:jc w:val="center"/>
            </w:pPr>
            <w:r>
              <w:t>0.305（−0.143）</w:t>
            </w:r>
          </w:p>
        </w:tc>
      </w:tr>
      <w:tr>
        <w:tc>
          <w:tcPr>
            <w:tcW w:type="dxa" w:w="1757"/>
          </w:tcPr>
          <w:p>
            <w:pPr>
              <w:jc w:val="center"/>
            </w:pPr>
            <w:r/>
          </w:p>
        </w:tc>
        <w:tc>
          <w:tcPr>
            <w:tcW w:type="dxa" w:w="1757"/>
          </w:tcPr>
          <w:p>
            <w:pPr>
              <w:jc w:val="center"/>
            </w:pPr>
            <w:r>
              <w:t>唯一覆盖度</w:t>
            </w:r>
          </w:p>
        </w:tc>
        <w:tc>
          <w:tcPr>
            <w:tcW w:type="dxa" w:w="1757"/>
          </w:tcPr>
          <w:p>
            <w:pPr>
              <w:jc w:val="center"/>
            </w:pPr>
            <w:r>
              <w:t>0.007</w:t>
            </w:r>
          </w:p>
        </w:tc>
        <w:tc>
          <w:tcPr>
            <w:tcW w:type="dxa" w:w="1757"/>
          </w:tcPr>
          <w:p>
            <w:pPr>
              <w:jc w:val="center"/>
            </w:pPr>
            <w:r>
              <w:t>0.007（±0）</w:t>
            </w:r>
          </w:p>
        </w:tc>
        <w:tc>
          <w:tcPr>
            <w:tcW w:type="dxa" w:w="1757"/>
          </w:tcPr>
          <w:p>
            <w:pPr>
              <w:jc w:val="center"/>
            </w:pPr>
            <w:r>
              <w:t>0.005（−0.002）</w:t>
            </w:r>
          </w:p>
        </w:tc>
      </w:tr>
      <w:tr>
        <w:tc>
          <w:tcPr>
            <w:tcW w:type="dxa" w:w="1757"/>
          </w:tcPr>
          <w:p>
            <w:pPr>
              <w:jc w:val="center"/>
            </w:pPr>
            <w:r>
              <w:t>TI*DS</w:t>
            </w:r>
          </w:p>
        </w:tc>
        <w:tc>
          <w:tcPr>
            <w:tcW w:type="dxa" w:w="1757"/>
          </w:tcPr>
          <w:p>
            <w:pPr>
              <w:jc w:val="center"/>
            </w:pPr>
            <w:r>
              <w:t>一致性</w:t>
            </w:r>
          </w:p>
        </w:tc>
        <w:tc>
          <w:tcPr>
            <w:tcW w:type="dxa" w:w="1757"/>
          </w:tcPr>
          <w:p>
            <w:pPr>
              <w:jc w:val="center"/>
            </w:pPr>
            <w:r>
              <w:t>0.882</w:t>
            </w:r>
          </w:p>
        </w:tc>
        <w:tc>
          <w:tcPr>
            <w:tcW w:type="dxa" w:w="1757"/>
          </w:tcPr>
          <w:p>
            <w:pPr>
              <w:jc w:val="center"/>
            </w:pPr>
            <w:r>
              <w:t>0.882（±0）</w:t>
            </w:r>
          </w:p>
        </w:tc>
        <w:tc>
          <w:tcPr>
            <w:tcW w:type="dxa" w:w="1757"/>
          </w:tcPr>
          <w:p>
            <w:pPr>
              <w:jc w:val="center"/>
            </w:pPr>
            <w:r>
              <w:t>0.910（+0.028）</w:t>
            </w:r>
          </w:p>
        </w:tc>
      </w:tr>
      <w:tr>
        <w:tc>
          <w:tcPr>
            <w:tcW w:type="dxa" w:w="1757"/>
          </w:tcPr>
          <w:p>
            <w:pPr>
              <w:jc w:val="center"/>
            </w:pPr>
            <w:r/>
          </w:p>
        </w:tc>
        <w:tc>
          <w:tcPr>
            <w:tcW w:type="dxa" w:w="1757"/>
          </w:tcPr>
          <w:p>
            <w:pPr>
              <w:jc w:val="center"/>
            </w:pPr>
            <w:r>
              <w:t>覆盖度</w:t>
            </w:r>
          </w:p>
        </w:tc>
        <w:tc>
          <w:tcPr>
            <w:tcW w:type="dxa" w:w="1757"/>
          </w:tcPr>
          <w:p>
            <w:pPr>
              <w:jc w:val="center"/>
            </w:pPr>
            <w:r>
              <w:t>0.642</w:t>
            </w:r>
          </w:p>
        </w:tc>
        <w:tc>
          <w:tcPr>
            <w:tcW w:type="dxa" w:w="1757"/>
          </w:tcPr>
          <w:p>
            <w:pPr>
              <w:jc w:val="center"/>
            </w:pPr>
            <w:r>
              <w:t>0.642（±0）</w:t>
            </w:r>
          </w:p>
        </w:tc>
        <w:tc>
          <w:tcPr>
            <w:tcW w:type="dxa" w:w="1757"/>
          </w:tcPr>
          <w:p>
            <w:pPr>
              <w:jc w:val="center"/>
            </w:pPr>
            <w:r>
              <w:t>0.526（−0.116）</w:t>
            </w:r>
          </w:p>
        </w:tc>
      </w:tr>
      <w:tr>
        <w:tc>
          <w:tcPr>
            <w:tcW w:type="dxa" w:w="1757"/>
          </w:tcPr>
          <w:p>
            <w:pPr>
              <w:jc w:val="center"/>
            </w:pPr>
            <w:r/>
          </w:p>
        </w:tc>
        <w:tc>
          <w:tcPr>
            <w:tcW w:type="dxa" w:w="1757"/>
          </w:tcPr>
          <w:p>
            <w:pPr>
              <w:jc w:val="center"/>
            </w:pPr>
            <w:r>
              <w:t>唯一覆盖度</w:t>
            </w:r>
          </w:p>
        </w:tc>
        <w:tc>
          <w:tcPr>
            <w:tcW w:type="dxa" w:w="1757"/>
          </w:tcPr>
          <w:p>
            <w:pPr>
              <w:jc w:val="center"/>
            </w:pPr>
            <w:r>
              <w:t>0.052</w:t>
            </w:r>
          </w:p>
        </w:tc>
        <w:tc>
          <w:tcPr>
            <w:tcW w:type="dxa" w:w="1757"/>
          </w:tcPr>
          <w:p>
            <w:pPr>
              <w:jc w:val="center"/>
            </w:pPr>
            <w:r>
              <w:t>0.052（±0）</w:t>
            </w:r>
          </w:p>
        </w:tc>
        <w:tc>
          <w:tcPr>
            <w:tcW w:type="dxa" w:w="1757"/>
          </w:tcPr>
          <w:p>
            <w:pPr>
              <w:jc w:val="center"/>
            </w:pPr>
            <w:r>
              <w:t>0.064（+0.012）</w:t>
            </w:r>
          </w:p>
        </w:tc>
      </w:tr>
      <w:tr>
        <w:tc>
          <w:tcPr>
            <w:tcW w:type="dxa" w:w="1757"/>
          </w:tcPr>
          <w:p>
            <w:pPr>
              <w:jc w:val="center"/>
            </w:pPr>
            <w:r>
              <w:t>EN*DS</w:t>
            </w:r>
          </w:p>
        </w:tc>
        <w:tc>
          <w:tcPr>
            <w:tcW w:type="dxa" w:w="1757"/>
          </w:tcPr>
          <w:p>
            <w:pPr>
              <w:jc w:val="center"/>
            </w:pPr>
            <w:r>
              <w:t>一致性</w:t>
            </w:r>
          </w:p>
        </w:tc>
        <w:tc>
          <w:tcPr>
            <w:tcW w:type="dxa" w:w="1757"/>
          </w:tcPr>
          <w:p>
            <w:pPr>
              <w:jc w:val="center"/>
            </w:pPr>
            <w:r>
              <w:t>0.889</w:t>
            </w:r>
          </w:p>
        </w:tc>
        <w:tc>
          <w:tcPr>
            <w:tcW w:type="dxa" w:w="1757"/>
          </w:tcPr>
          <w:p>
            <w:pPr>
              <w:jc w:val="center"/>
            </w:pPr>
            <w:r>
              <w:t>0.889（±0）</w:t>
            </w:r>
          </w:p>
        </w:tc>
        <w:tc>
          <w:tcPr>
            <w:tcW w:type="dxa" w:w="1757"/>
          </w:tcPr>
          <w:p>
            <w:pPr>
              <w:jc w:val="center"/>
            </w:pPr>
            <w:r>
              <w:t>0.910（+0.021）</w:t>
            </w:r>
          </w:p>
        </w:tc>
      </w:tr>
      <w:tr>
        <w:tc>
          <w:tcPr>
            <w:tcW w:type="dxa" w:w="1757"/>
          </w:tcPr>
          <w:p>
            <w:pPr>
              <w:jc w:val="center"/>
            </w:pPr>
            <w:r/>
          </w:p>
        </w:tc>
        <w:tc>
          <w:tcPr>
            <w:tcW w:type="dxa" w:w="1757"/>
          </w:tcPr>
          <w:p>
            <w:pPr>
              <w:jc w:val="center"/>
            </w:pPr>
            <w:r>
              <w:t>覆盖度</w:t>
            </w:r>
          </w:p>
        </w:tc>
        <w:tc>
          <w:tcPr>
            <w:tcW w:type="dxa" w:w="1757"/>
          </w:tcPr>
          <w:p>
            <w:pPr>
              <w:jc w:val="center"/>
            </w:pPr>
            <w:r>
              <w:t>0.652</w:t>
            </w:r>
          </w:p>
        </w:tc>
        <w:tc>
          <w:tcPr>
            <w:tcW w:type="dxa" w:w="1757"/>
          </w:tcPr>
          <w:p>
            <w:pPr>
              <w:jc w:val="center"/>
            </w:pPr>
            <w:r>
              <w:t>0.652（±0）</w:t>
            </w:r>
          </w:p>
        </w:tc>
        <w:tc>
          <w:tcPr>
            <w:tcW w:type="dxa" w:w="1757"/>
          </w:tcPr>
          <w:p>
            <w:pPr>
              <w:jc w:val="center"/>
            </w:pPr>
            <w:r>
              <w:t>0.571（−0.081）</w:t>
            </w:r>
          </w:p>
        </w:tc>
      </w:tr>
      <w:tr>
        <w:tc>
          <w:tcPr>
            <w:tcW w:type="dxa" w:w="1757"/>
          </w:tcPr>
          <w:p>
            <w:pPr>
              <w:jc w:val="center"/>
            </w:pPr>
            <w:r/>
          </w:p>
        </w:tc>
        <w:tc>
          <w:tcPr>
            <w:tcW w:type="dxa" w:w="1757"/>
          </w:tcPr>
          <w:p>
            <w:pPr>
              <w:jc w:val="center"/>
            </w:pPr>
            <w:r>
              <w:t>唯一覆盖度</w:t>
            </w:r>
          </w:p>
        </w:tc>
        <w:tc>
          <w:tcPr>
            <w:tcW w:type="dxa" w:w="1757"/>
          </w:tcPr>
          <w:p>
            <w:pPr>
              <w:jc w:val="center"/>
            </w:pPr>
            <w:r>
              <w:t>0.054</w:t>
            </w:r>
          </w:p>
        </w:tc>
        <w:tc>
          <w:tcPr>
            <w:tcW w:type="dxa" w:w="1757"/>
          </w:tcPr>
          <w:p>
            <w:pPr>
              <w:jc w:val="center"/>
            </w:pPr>
            <w:r>
              <w:t>0.054（±0）</w:t>
            </w:r>
          </w:p>
        </w:tc>
        <w:tc>
          <w:tcPr>
            <w:tcW w:type="dxa" w:w="1757"/>
          </w:tcPr>
          <w:p>
            <w:pPr>
              <w:jc w:val="center"/>
            </w:pPr>
            <w:r>
              <w:t>0.083（+0.029）</w:t>
            </w:r>
          </w:p>
        </w:tc>
      </w:tr>
      <w:tr>
        <w:tc>
          <w:tcPr>
            <w:tcW w:type="dxa" w:w="1757"/>
          </w:tcPr>
          <w:p>
            <w:pPr>
              <w:jc w:val="center"/>
            </w:pPr>
            <w:r>
              <w:t>整体解</w:t>
            </w:r>
          </w:p>
        </w:tc>
        <w:tc>
          <w:tcPr>
            <w:tcW w:type="dxa" w:w="1757"/>
          </w:tcPr>
          <w:p>
            <w:pPr>
              <w:jc w:val="center"/>
            </w:pPr>
            <w:r>
              <w:t>一致性</w:t>
            </w:r>
          </w:p>
        </w:tc>
        <w:tc>
          <w:tcPr>
            <w:tcW w:type="dxa" w:w="1757"/>
          </w:tcPr>
          <w:p>
            <w:pPr>
              <w:jc w:val="center"/>
            </w:pPr>
            <w:r>
              <w:t>0.833</w:t>
            </w:r>
          </w:p>
        </w:tc>
        <w:tc>
          <w:tcPr>
            <w:tcW w:type="dxa" w:w="1757"/>
          </w:tcPr>
          <w:p>
            <w:pPr>
              <w:jc w:val="center"/>
            </w:pPr>
            <w:r>
              <w:t>0.833（±0）</w:t>
            </w:r>
          </w:p>
        </w:tc>
        <w:tc>
          <w:tcPr>
            <w:tcW w:type="dxa" w:w="1757"/>
          </w:tcPr>
          <w:p>
            <w:pPr>
              <w:jc w:val="center"/>
            </w:pPr>
            <w:r>
              <w:t>0.859（+0.026）</w:t>
            </w:r>
          </w:p>
        </w:tc>
      </w:tr>
      <w:tr>
        <w:tc>
          <w:tcPr>
            <w:tcW w:type="dxa" w:w="1757"/>
          </w:tcPr>
          <w:p>
            <w:pPr>
              <w:jc w:val="center"/>
            </w:pPr>
            <w:r/>
          </w:p>
        </w:tc>
        <w:tc>
          <w:tcPr>
            <w:tcW w:type="dxa" w:w="1757"/>
          </w:tcPr>
          <w:p>
            <w:pPr>
              <w:jc w:val="center"/>
            </w:pPr>
            <w:r>
              <w:t>覆盖度</w:t>
            </w:r>
          </w:p>
        </w:tc>
        <w:tc>
          <w:tcPr>
            <w:tcW w:type="dxa" w:w="1757"/>
          </w:tcPr>
          <w:p>
            <w:pPr>
              <w:jc w:val="center"/>
            </w:pPr>
            <w:r>
              <w:t>0.967</w:t>
            </w:r>
          </w:p>
        </w:tc>
        <w:tc>
          <w:tcPr>
            <w:tcW w:type="dxa" w:w="1757"/>
          </w:tcPr>
          <w:p>
            <w:pPr>
              <w:jc w:val="center"/>
            </w:pPr>
            <w:r>
              <w:t>0.967（±0）</w:t>
            </w:r>
          </w:p>
        </w:tc>
        <w:tc>
          <w:tcPr>
            <w:tcW w:type="dxa" w:w="1757"/>
          </w:tcPr>
          <w:p>
            <w:pPr>
              <w:jc w:val="center"/>
            </w:pPr>
            <w:r>
              <w:t>0.953（−0.014）</w:t>
            </w:r>
          </w:p>
        </w:tc>
      </w:tr>
    </w:tbl>
    <w:p>
      <w:pPr/>
      <w:r>
        <w:t>由表5-6可知，两种稳健性检验均与原始结果高度一致：稳健检验一（提高阈值）各路径指标完全不变；稳健检验二（调整锚点）路径结构保持不变，一致性小幅提升（+0.021至+0.038），覆盖度有所收窄，整体覆盖度仍达0.953。核心条件划分稳定，结论稳健性得到充分验证。</w:t>
      </w:r>
    </w:p>
    <w:p>
      <w:pPr>
        <w:pStyle w:val="3"/>
      </w:pPr>
      <w:r>
        <w:t>5.6 SEM与fsQCA结果比较分析</w:t>
      </w:r>
    </w:p>
    <w:p>
      <w:pPr/>
      <w:r>
        <w:t>本文将SEM与fsQCA分析结果进行系统比较，以形成相互印证和补充的完整分析框架（见表5-4）。</w:t>
      </w:r>
    </w:p>
    <w:p>
      <w:pPr>
        <w:pStyle w:val="12"/>
      </w:pPr>
      <w:r>
        <w:t>表5-4 SEM与fsQCA结果对照</w:t>
      </w:r>
    </w:p>
    <w:tbl>
      <w:tblPr>
        <w:tblStyle w:val="34"/>
        <w:tblW w:type="auto" w:w="0"/>
        <w:tblLook w:firstColumn="1" w:firstRow="1" w:lastColumn="0" w:lastRow="0" w:noHBand="0" w:noVBand="1" w:val="04A0"/>
      </w:tblPr>
      <w:tblGrid>
        <w:gridCol w:w="2929"/>
        <w:gridCol w:w="2929"/>
        <w:gridCol w:w="2929"/>
      </w:tblGrid>
      <w:tr>
        <w:tc>
          <w:tcPr>
            <w:tcW w:type="dxa" w:w="2929"/>
          </w:tcPr>
          <w:p>
            <w:pPr>
              <w:jc w:val="center"/>
            </w:pPr>
            <w:r>
              <w:rPr>
                <w:b/>
              </w:rPr>
              <w:t>分析维度</w:t>
            </w:r>
          </w:p>
        </w:tc>
        <w:tc>
          <w:tcPr>
            <w:tcW w:type="dxa" w:w="2929"/>
          </w:tcPr>
          <w:p>
            <w:pPr>
              <w:jc w:val="center"/>
            </w:pPr>
            <w:r>
              <w:rPr>
                <w:b/>
              </w:rPr>
              <w:t>SEM结果（净效应）</w:t>
            </w:r>
          </w:p>
        </w:tc>
        <w:tc>
          <w:tcPr>
            <w:tcW w:type="dxa" w:w="2929"/>
          </w:tcPr>
          <w:p>
            <w:pPr>
              <w:jc w:val="center"/>
            </w:pPr>
            <w:r>
              <w:rPr>
                <w:b/>
              </w:rPr>
              <w:t>fsQCA结果（组态效应）</w:t>
            </w:r>
          </w:p>
        </w:tc>
      </w:tr>
      <w:tr>
        <w:tc>
          <w:tcPr>
            <w:tcW w:type="dxa" w:w="2929"/>
          </w:tcPr>
          <w:p>
            <w:pPr>
              <w:jc w:val="center"/>
            </w:pPr>
            <w:r>
              <w:t>GP的作用机制</w:t>
            </w:r>
          </w:p>
        </w:tc>
        <w:tc>
          <w:tcPr>
            <w:tcW w:type="dxa" w:w="2929"/>
          </w:tcPr>
          <w:p>
            <w:pPr>
              <w:jc w:val="center"/>
            </w:pPr>
            <w:r>
              <w:t>GP→IF→CDL（β=0.494），中介效应0.215***</w:t>
            </w:r>
          </w:p>
        </w:tc>
        <w:tc>
          <w:tcPr>
            <w:tcW w:type="dxa" w:w="2929"/>
          </w:tcPr>
          <w:p>
            <w:pPr>
              <w:jc w:val="center"/>
            </w:pPr>
            <w:r>
              <w:t>GP*IF为路径1核心条件（con=0.884）</w:t>
            </w:r>
          </w:p>
        </w:tc>
      </w:tr>
      <w:tr>
        <w:tc>
          <w:tcPr>
            <w:tcW w:type="dxa" w:w="2929"/>
          </w:tcPr>
          <w:p>
            <w:pPr>
              <w:jc w:val="center"/>
            </w:pPr>
            <w:r>
              <w:t>TS的作用机制</w:t>
            </w:r>
          </w:p>
        </w:tc>
        <w:tc>
          <w:tcPr>
            <w:tcW w:type="dxa" w:w="2929"/>
          </w:tcPr>
          <w:p>
            <w:pPr>
              <w:jc w:val="center"/>
            </w:pPr>
            <w:r>
              <w:t>TS→IF→CDL（β=0.319），中介效应0.136***</w:t>
            </w:r>
          </w:p>
        </w:tc>
        <w:tc>
          <w:tcPr>
            <w:tcW w:type="dxa" w:w="2929"/>
          </w:tcPr>
          <w:p>
            <w:pPr>
              <w:jc w:val="center"/>
            </w:pPr>
            <w:r>
              <w:t>TS*TI*IF为路径2，需三条件组合</w:t>
            </w:r>
          </w:p>
        </w:tc>
      </w:tr>
      <w:tr>
        <w:tc>
          <w:tcPr>
            <w:tcW w:type="dxa" w:w="2929"/>
          </w:tcPr>
          <w:p>
            <w:pPr>
              <w:jc w:val="center"/>
            </w:pPr>
            <w:r>
              <w:t>TI的作用机制</w:t>
            </w:r>
          </w:p>
        </w:tc>
        <w:tc>
          <w:tcPr>
            <w:tcW w:type="dxa" w:w="2929"/>
          </w:tcPr>
          <w:p>
            <w:pPr>
              <w:jc w:val="center"/>
            </w:pPr>
            <w:r>
              <w:t>TI→DS→CDL（β=0.339），中介效应0.202***</w:t>
            </w:r>
          </w:p>
        </w:tc>
        <w:tc>
          <w:tcPr>
            <w:tcW w:type="dxa" w:w="2929"/>
          </w:tcPr>
          <w:p>
            <w:pPr>
              <w:jc w:val="center"/>
            </w:pPr>
            <w:r>
              <w:t>出现于路径2、3，与DS或IF组合</w:t>
            </w:r>
          </w:p>
        </w:tc>
      </w:tr>
      <w:tr>
        <w:tc>
          <w:tcPr>
            <w:tcW w:type="dxa" w:w="2929"/>
          </w:tcPr>
          <w:p>
            <w:pPr>
              <w:jc w:val="center"/>
            </w:pPr>
            <w:r>
              <w:t>DS的作用机制</w:t>
            </w:r>
          </w:p>
        </w:tc>
        <w:tc>
          <w:tcPr>
            <w:tcW w:type="dxa" w:w="2929"/>
          </w:tcPr>
          <w:p>
            <w:pPr>
              <w:jc w:val="center"/>
            </w:pPr>
            <w:r>
              <w:t>DS→CDL（β=0.595），最强直接中介</w:t>
            </w:r>
          </w:p>
        </w:tc>
        <w:tc>
          <w:tcPr>
            <w:tcW w:type="dxa" w:w="2929"/>
          </w:tcPr>
          <w:p>
            <w:pPr>
              <w:jc w:val="center"/>
            </w:pPr>
            <w:r>
              <w:t>出现于路径3（TI*DS）、路径4（EN*DS）</w:t>
            </w:r>
          </w:p>
        </w:tc>
      </w:tr>
      <w:tr>
        <w:tc>
          <w:tcPr>
            <w:tcW w:type="dxa" w:w="2929"/>
          </w:tcPr>
          <w:p>
            <w:pPr>
              <w:jc w:val="center"/>
            </w:pPr>
            <w:r>
              <w:t>EN的作用机制</w:t>
            </w:r>
          </w:p>
        </w:tc>
        <w:tc>
          <w:tcPr>
            <w:tcW w:type="dxa" w:w="2929"/>
          </w:tcPr>
          <w:p>
            <w:pPr>
              <w:jc w:val="center"/>
            </w:pPr>
            <w:r>
              <w:t>EN→DS→CDL（β=0.360），中介效应0.219***</w:t>
            </w:r>
          </w:p>
        </w:tc>
        <w:tc>
          <w:tcPr>
            <w:tcW w:type="dxa" w:w="2929"/>
          </w:tcPr>
          <w:p>
            <w:pPr>
              <w:jc w:val="center"/>
            </w:pPr>
            <w:r>
              <w:t>EN*DS为路径4核心条件（con=0.889）</w:t>
            </w:r>
          </w:p>
        </w:tc>
      </w:tr>
      <w:tr>
        <w:tc>
          <w:tcPr>
            <w:tcW w:type="dxa" w:w="2929"/>
          </w:tcPr>
          <w:p>
            <w:pPr>
              <w:jc w:val="center"/>
            </w:pPr>
            <w:r>
              <w:t>整体解释力</w:t>
            </w:r>
          </w:p>
        </w:tc>
        <w:tc>
          <w:tcPr>
            <w:tcW w:type="dxa" w:w="2929"/>
          </w:tcPr>
          <w:p>
            <w:pPr>
              <w:jc w:val="center"/>
            </w:pPr>
            <w:r>
              <w:t>R²(CDL)=0.555</w:t>
            </w:r>
          </w:p>
        </w:tc>
        <w:tc>
          <w:tcPr>
            <w:tcW w:type="dxa" w:w="2929"/>
          </w:tcPr>
          <w:p>
            <w:pPr>
              <w:jc w:val="center"/>
            </w:pPr>
            <w:r>
              <w:t>整体覆盖度=0.967</w:t>
            </w:r>
          </w:p>
        </w:tc>
      </w:tr>
    </w:tbl>
    <w:p>
      <w:pPr/>
      <w:r>
        <w:t>综合比较可知，SEM与fsQCA结果高度一致：SEM识别的4条中介路径（GP→IF→CDL、TS→IF→CDL、TI→DS→CDL、EN→DS→CDL）在fsQCA组态分析中均得到对应印证；fsQCA进一步揭示了SEM无法呈现的条件"替代性"与"协同性"——数字技能（DS）是必要程度最高的条件，可与TI或EN组合形成两条不同路径实现高水平发展（殊途同归）；TS对集群发展的促进作用需在IF存在的前提下，与TI共同发挥作用（三元组合），而非单独起效，这是SEM净效应分析无法呈现的条件依赖关系。两种方法的互补使用有效增强了本研究结论的可信度与深度。</w:t>
      </w:r>
    </w:p>
    <w:p>
      <w:pPr>
        <w:pStyle w:val="3"/>
      </w:pPr>
      <w:r>
        <w:t>5.7 本章小结</w:t>
      </w:r>
    </w:p>
    <w:p>
      <w:pPr/>
      <w:r>
        <w:t>本章基于N=508的正式调研数据，采用模糊集定性比较分析（fsQCA）对烟台集群电商高水平发展的条件组合进行系统分析。主要发现如下：</w:t>
      </w:r>
    </w:p>
    <w:p>
      <w:pPr/>
      <w:r>
        <w:t>第一，不存在单一必要条件（所有条件必要性一致性&lt;0.900），集群电商高水平发展是多因素协同作用的结果，体现了复杂因果关系的"等效性"与"非对称性"。</w:t>
      </w:r>
    </w:p>
    <w:p>
      <w:pPr/>
      <w:r>
        <w:t>第二，识别出4条驱动路径：政策-设施协同驱动型（GP*IF）、人才-技术-基础设施三元驱动型（TS*TI*IF）、技术-数字能力内生型（TI*DS）、资源-数字能力整合型（EN*DS），四条路径整体覆盖度达0.967，具有良好的解释力。</w:t>
      </w:r>
    </w:p>
    <w:p>
      <w:pPr/>
      <w:r>
        <w:t>第三，fsQCA结果与SEM分析形成相互印证：数字技能（DS）是各路径中出现频率最高的条件，与SEM中DS对CDL影响最强（β=0.595）一致；政府政策（GP）通过与基础设施组合形成最具唯一解释力的路径，印证了SEM中GP→IF→CDL的完全中介机制。</w:t>
      </w:r>
    </w:p>
    <w:p>
      <w:pPr/>
      <w:r>
        <w:t>综合本章与第四章的分析，下一章将在研究结论的基础上，提出有针对性的对策建议，并讨论研究局限与展望。</w:t>
      </w:r>
    </w:p>
    <w:p>
      <w:pPr>
        <w:pStyle w:val="2"/>
      </w:pPr>
      <w:r>
        <w:t>第六章 研究结论与对策建议</w:t>
      </w:r>
    </w:p>
    <w:p>
      <w:pPr>
        <w:pStyle w:val="3"/>
      </w:pPr>
      <w:r>
        <w:t>6.1 研究结论</w:t>
      </w:r>
    </w:p>
    <w:p>
      <w:pPr/>
      <w:r>
        <w:t>本文以烟台地区集群电商经济为研究对象，综合运用结构方程模型（SEM）与模糊集定性比较分析（fsQCA）两种方法，从"净效应"与"组态效应"两个维度，系统探讨了政府政策与集群治理（GP）、人才支撑（TS）、基础设施建设（IF）、技术创新水平（TI）、本地电商平台与数字技能（DS）、自然环境与资源禀赋（EN）六大因素对集群电商发展水平（CDL）的影响机制。研究基于508份有效问卷，主要形成以下四项研究结论：</w:t>
      </w:r>
    </w:p>
    <w:p>
      <w:pPr/>
      <w:r>
        <w:t>**结论一：六大影响因素对集群电商发展水平均存在显著的间接影响，基础设施建设（IF）与数字技能（DS）是核心中介机制。**</w:t>
      </w:r>
    </w:p>
    <w:p>
      <w:pPr/>
      <w:r>
        <w:t>SEM分析表明，在纯中介模型框架下，GP和TS通过IF、TI和EN通过DS间接影响CDL，六条结构路径系数均在0.001水平上显著（β=0.319—0.595）。其中，DS对CDL的标准化路径系数最高（β=0.595），说明本地电商平台能力与从业者数字技能水平是推动集群电商发展的最直接驱动力；GP对IF的影响（β=0.494）在两条前导路径中最强，体现了政策支持对基础设施投入的优先引导作用。Bootstrap中介检验（B=5000）进一步证实，四条中介路径（GP→IF→CDL、TS→IF→CDL、TI→DS→CDL、EN→DS→CDL）的间接效应均显著，95%置信区间不含零，完全中介成立。</w:t>
      </w:r>
    </w:p>
    <w:p>
      <w:pPr/>
      <w:r>
        <w:t>**结论二：烟台集群电商高水平发展无单一必要条件，具有典型的"多路径等效"特征。**</w:t>
      </w:r>
    </w:p>
    <w:p>
      <w:pPr/>
      <w: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pPr/>
      <w:r>
        <w:t>**结论三：识别出四条驱动集群电商高水平发展的组态路径，路径结构与SEM结论高度一致。**</w:t>
      </w:r>
    </w:p>
    <w:p>
      <w:pPr/>
      <w:r>
        <w:t>fsQCA组态分析共识别出4条中间解路径：路径1（GP*IF）、路径2（TS*TI*IF）、路径3（TI*DS）、路径4（EN*DS），整体解覆盖度达0.967，一致性为0.833，解的质量优良。四条路径分别代表"政策-设施协同驱动型"、"人才-技术-基础设施三元驱动型"、"技术-数字能力内生型"和"资源-数字能力整合型"四种发展模式，覆盖了政策推动、市场自主与资源整合等不同驱动逻辑，揭示了烟台集群电商发展路径的多样性。</w:t>
      </w:r>
    </w:p>
    <w:p>
      <w:pPr/>
      <w:r>
        <w:t>**结论四：SEM净效应分析与fsQCA组态分析形成互证，两套方法优势互补。**</w:t>
      </w:r>
    </w:p>
    <w:p>
      <w:pPr/>
      <w:r>
        <w:t>比较来看，SEM揭示了各因素对集群发展水平的边际净效应与中介机制，而fsQCA进一步呈现了条件间的"替代性"与"协同性"：数字技能（DS）在两条路径中均作为核心条件出现（TI*DS和EN*DS），与SEM中DS路径系数最强相印证；人才支撑（TS）需与TI、IF共同组合（三元路径）方能发挥作用，这是SEM净效应分析无法呈现的条件依赖关系。两种方法的互补使用使本文研究结论更为完整、可信。</w:t>
      </w:r>
    </w:p>
    <w:p>
      <w:pPr>
        <w:pStyle w:val="3"/>
      </w:pPr>
      <w:r>
        <w:t>6.2 发展对策建议</w:t>
      </w:r>
    </w:p>
    <w:p>
      <w:pPr/>
      <w:r>
        <w:t>基于上述研究结论，结合烟台集群电商发展实际，本文提出以下五方面对策建议：</w:t>
      </w:r>
    </w:p>
    <w:p>
      <w:pPr>
        <w:pStyle w:val="4"/>
      </w:pPr>
      <w:r>
        <w:t>6.2.1 强化政府政策支持，优化集群治理顶层设计</w:t>
      </w:r>
    </w:p>
    <w:p>
      <w:pPr/>
      <w:r>
        <w:t>研究表明，政府政策（GP）是推动基础设施建设（IF）并间接促进集群发展水平的最强前导因素（β=0.494），且在组态路径1（GP*IF）中具有最高的唯一解释力（唯一覆盖度=0.136）。为此，建议：第一，烟台市各级政府应出台系统性集群电商扶持政策，建立电商集群认定标准与差异化补贴机制，避免政策碎片化；第二，推动县区电商政策与全市"烟台农村电商提升行动方案"衔接，形成市-区-镇三级政策协同格局；第三，引入第三方绩效评估机制，定期评估政策落地效果，保障政策连贯性与有效性。</w:t>
      </w:r>
    </w:p>
    <w:p>
      <w:pPr>
        <w:pStyle w:val="4"/>
      </w:pPr>
      <w:r>
        <w:t>6.2.2 加大数字基础设施投入，夯实集群发展基础</w:t>
      </w:r>
    </w:p>
    <w:p>
      <w:pPr/>
      <w:r>
        <w:t>基础设施建设（IF）作为核心中介变量，同时出现于路径1（GP*IF）与路径2（TS*TI*IF），表明其对集群发展的"通道"作用不可或缺。建议：第一，持续推进农村宽带与5G网络向烟台山区、丘陵乡镇延伸，补齐"数字鸿沟"；第二，支持区县建设共享型电商物流仓储基地，降低中小集群主体的物流成本与"最后一公里"障碍；第三，加快推进农村快递末端网点标准化建设，提升冷链与时效配送能力，为特色农产品电商规模化奠定物流基础。</w:t>
      </w:r>
    </w:p>
    <w:p>
      <w:pPr>
        <w:pStyle w:val="4"/>
      </w:pPr>
      <w:r>
        <w:t>6.2.3 提升数字技能水平，驱动内生发展动力</w:t>
      </w:r>
    </w:p>
    <w:p>
      <w:pPr/>
      <w:r>
        <w:t>数字技能（DS）在SEM中路径系数最强（β=0.595），在fsQCA中出现于两条路径，是烟台集群电商发展最关键的内生动力。建议：第一，推进县区电商人才培育基地建设，将直播带货、数据运营、平台运营等数字技能培训纳入农村职业教育体系；第二，依托烟台各电商集聚区设立"数字技能训练营"，面向个体电商农户和中小商家提供短期集训课程；第三，鼓励大型电商平台（如京东、抖音电商等）在烟台设立官方认证培训中心，形成政府引导-平台赋能-市场驱动的三方联动培训机制。</w:t>
      </w:r>
    </w:p>
    <w:p>
      <w:pPr>
        <w:pStyle w:val="4"/>
      </w:pPr>
      <w:r>
        <w:t>6.2.4 激励技术创新，推动集群数字化转型升级</w:t>
      </w:r>
    </w:p>
    <w:p>
      <w:pPr/>
      <w:r>
        <w:t>技术创新（TI）是路径2（TS*TI*IF）与路径3（TI*DS）的共享核心条件，在驱动数字技能提升和协同人才-基础设施发挥作用两个维度均有重要意义。建议：第一，设立烟台集群电商技术创新专项基金，重点支持农产品溯源、AI选品、智能客服等实用性数字技术的本土化应用；第二，引导电商集群龙头企业与驻烟高校、科研机构开展产学研合作，加速科技成果转化；第三，搭建集群电商数字技术共享平台，允许中小企业以低成本接入先进技术服务，缩小集群内技术能力差距。</w:t>
      </w:r>
    </w:p>
    <w:p>
      <w:pPr>
        <w:pStyle w:val="4"/>
      </w:pPr>
      <w:r>
        <w:t>6.2.5 发挥资源禀赋优势，构建特色产业品牌</w:t>
      </w:r>
    </w:p>
    <w:p>
      <w:pPr/>
      <w:r>
        <w:t>自然环境与资源禀赋（EN）通过路径4（EN*DS）对集群发展产生重要影响，说明烟台的自然资源优势（苹果、樱桃、葡萄酒、海产品等地理标志产品）与数字技能的组合能够形成强有力的集群发展驱动力。建议：第一，系统梳理烟台各区县特色农产品资源，打造"烟台集群电商地理标志产品库"，支持特色产品电商化运营；第二，联合抖音、拼多多等主流平台开展"烟台特产直播节"等流量引导活动，加大特色农产品品牌推广力度；第三，支持具备数字营销能力的专业运营团队深入乡镇，实施农户-运营商合作模式，解决"有资源缺技能"的制约问题。</w:t>
      </w:r>
    </w:p>
    <w:p>
      <w:pPr>
        <w:pStyle w:val="3"/>
      </w:pPr>
      <w:r>
        <w:t>6.3 研究不足与未来展望</w:t>
      </w:r>
    </w:p>
    <w:p>
      <w:pPr>
        <w:pStyle w:val="4"/>
      </w:pPr>
      <w:r>
        <w:t>6.3.1 研究不足</w:t>
      </w:r>
    </w:p>
    <w:p>
      <w:pPr/>
      <w:r>
        <w:t>本文在研究设计与数据获取方面存在以下不足，有待后续研究加以改进：</w:t>
      </w:r>
    </w:p>
    <w:p>
      <w:pPr/>
      <w: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pPr/>
      <w: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pPr/>
      <w: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pPr/>
      <w: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pPr>
        <w:pStyle w:val="4"/>
      </w:pPr>
      <w:r>
        <w:t>6.3.2 未来研究展望</w:t>
      </w:r>
    </w:p>
    <w:p>
      <w:pPr/>
      <w:r>
        <w:t>针对上述研究不足，未来研究可从以下四个方向拓展：</w:t>
      </w:r>
    </w:p>
    <w:p>
      <w:pPr/>
      <w: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pPr/>
      <w: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pPr/>
      <w: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pPr/>
      <w: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pPr>
        <w:pStyle w:val="3"/>
      </w:pPr>
      <w:r>
        <w:t>6.4 本章小结</w:t>
      </w:r>
    </w:p>
    <w:p>
      <w:pPr/>
      <w:r>
        <w:t>本章系统梳理了全文研究结论，从政府政策、基础设施、数字技能、技术创新与资源禀赋五个维度提出了针对烟台集群电商发展的对策建议，并结合研究局限与未来展望对后续研究方向进行了展望。</w:t>
      </w:r>
    </w:p>
    <w:p>
      <w:pPr/>
      <w:r>
        <w:t>研究表明，烟台集群电商的高水平发展是一个由多因素协同驱动的复杂系统——既需要政策与基础设施的顶层驱动（路径1），也依赖人才-技术-基础设施的三元协同（路径2），更需要数字技能与技术创新（路径3）或资源禀赋（路径4）的内生能力支撑。没有哪一条路径是"万能钥匙"，这正是复杂系统"殊途同归"的本质体现。未来，推动烟台集群电商高质量发展，需要政府、市场与社会多主体协同发力，在政策赋能、基础设施保障、数字人才培育与技术创新驱动等多个层面形成有机合力，方能实现集群电商经济的可持续繁荣。</w:t>
      </w: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