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0.891</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本文最终识别出4条驱动集群电商高水平发展的中间解组态路径，如表5-3所示。整体解的一致性为0.833，覆盖度为0.967，表明4条路径能够覆盖绝大多数高水平发展案例，解的质量较高。</w:t>
      </w:r>
    </w:p>
    <w:p>
      <w:pPr>
        <w:pStyle w:val="12"/>
      </w:pPr>
      <w:r>
        <w:t>表5-3 fsQCA组态分析结果（中间解）</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w:t>
              <w:br/>
              <w:t>GP*IF</w:t>
            </w:r>
          </w:p>
        </w:tc>
        <w:tc>
          <w:tcPr>
            <w:tcW w:type="dxa" w:w="1757"/>
          </w:tcPr>
          <w:p>
            <w:pPr>
              <w:jc w:val="center"/>
            </w:pPr>
            <w:r>
              <w:rPr>
                <w:b/>
              </w:rPr>
              <w:t>路径2</w:t>
              <w:br/>
              <w:t>TS*TI*IF</w:t>
            </w:r>
          </w:p>
        </w:tc>
        <w:tc>
          <w:tcPr>
            <w:tcW w:type="dxa" w:w="1757"/>
          </w:tcPr>
          <w:p>
            <w:pPr>
              <w:jc w:val="center"/>
            </w:pPr>
            <w:r>
              <w:rPr>
                <w:b/>
              </w:rPr>
              <w:t>路径3</w:t>
              <w:br/>
              <w:t>TI*DS</w:t>
            </w:r>
          </w:p>
        </w:tc>
        <w:tc>
          <w:tcPr>
            <w:tcW w:type="dxa" w:w="1757"/>
          </w:tcPr>
          <w:p>
            <w:pPr>
              <w:jc w:val="center"/>
            </w:pPr>
            <w:r>
              <w:rPr>
                <w:b/>
              </w:rPr>
              <w:t>路径4</w:t>
              <w:br/>
              <w:t>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bl>
    <w:p>
      <w:pPr/>
      <w:r>
        <w:t>注：●为核心条件存在；整体解一致性=0.833，整体覆盖度=0.967。</w:t>
      </w:r>
    </w:p>
    <w:p>
      <w:pPr>
        <w:pStyle w:val="4"/>
      </w:pPr>
      <w:r>
        <w:t>5.4.3 组态路径解读</w:t>
      </w:r>
    </w:p>
    <w:p>
      <w:pPr/>
      <w:r>
        <w:t>**路径1：GP*IF——政策-设施协同驱动型**</w:t>
      </w:r>
    </w:p>
    <w:p>
      <w:pPr/>
      <w:r>
        <w:t>路径1由政府政策（GP）与基础设施建设（IF）的共同存在构成，一致性为0.884，覆盖度为0.669，唯一覆盖度最高（0.136）。该路径表明，在政府出台有效电商扶持政策且当地数字/物流基础设施完善的双重条件下，集群电商发展水平较高。这与SEM中GP→IF→CDL的完全中介路径高度吻合：政府政策是基础设施投入的前导条件，二者协同形成集群电商发展的"顶层驱动力"。该路径对应的典型场景是芝罘区等烟台传统电商发展较为成熟、政府配套基础设施投入较早的区域。</w:t>
      </w:r>
    </w:p>
    <w:p>
      <w:pPr/>
      <w:r>
        <w:t>**路径2：TS*TI*IF——人才-技术-基础设施三元驱动型**</w:t>
      </w:r>
    </w:p>
    <w:p>
      <w:pPr/>
      <w:r>
        <w:t>路径2由人才支撑（TS）、技术创新（TI）与基础设施建设（IF）三个条件共同出现构成，一致性最高（0.899），表明条件组合的内部逻辑较强，但原始覆盖度（0.448）和唯一覆盖度（0.007）较低，说明该路径多与其他路径重叠，适用案例相对集中。该路径揭示了集群电商高绩效发展的"创新驱动"模式：在基础设施完备的前提下，充足的电商专业人才与较高的技术创新水平相互强化，共同推动集群电商向数字化、专业化方向升级。</w:t>
      </w:r>
    </w:p>
    <w:p>
      <w:pPr/>
      <w:r>
        <w:t>**路径3：TI*DS——技术-数字能力内生型**</w:t>
      </w:r>
    </w:p>
    <w:p>
      <w:pPr/>
      <w:r>
        <w:t>路径3由技术创新（TI）与数字技能（DS）共存构成，一致性为0.882，覆盖度0.642。该路径与SEM中TI→DS→CDL的中介链对应：本地电商主体具备较强的技术创新应用能力，叠加成熟的平台与较高的数字技能水平，形成内生的发展驱动力。该路径不依赖政策直接介入，体现出集群内部自主创新驱动的可持续发展特征，在技术应用较为领先的集群区域具有代表性。</w:t>
      </w:r>
    </w:p>
    <w:p>
      <w:pPr/>
      <w:r>
        <w:t>**路径4：EN*DS——资源-数字技能整合型**</w:t>
      </w:r>
    </w:p>
    <w:p>
      <w:pPr/>
      <w:r>
        <w:t>路径4由自然环境与资源禀赋（EN）和数字技能（DS）共存构成，一致性为0.889，覆盖度为0.652，与路径3形成互补。该路径揭示：在烟台具备良好自然资源优势（如特色农产品、地理标志产品等）且电商从业者数字技能较强的双重条件下，集群电商发展水平较高。这体现了"资源禀赋+数字能力"的协同效应，对应EN→DS→CDL的中介路径，在农村资源型电商集群中尤为典型。</w:t>
      </w:r>
    </w:p>
    <w:p>
      <w:pPr>
        <w:pStyle w:val="3"/>
      </w:pPr>
      <w:r>
        <w:t>5.5 稳健性检验</w:t>
      </w:r>
    </w:p>
    <w:p>
      <w:pPr/>
      <w:r>
        <w:t>本文通过以下两种方式对组态结果进行稳健性检验：</w:t>
      </w:r>
    </w:p>
    <w:p>
      <w:pPr/>
      <w:r>
        <w:t>第一，调整一致性阈值：将一致性阈值从0.850提高至0.875，重新进行真值表最小化，结果显示核心路径（GP*IF、TI*DS、EN*DS）保持稳定，TS*TI*IF路径在更高阈值下仍可识别，整体解结构未发生实质性变化，说明组态结果稳定可靠。</w:t>
      </w:r>
    </w:p>
    <w:p>
      <w:pPr/>
      <w:r>
        <w:t>第二，调整校准锚点：将交叉点由P50调整为P55，重新校准并进行组态分析，4条核心路径均得到再现，各路径一致性与覆盖度变化幅度均在±0.02以内，核心条件与边缘条件的划分保持一致，进一步确认了结论的稳健性。</w:t>
      </w:r>
    </w:p>
    <w:p>
      <w:pPr>
        <w:pStyle w:val="3"/>
      </w:pPr>
      <w:r>
        <w:t>5.6 SEM与fsQCA结果比较分析</w:t>
      </w:r>
    </w:p>
    <w:p>
      <w:pPr/>
      <w:r>
        <w:t>本文将SEM与fsQCA分析结果进行系统比较，以形成相互印证和补充的完整分析框架（见表5-4）。</w:t>
      </w:r>
    </w:p>
    <w:p>
      <w:pPr>
        <w:pStyle w:val="12"/>
      </w:pPr>
      <w:r>
        <w:t>表5-4 SEM与fsQCA结果对照</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分析维度</w:t>
            </w:r>
          </w:p>
        </w:tc>
        <w:tc>
          <w:tcPr>
            <w:tcW w:type="dxa" w:w="2929"/>
          </w:tcPr>
          <w:p>
            <w:pPr>
              <w:jc w:val="center"/>
            </w:pPr>
            <w:r>
              <w:rPr>
                <w:b/>
              </w:rPr>
              <w:t>SEM结果（净效应）</w:t>
            </w:r>
          </w:p>
        </w:tc>
        <w:tc>
          <w:tcPr>
            <w:tcW w:type="dxa" w:w="2929"/>
          </w:tcPr>
          <w:p>
            <w:pPr>
              <w:jc w:val="center"/>
            </w:pPr>
            <w:r>
              <w:rPr>
                <w:b/>
              </w:rPr>
              <w:t>fsQCA结果（组态效应）</w:t>
            </w:r>
          </w:p>
        </w:tc>
      </w:tr>
      <w:tr>
        <w:tc>
          <w:tcPr>
            <w:tcW w:type="dxa" w:w="2929"/>
          </w:tcPr>
          <w:p>
            <w:pPr>
              <w:jc w:val="center"/>
            </w:pPr>
            <w:r>
              <w:t>GP的作用机制</w:t>
            </w:r>
          </w:p>
        </w:tc>
        <w:tc>
          <w:tcPr>
            <w:tcW w:type="dxa" w:w="2929"/>
          </w:tcPr>
          <w:p>
            <w:pPr>
              <w:jc w:val="center"/>
            </w:pPr>
            <w:r>
              <w:t>GP→IF→CDL（β=0.494），中介效应0.215***</w:t>
            </w:r>
          </w:p>
        </w:tc>
        <w:tc>
          <w:tcPr>
            <w:tcW w:type="dxa" w:w="2929"/>
          </w:tcPr>
          <w:p>
            <w:pPr>
              <w:jc w:val="center"/>
            </w:pPr>
            <w:r>
              <w:t>GP*IF为路径1核心条件（con=0.884）</w:t>
            </w:r>
          </w:p>
        </w:tc>
      </w:tr>
      <w:tr>
        <w:tc>
          <w:tcPr>
            <w:tcW w:type="dxa" w:w="2929"/>
          </w:tcPr>
          <w:p>
            <w:pPr>
              <w:jc w:val="center"/>
            </w:pPr>
            <w:r>
              <w:t>TS的作用机制</w:t>
            </w:r>
          </w:p>
        </w:tc>
        <w:tc>
          <w:tcPr>
            <w:tcW w:type="dxa" w:w="2929"/>
          </w:tcPr>
          <w:p>
            <w:pPr>
              <w:jc w:val="center"/>
            </w:pPr>
            <w:r>
              <w:t>TS→IF→CDL（β=0.319），中介效应0.136***</w:t>
            </w:r>
          </w:p>
        </w:tc>
        <w:tc>
          <w:tcPr>
            <w:tcW w:type="dxa" w:w="2929"/>
          </w:tcPr>
          <w:p>
            <w:pPr>
              <w:jc w:val="center"/>
            </w:pPr>
            <w:r>
              <w:t>TS*TI*IF为路径2，需三条件组合</w:t>
            </w:r>
          </w:p>
        </w:tc>
      </w:tr>
      <w:tr>
        <w:tc>
          <w:tcPr>
            <w:tcW w:type="dxa" w:w="2929"/>
          </w:tcPr>
          <w:p>
            <w:pPr>
              <w:jc w:val="center"/>
            </w:pPr>
            <w:r>
              <w:t>TI的作用机制</w:t>
            </w:r>
          </w:p>
        </w:tc>
        <w:tc>
          <w:tcPr>
            <w:tcW w:type="dxa" w:w="2929"/>
          </w:tcPr>
          <w:p>
            <w:pPr>
              <w:jc w:val="center"/>
            </w:pPr>
            <w:r>
              <w:t>TI→DS→CDL（β=0.339），中介效应0.202***</w:t>
            </w:r>
          </w:p>
        </w:tc>
        <w:tc>
          <w:tcPr>
            <w:tcW w:type="dxa" w:w="2929"/>
          </w:tcPr>
          <w:p>
            <w:pPr>
              <w:jc w:val="center"/>
            </w:pPr>
            <w:r>
              <w:t>出现于路径2、3，与DS或IF组合</w:t>
            </w:r>
          </w:p>
        </w:tc>
      </w:tr>
      <w:tr>
        <w:tc>
          <w:tcPr>
            <w:tcW w:type="dxa" w:w="2929"/>
          </w:tcPr>
          <w:p>
            <w:pPr>
              <w:jc w:val="center"/>
            </w:pPr>
            <w:r>
              <w:t>DS的作用机制</w:t>
            </w:r>
          </w:p>
        </w:tc>
        <w:tc>
          <w:tcPr>
            <w:tcW w:type="dxa" w:w="2929"/>
          </w:tcPr>
          <w:p>
            <w:pPr>
              <w:jc w:val="center"/>
            </w:pPr>
            <w:r>
              <w:t>DS→CDL（β=0.595），最强直接中介</w:t>
            </w:r>
          </w:p>
        </w:tc>
        <w:tc>
          <w:tcPr>
            <w:tcW w:type="dxa" w:w="2929"/>
          </w:tcPr>
          <w:p>
            <w:pPr>
              <w:jc w:val="center"/>
            </w:pPr>
            <w:r>
              <w:t>出现于路径3（TI*DS）、路径4（EN*DS）</w:t>
            </w:r>
          </w:p>
        </w:tc>
      </w:tr>
      <w:tr>
        <w:tc>
          <w:tcPr>
            <w:tcW w:type="dxa" w:w="2929"/>
          </w:tcPr>
          <w:p>
            <w:pPr>
              <w:jc w:val="center"/>
            </w:pPr>
            <w:r>
              <w:t>EN的作用机制</w:t>
            </w:r>
          </w:p>
        </w:tc>
        <w:tc>
          <w:tcPr>
            <w:tcW w:type="dxa" w:w="2929"/>
          </w:tcPr>
          <w:p>
            <w:pPr>
              <w:jc w:val="center"/>
            </w:pPr>
            <w:r>
              <w:t>EN→DS→CDL（β=0.360），中介效应0.219***</w:t>
            </w:r>
          </w:p>
        </w:tc>
        <w:tc>
          <w:tcPr>
            <w:tcW w:type="dxa" w:w="2929"/>
          </w:tcPr>
          <w:p>
            <w:pPr>
              <w:jc w:val="center"/>
            </w:pPr>
            <w:r>
              <w:t>EN*DS为路径4核心条件（con=0.889）</w:t>
            </w:r>
          </w:p>
        </w:tc>
      </w:tr>
      <w:tr>
        <w:tc>
          <w:tcPr>
            <w:tcW w:type="dxa" w:w="2929"/>
          </w:tcPr>
          <w:p>
            <w:pPr>
              <w:jc w:val="center"/>
            </w:pPr>
            <w:r>
              <w:t>整体解释力</w:t>
            </w:r>
          </w:p>
        </w:tc>
        <w:tc>
          <w:tcPr>
            <w:tcW w:type="dxa" w:w="2929"/>
          </w:tcPr>
          <w:p>
            <w:pPr>
              <w:jc w:val="center"/>
            </w:pPr>
            <w:r>
              <w:t>R²(CDL)=0.555</w:t>
            </w:r>
          </w:p>
        </w:tc>
        <w:tc>
          <w:tcPr>
            <w:tcW w:type="dxa" w:w="2929"/>
          </w:tcPr>
          <w:p>
            <w:pPr>
              <w:jc w:val="center"/>
            </w:pPr>
            <w:r>
              <w:t>整体覆盖度=0.967</w:t>
            </w:r>
          </w:p>
        </w:tc>
      </w:tr>
    </w:tbl>
    <w:p>
      <w:pPr/>
      <w:r>
        <w:t>综合比较可知，SEM与fsQCA结果高度一致：SEM识别的4条中介路径（GP→IF→CDL、TS→IF→CDL、TI→DS→CDL、EN→DS→CDL）在fsQCA组态分析中均得到对应印证；fsQCA进一步揭示了SEM无法呈现的条件"替代性"与"协同性"——数字技能（DS）是必要程度最高的条件，可与TI或EN组合形成两条不同路径实现高水平发展（殊途同归）；TS对集群发展的促进作用需在IF存在的前提下，与TI共同发挥作用（三元组合），而非单独起效，这是SEM净效应分析无法呈现的条件依赖关系。两种方法的互补使用有效增强了本研究结论的可信度与深度。</w:t>
      </w:r>
    </w:p>
    <w:p>
      <w:pPr>
        <w:pStyle w:val="3"/>
      </w:pPr>
      <w:r>
        <w:t>5.7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