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rFonts w:ascii="黑体" w:hAnsi="黑体"/>
        </w:rPr>
        <w:t>第三章  研究设计与数据收集</w:t>
      </w:r>
    </w:p>
    <w:p>
      <w:pPr>
        <w:pStyle w:val="Heading2"/>
        <w:jc w:val="left"/>
      </w:pPr>
      <w:r>
        <w:rPr>
          <w:rFonts w:ascii="黑体" w:hAnsi="黑体"/>
        </w:rPr>
        <w:t>3.1  理论框架与研究模型</w:t>
      </w:r>
    </w:p>
    <w:p>
      <w:pPr>
        <w:ind w:firstLine="839"/>
        <w:jc w:val="both"/>
      </w:pPr>
      <w:r>
        <w:rPr>
          <w:rFonts w:ascii="宋体" w:hAnsi="宋体"/>
          <w:sz w:val="24"/>
        </w:rPr>
        <w:t>基于第二章的文献综述与TOE理论框架，本研究构建了集群电商经济发展影响因素的理论模型。模型包含4个外生自变量（GP、TS、TI、EN）、2个中介变量（IF、DS）和1个结果变量（CDL），共计7个潜变量，21个观测指标。具体设定如下：</w:t>
      </w:r>
    </w:p>
    <w:p>
      <w:pPr>
        <w:ind w:firstLine="839"/>
        <w:jc w:val="both"/>
      </w:pPr>
      <w:r>
        <w:rPr>
          <w:rFonts w:ascii="宋体" w:hAnsi="宋体"/>
          <w:sz w:val="24"/>
        </w:rPr>
        <w:t>（1）政府政策与集群治理（GP，Government Policy）：政府扶持政策、产业规划与集群治理能力，通过促进基础设施建设（GP→IF）并直接作用于集群发展（GP→CDL）。</w:t>
      </w:r>
    </w:p>
    <w:p>
      <w:pPr>
        <w:ind w:firstLine="839"/>
        <w:jc w:val="both"/>
      </w:pPr>
      <w:r>
        <w:rPr>
          <w:rFonts w:ascii="宋体" w:hAnsi="宋体"/>
          <w:sz w:val="24"/>
        </w:rPr>
        <w:t>（2）人才支撑（TS，Talent Support）：集群电商从业人员的数量与素质，通过推动基础设施完善（TS→IF）并直接影响集群发展（TS→CDL）。</w:t>
      </w:r>
    </w:p>
    <w:p>
      <w:pPr>
        <w:ind w:firstLine="839"/>
        <w:jc w:val="both"/>
      </w:pPr>
      <w:r>
        <w:rPr>
          <w:rFonts w:ascii="宋体" w:hAnsi="宋体"/>
          <w:sz w:val="24"/>
        </w:rPr>
        <w:t>（3）基础设施建设（IF，Infrastructure）：物流、网络等电商基础设施，作为中介变量将GP、TS的影响传导至CDL（IF→CDL）。</w:t>
      </w:r>
    </w:p>
    <w:p>
      <w:pPr>
        <w:ind w:firstLine="839"/>
        <w:jc w:val="both"/>
      </w:pPr>
      <w:r>
        <w:rPr>
          <w:rFonts w:ascii="宋体" w:hAnsi="宋体"/>
          <w:sz w:val="24"/>
        </w:rPr>
        <w:t>（4）技术创新与应用（TI，Technology Innovation）：新技术的研发与电商应用，通过推动电商平台与数字技能提升（TI→DS）并直接作用于集群发展（TI→CDL）。</w:t>
      </w:r>
    </w:p>
    <w:p>
      <w:pPr>
        <w:ind w:firstLine="839"/>
        <w:jc w:val="both"/>
      </w:pPr>
      <w:r>
        <w:rPr>
          <w:rFonts w:ascii="宋体" w:hAnsi="宋体"/>
          <w:sz w:val="24"/>
        </w:rPr>
        <w:t>（5）电商平台与数字技能（DS，Digital Skills &amp; Platform）：电商平台能力和从业者数字技能，作为中介变量将TI、EN的影响传导至CDL（DS→CDL）。</w:t>
      </w:r>
    </w:p>
    <w:p>
      <w:pPr>
        <w:ind w:firstLine="839"/>
        <w:jc w:val="both"/>
      </w:pPr>
      <w:r>
        <w:rPr>
          <w:rFonts w:ascii="宋体" w:hAnsi="宋体"/>
          <w:sz w:val="24"/>
        </w:rPr>
        <w:t>（6）自然环境与资源禀赋（EN，Environment &amp; Natural Resources）：地理条件与特色农业资源，通过促进电商平台赋能（EN→DS）并直接作用于集群发展（EN→CDL）。</w:t>
      </w:r>
    </w:p>
    <w:p>
      <w:pPr>
        <w:ind w:firstLine="839"/>
        <w:jc w:val="both"/>
      </w:pPr>
      <w:r>
        <w:rPr>
          <w:rFonts w:ascii="宋体" w:hAnsi="宋体"/>
          <w:sz w:val="24"/>
        </w:rPr>
        <w:t>（7）集群电商经济发展水平（CDL，Cluster Development Level）：作为唯一内生因变量，综合反映集群电商的经济发展绩效。</w:t>
      </w:r>
    </w:p>
    <w:p>
      <w:pPr>
        <w:ind w:firstLine="839"/>
        <w:jc w:val="both"/>
      </w:pPr>
      <w:r>
        <w:rPr>
          <w:rFonts w:ascii="宋体" w:hAnsi="宋体"/>
          <w:sz w:val="24"/>
        </w:rPr>
        <w:t>在SEM模型方面，本研究采用中介模型：GP/TS → IF → CDL，TI/EN → DS → CDL，符合中介检验的理论逻辑（Hayes，2018；吴怡，2022）。由于GP、TS、TI、EN之间的相关系数较高，直接将其与CDL建立路径会导致多重共线性问题（VIF&gt;10）；因此遵循中介结构设计，仅保留经由中介变量的间接路径，以保证模型的估计精度和路径系数的可靠性（吴怡，2022；Huang et al.，2024）。</w:t>
      </w:r>
    </w:p>
    <w:p>
      <w:pPr>
        <w:pStyle w:val="Heading2"/>
        <w:jc w:val="left"/>
      </w:pPr>
      <w:r>
        <w:rPr>
          <w:rFonts w:ascii="黑体" w:hAnsi="黑体"/>
        </w:rPr>
        <w:t>3.2  研究假设</w:t>
      </w:r>
    </w:p>
    <w:p>
      <w:pPr>
        <w:ind w:firstLine="839"/>
        <w:jc w:val="both"/>
      </w:pPr>
      <w:r>
        <w:rPr>
          <w:rFonts w:ascii="宋体" w:hAnsi="宋体"/>
          <w:sz w:val="24"/>
        </w:rPr>
        <w:t>基于理论框架，本研究提出以下12条研究假设：</w:t>
      </w:r>
    </w:p>
    <w:p>
      <w:pPr>
        <w:ind w:firstLine="839"/>
        <w:jc w:val="both"/>
      </w:pPr>
      <w:r>
        <w:rPr>
          <w:rFonts w:ascii="宋体" w:hAnsi="宋体"/>
          <w:sz w:val="24"/>
        </w:rPr>
        <w:t>H1：政府政策与集群治理（GP）正向影响基础设施建设（IF）。</w:t>
      </w:r>
    </w:p>
    <w:p>
      <w:pPr>
        <w:ind w:firstLine="839"/>
        <w:jc w:val="both"/>
      </w:pPr>
      <w:r>
        <w:rPr>
          <w:rFonts w:ascii="宋体" w:hAnsi="宋体"/>
          <w:sz w:val="24"/>
        </w:rPr>
        <w:t>H2：人才支撑（TS）正向影响基础设施建设（IF）。</w:t>
      </w:r>
    </w:p>
    <w:p>
      <w:pPr>
        <w:ind w:firstLine="839"/>
        <w:jc w:val="both"/>
      </w:pPr>
      <w:r>
        <w:rPr>
          <w:rFonts w:ascii="宋体" w:hAnsi="宋体"/>
          <w:sz w:val="24"/>
        </w:rPr>
        <w:t>H3：基础设施建设（IF）正向影响集群电商经济发展水平（CDL）。</w:t>
      </w:r>
    </w:p>
    <w:p>
      <w:pPr>
        <w:ind w:firstLine="839"/>
        <w:jc w:val="both"/>
      </w:pPr>
      <w:r>
        <w:rPr>
          <w:rFonts w:ascii="宋体" w:hAnsi="宋体"/>
          <w:sz w:val="24"/>
        </w:rPr>
        <w:t>H4：技术创新与应用（TI）正向影响电商平台与数字技能（DS）。</w:t>
      </w:r>
    </w:p>
    <w:p>
      <w:pPr>
        <w:ind w:firstLine="839"/>
        <w:jc w:val="both"/>
      </w:pPr>
      <w:r>
        <w:rPr>
          <w:rFonts w:ascii="宋体" w:hAnsi="宋体"/>
          <w:sz w:val="24"/>
        </w:rPr>
        <w:t>H5：自然环境与资源禀赋（EN）正向影响电商平台与数字技能（DS）。</w:t>
      </w:r>
    </w:p>
    <w:p>
      <w:pPr>
        <w:ind w:firstLine="839"/>
        <w:jc w:val="both"/>
      </w:pPr>
      <w:r>
        <w:rPr>
          <w:rFonts w:ascii="宋体" w:hAnsi="宋体"/>
          <w:sz w:val="24"/>
        </w:rPr>
        <w:t>H6：电商平台与数字技能（DS）正向影响集群电商经济发展水平（CDL）。</w:t>
      </w:r>
    </w:p>
    <w:p>
      <w:pPr>
        <w:ind w:firstLine="839"/>
        <w:jc w:val="both"/>
      </w:pPr>
      <w:r>
        <w:rPr>
          <w:rFonts w:ascii="宋体" w:hAnsi="宋体"/>
          <w:sz w:val="24"/>
        </w:rPr>
        <w:t>H7：GP通过IF对CDL产生显著正向中介效应（GP→IF→CDL）。</w:t>
      </w:r>
    </w:p>
    <w:p>
      <w:pPr>
        <w:ind w:firstLine="839"/>
        <w:jc w:val="both"/>
      </w:pPr>
      <w:r>
        <w:rPr>
          <w:rFonts w:ascii="宋体" w:hAnsi="宋体"/>
          <w:sz w:val="24"/>
        </w:rPr>
        <w:t>H8：TS通过IF对CDL产生显著正向中介效应（TS→IF→CDL）。</w:t>
      </w:r>
    </w:p>
    <w:p>
      <w:pPr>
        <w:ind w:firstLine="839"/>
        <w:jc w:val="both"/>
      </w:pPr>
      <w:r>
        <w:rPr>
          <w:rFonts w:ascii="宋体" w:hAnsi="宋体"/>
          <w:sz w:val="24"/>
        </w:rPr>
        <w:t>H9：TI通过DS对CDL产生显著正向中介效应（TI→DS→CDL）。</w:t>
      </w:r>
    </w:p>
    <w:p>
      <w:pPr>
        <w:ind w:firstLine="839"/>
        <w:jc w:val="both"/>
      </w:pPr>
      <w:r>
        <w:rPr>
          <w:rFonts w:ascii="宋体" w:hAnsi="宋体"/>
          <w:sz w:val="24"/>
        </w:rPr>
        <w:t>H10：EN通过DS对CDL产生显著正向中介效应（EN→DS→CDL）。</w:t>
      </w:r>
    </w:p>
    <w:p>
      <w:pPr>
        <w:ind w:firstLine="839"/>
        <w:jc w:val="both"/>
      </w:pPr>
      <w:r>
        <w:rPr>
          <w:rFonts w:ascii="宋体" w:hAnsi="宋体"/>
          <w:sz w:val="24"/>
        </w:rPr>
        <w:t>H11（fsQCA命题1）：任何单个前因条件均非集群电商高水平发展的必要条件（即必要性一致性&lt;0.9）。</w:t>
      </w:r>
    </w:p>
    <w:p>
      <w:pPr>
        <w:ind w:firstLine="839"/>
        <w:jc w:val="both"/>
      </w:pPr>
      <w:r>
        <w:rPr>
          <w:rFonts w:ascii="宋体" w:hAnsi="宋体"/>
          <w:sz w:val="24"/>
        </w:rPr>
        <w:t>H12（fsQCA命题2）：集群电商高水平发展存在多重等效的前因条件组合路径。</w:t>
      </w:r>
    </w:p>
    <w:p>
      <w:pPr>
        <w:pStyle w:val="Heading2"/>
        <w:jc w:val="left"/>
      </w:pPr>
      <w:r>
        <w:rPr>
          <w:rFonts w:ascii="黑体" w:hAnsi="黑体"/>
        </w:rPr>
        <w:t>3.3  问卷设计</w:t>
      </w:r>
    </w:p>
    <w:p>
      <w:pPr>
        <w:ind w:firstLine="839"/>
        <w:jc w:val="both"/>
      </w:pPr>
      <w:r>
        <w:rPr>
          <w:rFonts w:ascii="宋体" w:hAnsi="宋体"/>
          <w:sz w:val="24"/>
        </w:rPr>
        <w:t>本研究采用李克特五级量表设计调查问卷，每个题项从非常不同意到非常同意分别赋值1—5分。李克特五级量表是社会科学研究中被广泛采用的测量工具，在近期农村电商及集群发展研究中均是标准配置（吴怡，2022；Huang et al.，2024；Sun &amp; Shu，2025）。量表设计原则要求每个潜变量至少包含3个观测题项，以保证测量的稳定性和信度估计的准确性，这一标准在近年同类研究中得到广泛遵循（吴怡，2022）。</w:t>
      </w:r>
    </w:p>
    <w:p>
      <w:pPr>
        <w:ind w:firstLine="839"/>
        <w:jc w:val="both"/>
      </w:pPr>
      <w:r>
        <w:rPr>
          <w:rFonts w:ascii="宋体" w:hAnsi="宋体"/>
          <w:sz w:val="24"/>
        </w:rPr>
        <w:t>问卷共涵盖7个潜变量，共21个题项（见表3.1），各变量均包含3个测量题项：GP（GP1—GP3，政府扶持政策与产业规划相关）、TS（TS1—TS3，电商人才与培训相关）、IF（IF1—IF3，物流与网络基础设施相关）、TI（TI1—TI3，技术创新与应用相关）、DS（DS1—DS3，电商平台与数字技能相关）、EN（EN1—EN3，自然资源与区位优势相关）、CDL（CDL1—CDL3，集群发展绩效相关）。</w:t>
      </w:r>
    </w:p>
    <w:p>
      <w:pPr>
        <w:ind w:firstLine="839"/>
        <w:jc w:val="both"/>
      </w:pPr>
      <w:r>
        <w:rPr>
          <w:rFonts w:ascii="宋体" w:hAnsi="宋体"/>
          <w:sz w:val="24"/>
        </w:rPr>
        <w:t>各题项均参考国内外成熟量表并结合烟台地区集群电商的实际情境进行本土化修订。问卷在发放前经过专家意见征询和预调研修正，确保内容效度（Content Validity）。</w:t>
      </w:r>
    </w:p>
    <w:p>
      <w:pPr>
        <w:pStyle w:val="Heading2"/>
        <w:jc w:val="left"/>
      </w:pPr>
      <w:r>
        <w:rPr>
          <w:rFonts w:ascii="黑体" w:hAnsi="黑体"/>
        </w:rPr>
        <w:t>3.4  数据收集</w:t>
      </w:r>
    </w:p>
    <w:p>
      <w:pPr>
        <w:pStyle w:val="Heading3"/>
        <w:jc w:val="left"/>
      </w:pPr>
      <w:r>
        <w:rPr>
          <w:rFonts w:ascii="黑体" w:hAnsi="黑体"/>
        </w:rPr>
        <w:t>3.4.1  样本量要求</w:t>
      </w:r>
    </w:p>
    <w:p>
      <w:pPr>
        <w:ind w:firstLine="839"/>
        <w:jc w:val="both"/>
      </w:pPr>
      <w:r>
        <w:rPr>
          <w:rFonts w:ascii="宋体" w:hAnsi="宋体"/>
          <w:sz w:val="24"/>
        </w:rPr>
        <w:t>根据结构方程模型对样本量的要求，一般认为样本量至少应为测量题项数量的5倍，最好达到10倍以上，且进行SEM分析要求有效样本不少于200份。本研究共有21个测量题项，最小样本量要求为105份，最优要求为210份以上。在近年同类研究中，吴怡（2022）以493份农村电商集群样本进行SEM+fsQCA分析，Huang等（2024）同样以400份以上有效样本保证SEM估计的稳健性。基于上述标准，本研究最终收集正式问卷508份，远超上述最低要求，保证了统计分析的稳健性。</w:t>
      </w:r>
    </w:p>
    <w:p>
      <w:pPr>
        <w:pStyle w:val="Heading3"/>
        <w:jc w:val="left"/>
      </w:pPr>
      <w:r>
        <w:rPr>
          <w:rFonts w:ascii="黑体" w:hAnsi="黑体"/>
        </w:rPr>
        <w:t>3.4.2  数据收集流程</w:t>
      </w:r>
    </w:p>
    <w:p>
      <w:pPr>
        <w:ind w:firstLine="839"/>
        <w:jc w:val="both"/>
      </w:pPr>
      <w:r>
        <w:rPr>
          <w:rFonts w:ascii="宋体" w:hAnsi="宋体"/>
          <w:sz w:val="24"/>
        </w:rPr>
        <w:t>数据收集分预调研和正式调研两个阶段进行，遵循先小样本检验问卷质量、再大规模收集数据的研究规范，这一分阶段数据收集策略在近年同类研究中被广泛采用（吴怡，2022；Huang et al.，2024），有助于通过预调研检验问卷的信效度，降低测量误差和同源偏差风险（Podsakoff等，2003）。</w:t>
      </w:r>
    </w:p>
    <w:p>
      <w:pPr>
        <w:ind w:firstLine="839"/>
        <w:jc w:val="both"/>
      </w:pPr>
      <w:r>
        <w:rPr>
          <w:rFonts w:ascii="宋体" w:hAnsi="宋体"/>
          <w:sz w:val="24"/>
        </w:rPr>
        <w:t>预调研阶段：针对烟台地区集群电商从业者发放问卷，收回有效预调研样本153份。通过SPSS 26.0对预调研数据进行信效度检验，验证问卷设计的合理性。预调研基本信息分析标准参照近年同类研究的规范（吴怡，2022；Huang et al.，2024）：平均数不能接近最大值（5分）或最小值（1分），以避免天花板/地板效应；标准差须大于0.5，以保证量表的区分度；偏度值绝对值不应接近±1，否则说明问卷存在严重偏态分布，数据质量存疑。</w:t>
      </w:r>
    </w:p>
    <w:p>
      <w:pPr>
        <w:ind w:firstLine="839"/>
        <w:jc w:val="both"/>
      </w:pPr>
      <w:r>
        <w:rPr>
          <w:rFonts w:ascii="宋体" w:hAnsi="宋体"/>
          <w:sz w:val="24"/>
        </w:rPr>
        <w:t>正式调研阶段：在预调研检验合格的基础上，以线上（问卷星平台）和线下（实地调研）相结合的方式，面向烟台地区电商从业者（包括电商企业、电商户和个体）发放问卷。共收回问卷，经筛选剔除明显逻辑矛盾、填写不完整及填写时间过短（&lt;3分钟）的无效问卷，最终保留有效问卷508份。</w:t>
      </w:r>
    </w:p>
    <w:p>
      <w:pPr>
        <w:pStyle w:val="Heading2"/>
        <w:jc w:val="left"/>
      </w:pPr>
      <w:r>
        <w:rPr>
          <w:rFonts w:ascii="黑体" w:hAnsi="黑体"/>
        </w:rPr>
        <w:t>3.5  预调研信效度检验</w:t>
      </w:r>
    </w:p>
    <w:p>
      <w:pPr>
        <w:pStyle w:val="Heading3"/>
        <w:jc w:val="left"/>
      </w:pPr>
      <w:r>
        <w:rPr>
          <w:rFonts w:ascii="黑体" w:hAnsi="黑体"/>
        </w:rPr>
        <w:t>3.5.1  信度分析</w:t>
      </w:r>
    </w:p>
    <w:p>
      <w:pPr>
        <w:ind w:firstLine="839"/>
        <w:jc w:val="both"/>
      </w:pPr>
      <w:r>
        <w:rPr>
          <w:rFonts w:ascii="宋体" w:hAnsi="宋体"/>
          <w:sz w:val="24"/>
        </w:rPr>
        <w:t>信度（Reliability）衡量测量工具的内部一致性，即各题项间测量同一潜变量的稳定程度。本研究采用克隆巴赫α系数（Cronbach's Alpha）评估信度，判断标准如下：α&gt;0.8：信度良好，数据可靠性高；0.7≤α≤0.8：信度较为可靠，可接受；0.6≤α&lt;0.7：信度勉强可接受；α&lt;0.6：信度不可接受，需重新设计量表。上述分级标准在近年国内外集群发展和电商研究中被广泛遵循（吴怡，2022；Huang et al.，2024；Sun &amp; Shu，2025）。</w:t>
      </w:r>
    </w:p>
    <w:p>
      <w:pPr>
        <w:ind w:firstLine="839"/>
        <w:jc w:val="both"/>
      </w:pPr>
      <w:r>
        <w:rPr>
          <w:rFonts w:ascii="宋体" w:hAnsi="宋体"/>
          <w:sz w:val="24"/>
        </w:rPr>
        <w:t>· α&gt;0.8：信度良好，数据可靠性高；</w:t>
      </w:r>
    </w:p>
    <w:p>
      <w:pPr>
        <w:ind w:firstLine="839"/>
        <w:jc w:val="both"/>
      </w:pPr>
      <w:r>
        <w:rPr>
          <w:rFonts w:ascii="宋体" w:hAnsi="宋体"/>
          <w:sz w:val="24"/>
        </w:rPr>
        <w:t>· 0.7≤α≤0.8：信度较为可靠，可接受；</w:t>
      </w:r>
    </w:p>
    <w:p>
      <w:pPr>
        <w:ind w:firstLine="839"/>
        <w:jc w:val="both"/>
      </w:pPr>
      <w:r>
        <w:rPr>
          <w:rFonts w:ascii="宋体" w:hAnsi="宋体"/>
          <w:sz w:val="24"/>
        </w:rPr>
        <w:t>· 0.6≤α&lt;0.7：信度勉强可接受；</w:t>
      </w:r>
    </w:p>
    <w:p>
      <w:pPr>
        <w:ind w:firstLine="839"/>
        <w:jc w:val="both"/>
      </w:pPr>
      <w:r>
        <w:rPr>
          <w:rFonts w:ascii="宋体" w:hAnsi="宋体"/>
          <w:sz w:val="24"/>
        </w:rPr>
        <w:t>· α&lt;0.6：信度不可接受，需重新设计量表。</w:t>
      </w:r>
    </w:p>
    <w:p>
      <w:pPr>
        <w:ind w:firstLine="839"/>
        <w:jc w:val="both"/>
      </w:pPr>
      <w:r>
        <w:rPr>
          <w:rFonts w:ascii="宋体" w:hAnsi="宋体"/>
          <w:sz w:val="24"/>
        </w:rPr>
        <w:t>本研究将α&gt;0.8作为正式调研的合格标准，与近期农村电商集群SEM研究的惯例一致（吴怡，2022；Huang et al.，2024）。预调研结果显示，7个构念的Cronbach α系数均高于0.8（GP=0.873、TS=0.890、IF=0.846、TI=0.863、DS=0.858、EN=0.848、CDL=0.829），整体量表α=0.914，信度检验全部通过正式调研标准。</w:t>
      </w:r>
    </w:p>
    <w:p>
      <w:pPr>
        <w:pStyle w:val="Heading3"/>
        <w:jc w:val="left"/>
      </w:pPr>
      <w:r>
        <w:rPr>
          <w:rFonts w:ascii="黑体" w:hAnsi="黑体"/>
        </w:rPr>
        <w:t>3.5.2  效度分析</w:t>
      </w:r>
    </w:p>
    <w:p>
      <w:pPr>
        <w:ind w:firstLine="839"/>
        <w:jc w:val="both"/>
      </w:pPr>
      <w:r>
        <w:rPr>
          <w:rFonts w:ascii="宋体" w:hAnsi="宋体"/>
          <w:sz w:val="24"/>
        </w:rPr>
        <w:t>效度（Validity）衡量量表能否准确反映所要测量的概念。本研究依次进行KMO检验与Bartlett球形度检验、探索性因子分析（EFA）和验证性因子分析（CFA），按以下标准评估效度：</w:t>
      </w:r>
    </w:p>
    <w:p>
      <w:pPr>
        <w:ind w:firstLine="839"/>
        <w:jc w:val="both"/>
      </w:pPr>
      <w:r>
        <w:rPr>
          <w:rFonts w:ascii="宋体" w:hAnsi="宋体"/>
          <w:sz w:val="24"/>
        </w:rPr>
        <w:t>（一）KMO检验与Bartlett球形度检验</w:t>
      </w:r>
    </w:p>
    <w:p>
      <w:pPr>
        <w:ind w:firstLine="839"/>
        <w:jc w:val="both"/>
      </w:pPr>
      <w:r>
        <w:rPr>
          <w:rFonts w:ascii="宋体" w:hAnsi="宋体"/>
          <w:sz w:val="24"/>
        </w:rPr>
        <w:t>KMO（Kaiser-Meyer-Olkin）取样适切性量数用于判断数据是否适合因子分析，判断标准为：KMO&gt;0.9最适合，0.8—0.9很适合，0.7—0.8适合，0.6—0.7勉强适合，&lt;0.6不适合；本研究以KMO&gt;0.7作为通过标准。该标准在近年农村电商与集群发展研究中被一致采用（吴怡，2022：整体KMO=0.908，各变量KMO均&gt;0.7；Huang et al.，2024）。Bartlett球形度检验要求显著性p&lt;0.05，说明各题项间具有显著相关关系，适合因子分析。</w:t>
      </w:r>
    </w:p>
    <w:p>
      <w:pPr>
        <w:ind w:firstLine="839"/>
        <w:jc w:val="both"/>
      </w:pPr>
      <w:r>
        <w:rPr>
          <w:rFonts w:ascii="宋体" w:hAnsi="宋体"/>
          <w:sz w:val="24"/>
        </w:rPr>
        <w:t>（二）探索性因子分析（EFA）</w:t>
      </w:r>
    </w:p>
    <w:p>
      <w:pPr>
        <w:ind w:firstLine="839"/>
        <w:jc w:val="both"/>
      </w:pPr>
      <w:r>
        <w:rPr>
          <w:rFonts w:ascii="宋体" w:hAnsi="宋体"/>
          <w:sz w:val="24"/>
        </w:rPr>
        <w:t>探索性因子分析采用主成分分析法配合最大方差正交旋转，要求各题项的因子载荷（Factor Loading，FL）大于0.5（Hair等，2010）。因子载荷大于0.5表明各题项与对应因子具有良好的收敛效度，有利于提取具有代表性的公因子。</w:t>
      </w:r>
    </w:p>
    <w:p>
      <w:pPr>
        <w:ind w:firstLine="839"/>
        <w:jc w:val="both"/>
      </w:pPr>
      <w:r>
        <w:rPr>
          <w:rFonts w:ascii="宋体" w:hAnsi="宋体"/>
          <w:sz w:val="24"/>
        </w:rPr>
        <w:t>（三）验证性因子分析（CFA）与聚合效度、区分效度</w:t>
      </w:r>
    </w:p>
    <w:p>
      <w:pPr>
        <w:ind w:firstLine="839"/>
        <w:jc w:val="both"/>
      </w:pPr>
      <w:r>
        <w:rPr>
          <w:rFonts w:ascii="宋体" w:hAnsi="宋体"/>
          <w:sz w:val="24"/>
        </w:rPr>
        <w:t>在正式调研数据中将进行CFA，评估测量模型的聚合效度（Convergent Validity）和区分效度（Discriminant Validity）。</w:t>
      </w:r>
    </w:p>
    <w:p>
      <w:pPr>
        <w:ind w:firstLine="839"/>
        <w:jc w:val="both"/>
      </w:pPr>
      <w:r>
        <w:rPr>
          <w:rFonts w:ascii="宋体" w:hAnsi="宋体"/>
          <w:sz w:val="24"/>
        </w:rPr>
        <w:t>聚合效度标准（近期研究一致采用的规范，如吴怡，2022；Huang et al.，2024）：</w:t>
      </w:r>
    </w:p>
    <w:p>
      <w:pPr>
        <w:ind w:firstLine="839"/>
        <w:jc w:val="both"/>
      </w:pPr>
      <w:r>
        <w:rPr>
          <w:rFonts w:ascii="宋体" w:hAnsi="宋体"/>
          <w:sz w:val="24"/>
        </w:rPr>
        <w:t>· 标准化因子载荷（FL）&gt;0.5，理想值&gt;0.7；</w:t>
      </w:r>
    </w:p>
    <w:p>
      <w:pPr>
        <w:ind w:firstLine="839"/>
        <w:jc w:val="both"/>
      </w:pPr>
      <w:r>
        <w:rPr>
          <w:rFonts w:ascii="宋体" w:hAnsi="宋体"/>
          <w:sz w:val="24"/>
        </w:rPr>
        <w:t>· 平均方差萃取（AVE，Average Variance Extracted）&gt;0.5；AVE衡量潜变量对其观测变量方差的平均解释比例，其计算公式为AVE=Σ(λᵢ²)/[Σ(λᵢ²)+Σ(εᵢ)]，其中λᵢ为标准化因子载荷，εᵢ为误差方差（Fornell &amp; Larcker，1981）；</w:t>
      </w:r>
    </w:p>
    <w:p>
      <w:pPr>
        <w:ind w:firstLine="839"/>
        <w:jc w:val="both"/>
      </w:pPr>
      <w:r>
        <w:rPr>
          <w:rFonts w:ascii="宋体" w:hAnsi="宋体"/>
          <w:sz w:val="24"/>
        </w:rPr>
        <w:t>· 组合信度（CR，Composite Reliability）&gt;0.7；CR反映构念内部的一致性，计算公式为CR=(Σλᵢ)²/[(Σλᵢ)²+Σ(εᵢ)]（Bagozzi &amp; Yi，1988）。</w:t>
      </w:r>
    </w:p>
    <w:p>
      <w:pPr>
        <w:ind w:firstLine="839"/>
        <w:jc w:val="both"/>
      </w:pPr>
      <w:r>
        <w:rPr>
          <w:rFonts w:ascii="宋体" w:hAnsi="宋体"/>
          <w:sz w:val="24"/>
        </w:rPr>
        <w:t>区分效度标准（Fornell-Larcker准则）：每个构念的AVE平方根（√AVE）应大于该构念与所有其他构念之间的相关系数，说明各构念之间具有良好的区分效度。该准则在近期集群电商和数字化研究中被广泛采用作为区分效度的主要验证标准（吴怡，2022；Huang et al.，2024；Sun &amp; Shu，2025）。</w:t>
      </w:r>
    </w:p>
    <w:p>
      <w:pPr>
        <w:pStyle w:val="Heading3"/>
        <w:jc w:val="left"/>
      </w:pPr>
      <w:r>
        <w:rPr>
          <w:rFonts w:ascii="黑体" w:hAnsi="黑体"/>
        </w:rPr>
        <w:t>3.5.3  预调研数据基本信息分析</w:t>
      </w:r>
    </w:p>
    <w:p>
      <w:pPr>
        <w:ind w:firstLine="839"/>
        <w:jc w:val="both"/>
      </w:pPr>
      <w:r>
        <w:rPr>
          <w:rFonts w:ascii="宋体" w:hAnsi="宋体"/>
          <w:sz w:val="24"/>
        </w:rPr>
        <w:t>近年同类研究的规范（吴怡，2022；Huang et al.，2024）要求，预调研数据的基本信息分析标准如下：（1）各题项的最大值和最小值须尽可能覆盖量表的理论区间（1—5），说明样本数据分布范围广；（2）各题项均值不能过分接近最大值（5）或最小值（1），以避免天花板/地板效应；（3）标准差须大于0.5，说明量表具有足够的区分度；（4）偏度（Skewness）绝对值不应接近±1，否则说明问卷存在严重偏态分布，数据质量存疑。</w:t>
      </w:r>
    </w:p>
    <w:p>
      <w:pPr>
        <w:pStyle w:val="Heading2"/>
        <w:jc w:val="left"/>
      </w:pPr>
      <w:r>
        <w:rPr>
          <w:rFonts w:ascii="黑体" w:hAnsi="黑体"/>
        </w:rPr>
        <w:t>3.6  fsQCA数据校准方法说明</w:t>
      </w:r>
    </w:p>
    <w:p>
      <w:pPr>
        <w:ind w:firstLine="839"/>
        <w:jc w:val="both"/>
      </w:pPr>
      <w:r>
        <w:rPr>
          <w:rFonts w:ascii="宋体" w:hAnsi="宋体"/>
          <w:sz w:val="24"/>
        </w:rPr>
        <w:t>在进行fsQCA分析前，需对各条件变量和结果变量进行数据校准（Calibration），将原始连续数据转换为介于0—1之间的隶属分数（Membership Score），以满足布尔运算逻辑的基本要求（Ragin，2008）。</w:t>
      </w:r>
    </w:p>
    <w:p>
      <w:pPr>
        <w:ind w:firstLine="839"/>
        <w:jc w:val="both"/>
      </w:pPr>
      <w:r>
        <w:rPr>
          <w:rFonts w:ascii="宋体" w:hAnsi="宋体"/>
          <w:sz w:val="24"/>
        </w:rPr>
        <w:t>本研究采用直接校准法（Direct Method），以5%分位数（P5）、50%分位数（P50，中位数）和95%分位数（P95）分别作为完全不隶属锚点（Fully Out）、交叉点锚点（Crossover Point）和完全隶属锚点（Fully In）进行三锚点校准（Ragin，2008；Fiss，2011）。该校准方法已被近年多项相关研究所采用并得到广泛认可：吴怡（2022）在农村电商集群研究中采用5%/50%/95%分位数作为三个校准锚点；Hong等（2023）在China Agricultural Economic Review的农村集体经济fsQCA研究中同样采用此方法；杜运周等（2020，2022，《管理世界》）的制度组态研究亦沿用P5/P50/P95校准方案，表明该校准方法在中国情境研究中具有高度一致性和可靠性。为避免校准值恰好等于0.5（交叉点）导致个案在分析中被软件剔除，遵循Ragin（2008）和Fiss（2011）的建议，将0.5处的隶属分数加0.001调整为0.501。</w:t>
      </w:r>
    </w:p>
    <w:p>
      <w:pPr>
        <w:ind w:firstLine="839"/>
        <w:jc w:val="both"/>
      </w:pPr>
      <w:r>
        <w:rPr>
          <w:rFonts w:ascii="宋体" w:hAnsi="宋体"/>
          <w:sz w:val="24"/>
        </w:rPr>
        <w:t>本研究各变量的具体校准锚点值（单位：分，量表原始均值）如表3.2所示，均基于508份正式调研数据的实际分布确定：</w:t>
      </w:r>
    </w:p>
    <w:p>
      <w:pPr>
        <w:ind w:firstLine="839"/>
        <w:jc w:val="both"/>
      </w:pPr>
      <w:r>
        <w:rPr>
          <w:rFonts w:ascii="宋体" w:hAnsi="宋体"/>
          <w:sz w:val="24"/>
        </w:rPr>
        <w:t>· GP：完全不隶属锚点=2.000，交叉点=3.333，完全隶属锚点=4.883；</w:t>
      </w:r>
    </w:p>
    <w:p>
      <w:pPr>
        <w:ind w:firstLine="839"/>
        <w:jc w:val="both"/>
      </w:pPr>
      <w:r>
        <w:rPr>
          <w:rFonts w:ascii="宋体" w:hAnsi="宋体"/>
          <w:sz w:val="24"/>
        </w:rPr>
        <w:t>· TS：完全不隶属锚点=1.783，交叉点=3.333，完全隶属锚点=5.000；</w:t>
      </w:r>
    </w:p>
    <w:p>
      <w:pPr>
        <w:ind w:firstLine="839"/>
        <w:jc w:val="both"/>
      </w:pPr>
      <w:r>
        <w:rPr>
          <w:rFonts w:ascii="宋体" w:hAnsi="宋体"/>
          <w:sz w:val="24"/>
        </w:rPr>
        <w:t>· IF：完全不隶属锚点=2.000，交叉点=3.333，完全隶属锚点=4.667；</w:t>
      </w:r>
    </w:p>
    <w:p>
      <w:pPr>
        <w:ind w:firstLine="839"/>
        <w:jc w:val="both"/>
      </w:pPr>
      <w:r>
        <w:rPr>
          <w:rFonts w:ascii="宋体" w:hAnsi="宋体"/>
          <w:sz w:val="24"/>
        </w:rPr>
        <w:t>· TI：完全不隶属锚点=2.000，交叉点=3.333，完全隶属锚点=4.667；</w:t>
      </w:r>
    </w:p>
    <w:p>
      <w:pPr>
        <w:ind w:firstLine="839"/>
        <w:jc w:val="both"/>
      </w:pPr>
      <w:r>
        <w:rPr>
          <w:rFonts w:ascii="宋体" w:hAnsi="宋体"/>
          <w:sz w:val="24"/>
        </w:rPr>
        <w:t>· DS：完全不隶属锚点=2.000，交叉点=3.333，完全隶属锚点=4.667；</w:t>
      </w:r>
    </w:p>
    <w:p>
      <w:pPr>
        <w:ind w:firstLine="839"/>
        <w:jc w:val="both"/>
      </w:pPr>
      <w:r>
        <w:rPr>
          <w:rFonts w:ascii="宋体" w:hAnsi="宋体"/>
          <w:sz w:val="24"/>
        </w:rPr>
        <w:t>· EN：完全不隶属锚点=2.000，交叉点=3.333，完全隶属锚点=5.000；</w:t>
      </w:r>
    </w:p>
    <w:p>
      <w:pPr>
        <w:ind w:firstLine="839"/>
        <w:jc w:val="both"/>
      </w:pPr>
      <w:r>
        <w:rPr>
          <w:rFonts w:ascii="宋体" w:hAnsi="宋体"/>
          <w:sz w:val="24"/>
        </w:rPr>
        <w:t>· CDL：完全不隶属锚点=1.667，交叉点=3.333，完全隶属锚点=4.667。</w:t>
      </w:r>
    </w:p>
    <w:p>
      <w:pPr>
        <w:ind w:firstLine="839"/>
        <w:jc w:val="both"/>
      </w:pPr>
      <w:r>
        <w:rPr>
          <w:rFonts w:ascii="宋体" w:hAnsi="宋体"/>
          <w:sz w:val="24"/>
        </w:rPr>
        <w:t>为避免校准值恰好等于0.5（交叉点）导致个案在分析中被软件剔除，遵循Ragin（2008）和Fiss（2011）的建议，将0.5处的隶属分数加0.001调整为0.501。</w:t>
      </w:r>
    </w:p>
    <w:p>
      <w:pPr>
        <w:pStyle w:val="Heading2"/>
        <w:jc w:val="left"/>
      </w:pPr>
      <w:r>
        <w:rPr>
          <w:rFonts w:ascii="黑体" w:hAnsi="黑体"/>
        </w:rPr>
        <w:t>3.7  fsQCA真值表参数说明</w:t>
      </w:r>
    </w:p>
    <w:p>
      <w:pPr>
        <w:pStyle w:val="Heading3"/>
        <w:jc w:val="left"/>
      </w:pPr>
      <w:r>
        <w:rPr>
          <w:rFonts w:ascii="黑体" w:hAnsi="黑体"/>
        </w:rPr>
        <w:t>3.7.1  频率阈值（Frequency Cutoff）</w:t>
      </w:r>
    </w:p>
    <w:p>
      <w:pPr>
        <w:ind w:firstLine="839"/>
        <w:jc w:val="both"/>
      </w:pPr>
      <w:r>
        <w:rPr>
          <w:rFonts w:ascii="宋体" w:hAnsi="宋体"/>
          <w:sz w:val="24"/>
        </w:rPr>
        <w:t>真值表（Truth Table）中，每一行代表一种条件变量取值组合。为排除由极少数个案支撑的组态路径，需设置频率阈值（Frequency Cutoff），仅保留案例数达到或超过该阈值的组态。本研究将频率阈值设置为3，即某一条件组态至少需要3个案例支撑才被纳入分析。</w:t>
      </w:r>
    </w:p>
    <w:p>
      <w:pPr>
        <w:ind w:firstLine="839"/>
        <w:jc w:val="both"/>
      </w:pPr>
      <w:r>
        <w:rPr>
          <w:rFonts w:ascii="宋体" w:hAnsi="宋体"/>
          <w:sz w:val="24"/>
        </w:rPr>
        <w:t>频率阈值设置为3的学术依据如下：Fiss（2011）在AMJ的研究中指出，对于中大型样本，频率阈值设为3能有效过滤由偶然因素形成的伪组态；Greckhamer等（2018）在Strategic Organization（第16卷第4期）的方法论指南中明确指出，频率阈值为3是300—600份中大型样本研究的普遍选择，可有效过滤噪声组态，提升结论的外部效度。近年来，与本研究情景和方法高度相似的核心期刊研究均采用频率阈值3：杜运周、刘秋辰、程建青（2020）在《管理世界》（第36卷第9期，N=283城市样本）采用频率阈值3；杜运周等（2022）在《管理世界》（第38卷第9期）沿用同一设置；吴怡（2022）以493份农村电商集群样本同样设置频率阈值3；Sun &amp; Shu（2025）在SAGE Open对中国农村电商生态系统的研究中沿用频率阈值3；Huang等（2024）对中国农村电商创业生态系统的研究中同样采用频率阈值3。本研究N=508，属于中大型样本，频率阈值设置为3具有充分的方法论依据和近期文献支撑。</w:t>
      </w:r>
    </w:p>
    <w:p>
      <w:pPr>
        <w:pStyle w:val="Heading3"/>
        <w:jc w:val="left"/>
      </w:pPr>
      <w:r>
        <w:rPr>
          <w:rFonts w:ascii="黑体" w:hAnsi="黑体"/>
        </w:rPr>
        <w:t>3.7.2  一致性阈值（Consistency Cutoff）</w:t>
      </w:r>
    </w:p>
    <w:p>
      <w:pPr>
        <w:ind w:firstLine="839"/>
        <w:jc w:val="both"/>
      </w:pPr>
      <w:r>
        <w:rPr>
          <w:rFonts w:ascii="宋体" w:hAnsi="宋体"/>
          <w:sz w:val="24"/>
        </w:rPr>
        <w:t>一致性（Consistency）衡量某条件组态是结果变量充分条件的程度。真值表中，当某条件组态的一致性达到或超过阈值时，将该组态的结果变量赋值为1，否则赋值为0。本研究将一致性阈值设置为0.85。</w:t>
      </w:r>
    </w:p>
    <w:p>
      <w:pPr>
        <w:ind w:firstLine="839"/>
        <w:jc w:val="both"/>
      </w:pPr>
      <w:r>
        <w:rPr>
          <w:rFonts w:ascii="宋体" w:hAnsi="宋体"/>
          <w:sz w:val="24"/>
        </w:rPr>
        <w:t>一致性阈值设置为0.85的学术依据如下：Ragin（2008）建议一致性阈值不低于0.75；Fiss（2011）在AMJ的研究中使用0.80作为阈值；Greckhamer等（2018）的Strategic Organization方法论综述指出，对于高可信度的研究，建议使用0.85—0.90之间的更严格阈值。近年来，与本研究情景高度相似的多项核心期刊研究均采用0.85作为一致性阈值，为本研究提供了近期的学术依据：杜运周、刘秋辰、程建青（2020）在《管理世界》（第36卷第9期）研究城市高创业活跃度时采用一致性阈值0.85；杜运周等（2022）在《管理世界》（第38卷第9期）研究城市高质量发展时沿用0.85；吴怡（2022）研究农村电商集群高绩效发展时采用一致性阈值0.8，本研究进一步提高到0.85以增强结论的可靠性，符合Greckhamer等（2018）对中大型样本建议更高阈值的规范；Sun &amp; Shu（2025）在SAGE Open对中国农村电商生态系统的研究中采用一致性阈值0.85；Hong等（2023）在China Agricultural Economic Review对中国农村集体经济的fsQCA研究中使用0.85。综上，0.85是在中大型样本fsQCA研究中既保证路径精确性又兼顾组态数量的标准选择，也是当前中国情境集群发展与组态研究的主流阈值设定。稳健性检验中将一致性阈值上调至0.90，以验证结论的稳定性。</w:t>
      </w:r>
    </w:p>
    <w:p>
      <w:pPr>
        <w:pStyle w:val="Heading3"/>
        <w:jc w:val="left"/>
      </w:pPr>
      <w:r>
        <w:rPr>
          <w:rFonts w:ascii="黑体" w:hAnsi="黑体"/>
        </w:rPr>
        <w:t>3.7.3  PRI阈值设置</w:t>
      </w:r>
    </w:p>
    <w:p>
      <w:pPr>
        <w:ind w:firstLine="839"/>
        <w:jc w:val="both"/>
      </w:pPr>
      <w:r>
        <w:rPr>
          <w:rFonts w:ascii="宋体" w:hAnsi="宋体"/>
          <w:sz w:val="24"/>
        </w:rPr>
        <w:t>比例减少不一致（Proportional Reduction in Inconsistency，PRI）是评估条件组态与结果关系质量的补充指标，用于排除"既是充分条件又是必要条件"的矛盾组态（Contradictory Rows）。本研究将PRI阈值设置为0.70，依据Greckhamer等（2018）和Schneider &amp; Wagemann（2012）的建议：PRI≥0.65—0.75是排除矛盾组态的合理区间，本研究取0.70以保证较高的分析质量。</w:t>
      </w:r>
    </w:p>
    <w:p>
      <w:pPr>
        <w:pStyle w:val="Heading3"/>
        <w:jc w:val="left"/>
      </w:pPr>
      <w:r>
        <w:rPr>
          <w:rFonts w:ascii="黑体" w:hAnsi="黑体"/>
        </w:rPr>
        <w:t>3.7.4  必要条件判断标准</w:t>
      </w:r>
    </w:p>
    <w:p>
      <w:pPr>
        <w:ind w:firstLine="839"/>
        <w:jc w:val="both"/>
      </w:pPr>
      <w:r>
        <w:rPr>
          <w:rFonts w:ascii="宋体" w:hAnsi="宋体"/>
          <w:sz w:val="24"/>
        </w:rPr>
        <w:t>必要条件（Necessary Condition）是指在结果存在时必然存在的条件，即没有该条件就没有该结果。判断依据为一致性数值：当单个条件的必要性一致性大于0.9时，认为该条件为必要条件（Ragin，2008；Fiss，2011）。本研究将该标准设为0.9，与国内外fsQCA研究的主流标准一致——杜运周等（2020，2022，《管理世界》）和吴怡（2022）均以必要性一致性&lt;0.9来确认各前因条件均非必要条件，Sun &amp; Shu（2025）对中国农村电商生态系统的研究中同样以0.9作为必要条件判断阈值。</w:t>
      </w:r>
    </w:p>
    <w:p>
      <w:pPr>
        <w:pStyle w:val="Heading3"/>
        <w:jc w:val="left"/>
      </w:pPr>
      <w:r>
        <w:rPr>
          <w:rFonts w:ascii="黑体" w:hAnsi="黑体"/>
        </w:rPr>
        <w:t>3.7.5  解的类型选择与稳健性检验</w:t>
      </w:r>
    </w:p>
    <w:p>
      <w:pPr>
        <w:ind w:firstLine="839"/>
        <w:jc w:val="both"/>
      </w:pPr>
      <w:r>
        <w:rPr>
          <w:rFonts w:ascii="宋体" w:hAnsi="宋体"/>
          <w:sz w:val="24"/>
        </w:rPr>
        <w:t>在标准分析（Standard Analysis）中，fsQCA软件输出简约解（Parsimonious Solution）、中间解（Intermediate Solution）和复杂解（Complex Solution）。遵循Fiss（2011）的建议，采用中间解作为主要分析结果，并以简约解辅助判断核心条件（同时出现在简约解和中间解中的条件为核心条件，仅出现在中间解中的为边缘条件）。</w:t>
      </w:r>
    </w:p>
    <w:p>
      <w:pPr>
        <w:ind w:firstLine="839"/>
        <w:jc w:val="both"/>
      </w:pPr>
      <w:r>
        <w:rPr>
          <w:rFonts w:ascii="宋体" w:hAnsi="宋体"/>
          <w:sz w:val="24"/>
        </w:rPr>
        <w:t>稳健性检验（Robustness Test）依照Fiss（2011）和Greckhamer等（2018）的建议，上调一致性阈值为0.90、频率阈值为4，检验分析结果是否发生实质性变化。若核心组态路径保持稳定，则认为研究结论具有稳健性（杜运周、贾良定，2017）。</w:t>
      </w:r>
    </w:p>
    <w:p>
      <w:pPr>
        <w:pStyle w:val="Heading2"/>
        <w:jc w:val="left"/>
      </w:pPr>
      <w:r>
        <w:rPr>
          <w:rFonts w:ascii="黑体" w:hAnsi="黑体"/>
        </w:rPr>
        <w:t>3.8  本章小结</w:t>
      </w:r>
    </w:p>
    <w:p>
      <w:pPr>
        <w:ind w:firstLine="839"/>
        <w:jc w:val="both"/>
      </w:pPr>
      <w:r>
        <w:rPr>
          <w:rFonts w:ascii="宋体" w:hAnsi="宋体"/>
          <w:sz w:val="24"/>
        </w:rPr>
        <w:t>本章基于TOE框架和相关理论，构建了集群电商经济发展影响因素的理论模型，提出了12条研究假设，设计了7个潜变量21个题项的李克特五级量表问卷，并规范了数据收集流程（153份预调研+508份正式调研）。同时详细阐明了SEM信效度评估标准与学术依据：α&gt;0.8（吴怡，2022；Huang et al.，2024）；KMO&gt;0.7（吴怡，2022）；FL&gt;0.5（吴怡，2022；Huang et al.，2024）；AVE&gt;0.5、CR&gt;0.7（吴怡，2022；Sun &amp; Shu，2025）；√AVE&gt;构念间相关系数（吴怡，2022；Huang et al.，2024）；|C.R.|&gt;1.96（吴怡，2022；Huang et al.，2024）；X²/df&lt;5、RMSEA&lt;0.08、CFI/TLI/IFI&gt;0.90、SRMR&lt;0.08（吴怡，2022）。fsQCA分析参数标准与学术依据：校准锚点P5/P50/P95（杜运周等，2020，2022；Hong et al.，2023）；频率阈值≥3（Greckhamer et al.，2018；杜运周等，2020，2022；吴怡，2022；Sun &amp; Shu，2025）；一致性阈值≥0.85（Greckhamer et al.，2018；杜运周等，2020，2022；Sun &amp; Shu，2025；Hong et al.，2023）；必要性一致性判断阈值0.9（杜运周等，2020，2022；吴怡，2022；Sun &amp; Shu，2025）；PRI阈值0.70（Greckhamer et al.，2018；杜运周等，2020）。上述所有参数设置均与近5年在核心期刊发表的同类情景研究保持高度一致，具有充分的学术规范依据。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