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360" w:lineRule="auto"/>
        <w:ind w:firstLine="0" w:firstLineChars="0"/>
        <w:jc w:val="center"/>
        <w:rPr>
          <w:sz w:val="36"/>
        </w:rPr>
      </w:pPr>
      <w:r>
        <w:rPr>
          <w:rFonts w:hint="eastAsia" w:eastAsia="黑体" w:ascii="Times New Roman" w:hAnsi="Times New Roman" w:cs="黑体"/>
          <w:b/>
          <w:color w:val="000000"/>
          <w:sz w:val="32"/>
          <w:szCs w:val="32"/>
        </w:rPr>
        <w:t>本科生毕业论文（设计）</w:t>
      </w:r>
    </w:p>
    <w:p w14:paraId="77BD80CC">
      <w:pPr>
        <w:spacing w:line="240" w:lineRule="auto"/>
        <w:ind w:firstLine="0" w:firstLineChars="0"/>
        <w:jc w:val="center"/>
      </w:pPr>
    </w:p>
    <w:p w14:paraId="3EE18055">
      <w:pPr>
        <w:spacing w:before="0" w:beforeLines="100" w:after="120" w:afterLines="100" w:line="360" w:lineRule="auto"/>
        <w:ind w:firstLine="0" w:firstLineChars="0"/>
        <w:jc w:val="center"/>
        <w:rPr>
          <w:rFonts w:hint="default" w:eastAsia="黑体"/>
          <w:sz w:val="44"/>
          <w:szCs w:val="44"/>
          <w:lang w:val="en-US" w:eastAsia="zh-CN"/>
        </w:rPr>
      </w:pPr>
      <w:bookmarkStart w:id="6" w:name="OLE_LINK2"/>
      <w:bookmarkStart w:id="7" w:name="OLE_LINK1"/>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60" w:lineRule="auto"/>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360" w:lineRule="auto" w:before="0" w:after="120"/>
        <w:ind w:left="839" w:firstLine="0" w:firstLineChars="0"/>
        <w:jc w:val="center"/>
        <w:rPr>
          <w:rFonts w:hint="default" w:eastAsia="宋体"/>
          <w:position w:val="-6"/>
          <w:sz w:val="28"/>
          <w:u w:val="single"/>
          <w:lang w:val="en-US" w:eastAsia="zh-CN"/>
        </w:rPr>
      </w:pPr>
      <w:r>
        <w:rPr>
          <w:rFonts w:hint="eastAsia" w:eastAsia="宋体" w:ascii="Times New Roman" w:hAnsi="Times New Roman" w:cs="宋体"/>
          <w:spacing w:val="233"/>
          <w:kern w:val="0"/>
          <w:sz w:val="24"/>
          <w:szCs w:val="24"/>
        </w:rPr>
        <w:t>学生姓</w:t>
      </w:r>
      <w:r>
        <w:rPr>
          <w:rFonts w:hint="eastAsia" w:eastAsia="宋体" w:ascii="Times New Roman" w:hAnsi="Times New Roman" w:cs="宋体"/>
          <w:color w:val="000000"/>
          <w:sz w:val="24"/>
          <w:szCs w:val="24"/>
        </w:rPr>
        <w:t>名</w:t>
      </w:r>
      <w:r>
        <w:rPr>
          <w:rFonts w:eastAsia="宋体" w:ascii="Times New Roman" w:hAnsi="Times New Roman" w:cs="宋体"/>
          <w:color w:val="000000"/>
          <w:sz w:val="24"/>
          <w:szCs w:val="24"/>
        </w:rPr>
        <w:t>：</w:t>
      </w:r>
      <w:r>
        <w:rPr>
          <w:rFonts w:hint="eastAsia"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 xml:space="preserve">         张纵宇              </w:t>
      </w:r>
    </w:p>
    <w:p w14:paraId="386907CD">
      <w:pPr>
        <w:spacing w:line="360" w:lineRule="auto" w:before="0" w:after="120"/>
        <w:ind w:left="839" w:firstLine="0" w:firstLineChars="0"/>
        <w:rPr>
          <w:rFonts w:hint="default" w:eastAsia="宋体"/>
          <w:position w:val="-6"/>
          <w:sz w:val="28"/>
          <w:u w:val="single"/>
          <w:lang w:val="en-US" w:eastAsia="zh-CN"/>
        </w:rPr>
        <w:jc w:val="center"/>
      </w:pPr>
      <w:r>
        <w:rPr>
          <w:rFonts w:eastAsia="宋体" w:ascii="Times New Roman" w:hAnsi="Times New Roman" w:cs="宋体"/>
          <w:spacing w:val="233"/>
          <w:kern w:val="0"/>
          <w:sz w:val="24"/>
          <w:szCs w:val="24"/>
        </w:rPr>
        <w:t>指导教</w:t>
      </w:r>
      <w:r>
        <w:rPr>
          <w:rFonts w:eastAsia="宋体" w:ascii="Times New Roman" w:hAnsi="Times New Roman" w:cs="宋体"/>
          <w:spacing w:val="1"/>
          <w:kern w:val="0"/>
          <w:sz w:val="24"/>
          <w:szCs w:val="24"/>
        </w:rPr>
        <w:t>师</w:t>
      </w:r>
      <w:r>
        <w:rPr>
          <w:rFonts w:eastAsia="宋体" w:ascii="Times New Roman" w:hAnsi="Times New Roman" w:cs="宋体"/>
          <w:sz w:val="24"/>
          <w:szCs w:val="24"/>
        </w:rPr>
        <w:t>：</w:t>
      </w:r>
      <w:r>
        <w:rPr>
          <w:rFonts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 xml:space="preserve">      王伟</w:t>
      </w:r>
      <w:r>
        <w:rPr>
          <w:rFonts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 xml:space="preserve">             </w:t>
      </w:r>
    </w:p>
    <w:p w14:paraId="3A3FE384">
      <w:pPr>
        <w:spacing w:line="360" w:lineRule="auto" w:before="0" w:after="120"/>
        <w:ind w:left="839" w:firstLine="0" w:firstLineChars="0"/>
        <w:rPr>
          <w:rFonts w:hint="default" w:eastAsia="宋体"/>
          <w:position w:val="-6"/>
          <w:sz w:val="28"/>
          <w:u w:val="single"/>
          <w:lang w:val="en-US" w:eastAsia="zh-CN"/>
        </w:rPr>
        <w:jc w:val="center"/>
      </w:pPr>
      <w:r>
        <w:rPr>
          <w:rFonts w:eastAsia="宋体" w:ascii="Times New Roman" w:hAnsi="Times New Roman" w:cs="宋体"/>
          <w:spacing w:val="233"/>
          <w:kern w:val="0"/>
          <w:position w:val="-6"/>
          <w:sz w:val="24"/>
          <w:fitText w:val="2520" w:id="3"/>
          <w:szCs w:val="24"/>
        </w:rPr>
        <w:t>专业名</w:t>
      </w:r>
      <w:r>
        <w:rPr>
          <w:rFonts w:eastAsia="宋体" w:ascii="Times New Roman" w:hAnsi="Times New Roman" w:cs="宋体"/>
          <w:spacing w:val="1"/>
          <w:kern w:val="0"/>
          <w:position w:val="-6"/>
          <w:sz w:val="24"/>
          <w:fitText w:val="2520" w:id="3"/>
          <w:szCs w:val="24"/>
        </w:rPr>
        <w:t>称</w:t>
      </w:r>
      <w:r>
        <w:rPr>
          <w:rFonts w:eastAsia="宋体" w:ascii="Times New Roman" w:hAnsi="Times New Roman" w:cs="宋体"/>
          <w:position w:val="-6"/>
          <w:sz w:val="24"/>
          <w:szCs w:val="24"/>
        </w:rPr>
        <w:t>：</w:t>
      </w:r>
      <w:r>
        <w:rPr>
          <w:rFonts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 xml:space="preserve">   电子商务</w:t>
      </w:r>
      <w:r>
        <w:rPr>
          <w:rFonts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 xml:space="preserve">      </w:t>
      </w:r>
    </w:p>
    <w:p w14:paraId="33F4E76E">
      <w:pPr>
        <w:spacing w:line="360" w:lineRule="auto" w:before="0" w:after="120"/>
        <w:ind w:left="839" w:firstLine="0" w:firstLineChars="0"/>
        <w:jc w:val="center"/>
      </w:pPr>
      <w:r>
        <w:rPr>
          <w:rFonts w:eastAsia="宋体" w:ascii="Times New Roman" w:hAnsi="Times New Roman" w:cs="宋体"/>
          <w:spacing w:val="233"/>
          <w:kern w:val="0"/>
          <w:sz w:val="24"/>
          <w:fitText w:val="2520" w:id="5"/>
          <w:szCs w:val="24"/>
        </w:rPr>
        <w:t>所在学</w:t>
      </w:r>
      <w:r>
        <w:rPr>
          <w:rFonts w:eastAsia="宋体" w:ascii="Times New Roman" w:hAnsi="Times New Roman" w:cs="宋体"/>
          <w:spacing w:val="1"/>
          <w:kern w:val="0"/>
          <w:sz w:val="24"/>
          <w:fitText w:val="2520" w:id="5"/>
          <w:szCs w:val="24"/>
        </w:rPr>
        <w:t>院</w:t>
      </w:r>
      <w:r>
        <w:rPr>
          <w:rFonts w:eastAsia="宋体" w:ascii="Times New Roman" w:hAnsi="Times New Roman" w:cs="宋体"/>
          <w:sz w:val="24"/>
          <w:szCs w:val="24"/>
        </w:rPr>
        <w:t>：</w:t>
      </w:r>
      <w:r>
        <w:rPr>
          <w:rFonts w:eastAsia="宋体" w:ascii="Times New Roman" w:hAnsi="Times New Roman" w:cs="宋体"/>
          <w:position w:val="-6"/>
          <w:sz w:val="24"/>
          <w:u w:val="single"/>
          <w:szCs w:val="24"/>
        </w:rPr>
        <w:t xml:space="preserve">      </w:t>
      </w:r>
      <w:r>
        <w:rPr>
          <w:rFonts w:hint="eastAsia" w:eastAsia="宋体" w:ascii="Times New Roman" w:hAnsi="Times New Roman" w:cs="宋体"/>
          <w:position w:val="-6"/>
          <w:sz w:val="24"/>
          <w:u w:val="single"/>
          <w:lang w:val="en-US" w:eastAsia="zh-CN"/>
          <w:szCs w:val="24"/>
        </w:rPr>
        <w:t>人文与经济管理学院</w:t>
      </w:r>
      <w:r>
        <w:rPr>
          <w:rFonts w:eastAsia="宋体" w:ascii="Times New Roman" w:hAnsi="Times New Roman" w:cs="宋体"/>
          <w:position w:val="-6"/>
          <w:sz w:val="24"/>
          <w:u w:val="single"/>
          <w:szCs w:val="24"/>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360" w:lineRule="auto" w:before="0" w:after="120"/>
        <w:ind w:firstLine="0" w:firstLineChars="0"/>
        <w:jc w:val="center"/>
        <w:rPr>
          <w:sz w:val="28"/>
        </w:rPr>
      </w:pPr>
      <w:r>
        <w:rPr>
          <w:rFonts w:hint="eastAsia" w:eastAsia="宋体" w:ascii="Times New Roman" w:hAnsi="Times New Roman" w:cs="宋体"/>
          <w:sz w:val="24"/>
          <w:lang w:val="en-US" w:eastAsia="zh-CN"/>
          <w:szCs w:val="24"/>
        </w:rPr>
        <w:t>2026</w:t>
      </w:r>
      <w:r>
        <w:rPr>
          <w:rFonts w:eastAsia="宋体" w:ascii="Times New Roman" w:hAnsi="Times New Roman" w:cs="宋体"/>
          <w:sz w:val="24"/>
          <w:szCs w:val="24"/>
        </w:rPr>
        <w:t xml:space="preserve">年 </w:t>
      </w:r>
      <w:r>
        <w:rPr>
          <w:rFonts w:hint="eastAsia" w:eastAsia="宋体" w:ascii="Times New Roman" w:hAnsi="Times New Roman" w:cs="宋体"/>
          <w:sz w:val="24"/>
          <w:lang w:val="en-US" w:eastAsia="zh-CN"/>
          <w:szCs w:val="24"/>
        </w:rPr>
        <w:t>4</w:t>
      </w:r>
      <w:r>
        <w:rPr>
          <w:rFonts w:eastAsia="宋体" w:ascii="Times New Roman" w:hAnsi="Times New Roman" w:cs="宋体"/>
          <w:sz w:val="24"/>
          <w:szCs w:val="24"/>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701" w:header="850" w:footer="992" w:gutter="0"/>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360" w:lineRule="auto"/>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Times New Roman" w:hAnsi="Times New Roman" w:eastAsia="黑体" w:cs="黑体"/>
          <w:b/>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在数字经济与乡村振兴战略深度融合的背景下，</w:t>
      </w:r>
      <w:r>
        <w:rPr>
          <w:rFonts w:hint="eastAsia" w:ascii="Times New Roman" w:hAnsi="Times New Roman" w:cs="宋体" w:eastAsia="宋体"/>
          <w:color w:val="000000"/>
          <w:kern w:val="0"/>
          <w:sz w:val="24"/>
          <w:szCs w:val="24"/>
          <w:lang w:val="en-US" w:eastAsia="zh-CN" w:bidi="ar"/>
        </w:rPr>
        <w:t>农村</w:t>
      </w:r>
      <w:r>
        <w:rPr>
          <w:rFonts w:ascii="Times New Roman" w:hAnsi="Times New Roman" w:eastAsia="宋体" w:cs="宋体"/>
          <w:color w:val="000000"/>
          <w:kern w:val="0"/>
          <w:sz w:val="24"/>
          <w:szCs w:val="24"/>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4"/>
          <w:szCs w:val="24"/>
          <w:lang w:val="en-US" w:eastAsia="zh-CN" w:bidi="ar"/>
        </w:rPr>
        <w:t>农村</w:t>
      </w:r>
      <w:r>
        <w:rPr>
          <w:rFonts w:ascii="Times New Roman" w:hAnsi="Times New Roman"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pPr>
      <w:r>
        <w:rPr>
          <w:rFonts w:ascii="Times New Roman" w:hAnsi="Times New Roman" w:eastAsia="宋体" w:cs="宋体"/>
          <w:color w:val="000000"/>
          <w:kern w:val="0"/>
          <w:sz w:val="24"/>
          <w:szCs w:val="24"/>
          <w:lang w:val="en-US" w:eastAsia="zh-CN" w:bidi="ar"/>
        </w:rPr>
        <w:t>本文以烟台</w:t>
      </w:r>
      <w:r>
        <w:rPr>
          <w:rFonts w:hint="eastAsia" w:ascii="Times New Roman" w:hAnsi="Times New Roman" w:cs="宋体" w:eastAsia="宋体"/>
          <w:color w:val="000000"/>
          <w:kern w:val="0"/>
          <w:sz w:val="24"/>
          <w:szCs w:val="24"/>
          <w:lang w:val="en-US" w:eastAsia="zh-CN" w:bidi="ar"/>
        </w:rPr>
        <w:t>农村</w:t>
      </w:r>
      <w:bookmarkStart w:id="60" w:name="_GoBack"/>
      <w:bookmarkEnd w:id="60"/>
      <w:r>
        <w:rPr>
          <w:rFonts w:ascii="Times New Roman" w:hAnsi="Times New Roman"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0" w:beforeLines="50" w:line="360" w:lineRule="auto" w:after="0"/>
        <w:ind w:firstLineChars="0"/>
        <w:rPr>
          <w:szCs w:val="28"/>
        </w:rPr>
        <w:sectPr>
          <w:headerReference r:id="rId11" w:type="default"/>
          <w:footerReference r:id="rId13" w:type="default"/>
          <w:headerReference r:id="rId12" w:type="even"/>
          <w:pgSz w:w="11906" w:h="16838"/>
          <w:pgMar w:top="1417" w:right="1417" w:bottom="1417" w:left="1701" w:header="850" w:footer="992" w:gutter="0"/>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w:t>
      </w:r>
      <w:bookmarkStart w:id="15" w:name="_Toc355614274"/>
      <w:bookmarkStart w:id="16" w:name="_Toc355274224"/>
      <w:bookmarkStart w:id="17" w:name="_Toc355361238"/>
      <w:bookmarkStart w:id="18" w:name="_Toc355274958"/>
      <w:bookmarkStart w:id="19" w:name="_Toc355807472"/>
      <w:bookmarkStart w:id="20" w:name="_Toc355204233"/>
      <w:r>
        <w:rPr>
          <w:rFonts w:eastAsia="宋体" w:ascii="Times New Roman" w:hAnsi="Times New Roman" w:cs="宋体"/>
          <w:szCs w:val="24"/>
          <w:sz w:val="24"/>
        </w:rPr>
        <w:t>农村电商集群</w:t>
      </w:r>
      <w:r>
        <w:rPr>
          <w:rFonts w:hint="eastAsia" w:eastAsia="宋体" w:ascii="Times New Roman" w:hAnsi="Times New Roman" w:cs="宋体"/>
          <w:szCs w:val="24"/>
          <w:lang w:eastAsia="zh-CN"/>
          <w:sz w:val="24"/>
        </w:rPr>
        <w:t>，</w:t>
      </w:r>
      <w:r>
        <w:rPr>
          <w:rFonts w:eastAsia="宋体" w:ascii="Times New Roman" w:hAnsi="Times New Roman" w:cs="宋体"/>
          <w:szCs w:val="24"/>
          <w:sz w:val="24"/>
        </w:rPr>
        <w:t>SEM</w:t>
      </w:r>
      <w:r>
        <w:rPr>
          <w:rFonts w:hint="eastAsia" w:eastAsia="宋体" w:ascii="Times New Roman" w:hAnsi="Times New Roman" w:cs="宋体"/>
          <w:szCs w:val="24"/>
          <w:lang w:eastAsia="zh-CN"/>
          <w:sz w:val="24"/>
        </w:rPr>
        <w:t>，</w:t>
      </w:r>
      <w:r>
        <w:rPr>
          <w:rFonts w:eastAsia="宋体" w:ascii="Times New Roman" w:hAnsi="Times New Roman" w:cs="宋体"/>
          <w:szCs w:val="24"/>
          <w:sz w:val="24"/>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417" w:right="1417" w:bottom="1417" w:left="1701" w:header="850" w:footer="992" w:gutter="0"/>
          <w:pgNumType w:fmt="upperRoman" w:start="1"/>
          <w:cols w:space="425" w:num="1"/>
          <w:docGrid w:linePitch="312" w:charSpace="0"/>
        </w:sectPr>
      </w:pPr>
    </w:p>
    <w:p w14:paraId="589AD8AB">
      <w:pPr>
        <w:spacing w:before="0" w:beforeLines="50" w:after="120" w:afterLines="100" w:line="360" w:lineRule="auto"/>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53F445A">
      <w:pPr>
        <w:spacing w:line="360" w:lineRule="auto" w:before="0" w:after="0"/>
        <w:rPr>
          <w:rFonts w:ascii="宋体" w:hAnsi="宋体" w:eastAsia="宋体" w:cs="宋体"/>
          <w:sz w:val="24"/>
          <w:szCs w:val="24"/>
        </w:rPr>
        <w:jc w:val="both"/>
        <w:ind w:firstLine="480"/>
      </w:pPr>
      <w:bookmarkStart w:id="26" w:name="OLE_LINK8"/>
      <w:r>
        <w:rPr>
          <w:rFonts w:ascii="Times New Roman" w:hAnsi="Times New Roman"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360" w:lineRule="auto" w:before="0" w:after="0"/>
        <w:ind w:firstLine="480"/>
        <w:rPr>
          <w:rFonts w:ascii="宋体" w:hAnsi="宋体" w:eastAsia="宋体" w:cs="宋体"/>
          <w:sz w:val="24"/>
          <w:szCs w:val="24"/>
        </w:rPr>
        <w:jc w:val="both"/>
      </w:pPr>
      <w:r>
        <w:rPr>
          <w:rFonts w:ascii="Times New Roman" w:hAnsi="Times New Roman"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0" w:beforeLines="50" w:line="360" w:lineRule="auto"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bookmarkStart w:id="27" w:name="OLE_LINK7"/>
      <w:r>
        <w:rPr>
          <w:rFonts w:ascii="Times New Roman" w:hAnsi="Times New Roman" w:eastAsia="宋体" w:cs="宋体"/>
          <w:sz w:val="24"/>
          <w:szCs w:val="24"/>
        </w:rPr>
        <w:t>Cluster E-commerce</w:t>
      </w:r>
      <w:r>
        <w:rPr>
          <w:rFonts w:hint="eastAsia" w:ascii="Times New Roman" w:hAnsi="Times New Roman" w:cs="宋体" w:eastAsia="宋体"/>
          <w:sz w:val="24"/>
          <w:szCs w:val="24"/>
          <w:lang w:eastAsia="zh-CN"/>
        </w:rPr>
        <w:t>，</w:t>
      </w:r>
      <w:r>
        <w:rPr>
          <w:rFonts w:ascii="Times New Roman" w:hAnsi="Times New Roman" w:eastAsia="宋体" w:cs="宋体"/>
          <w:sz w:val="24"/>
          <w:szCs w:val="24"/>
        </w:rPr>
        <w:t>Structural Equation Model</w:t>
      </w:r>
      <w:r>
        <w:rPr>
          <w:rFonts w:hint="eastAsia" w:ascii="Times New Roman" w:hAnsi="Times New Roman" w:cs="宋体" w:eastAsia="宋体"/>
          <w:sz w:val="24"/>
          <w:szCs w:val="24"/>
          <w:lang w:eastAsia="zh-CN"/>
        </w:rPr>
        <w:t>，</w:t>
      </w:r>
      <w:r>
        <w:rPr>
          <w:rFonts w:ascii="Times New Roman" w:hAnsi="Times New Roman" w:eastAsia="宋体" w:cs="宋体"/>
          <w:sz w:val="24"/>
          <w:szCs w:val="24"/>
        </w:rPr>
        <w:t>fsQCA</w:t>
      </w:r>
      <w:r>
        <w:rPr>
          <w:rFonts w:eastAsia="宋体" w:ascii="Times New Roman" w:hAnsi="Times New Roman" w:cs="宋体"/>
          <w:color w:val="000000" w:themeColor="text1"/>
          <w:sz w:val="24"/>
          <w:szCs w:val="24"/>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417" w:right="1417" w:bottom="1417" w:left="1701" w:header="850" w:footer="992" w:gutter="0"/>
          <w:pgNumType w:fmt="upperRoman"/>
          <w:cols w:space="425" w:num="1"/>
          <w:docGrid w:linePitch="312" w:charSpace="0"/>
        </w:sectPr>
      </w:pPr>
    </w:p>
    <w:p w14:paraId="3012D2F4">
      <w:pPr>
        <w:spacing w:before="0" w:beforeLines="50" w:after="120" w:afterLines="100" w:line="360" w:lineRule="auto"/>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Times New Roman" w:hAnsi="Times New Roman" w:eastAsia="黑体" w:cs="黑体"/>
          <w:b/>
          <w:sz w:val="28"/>
          <w:szCs w:val="28"/>
        </w:rPr>
        <w:t>目   录</w:t>
      </w:r>
      <w:bookmarkEnd w:id="28"/>
      <w:bookmarkEnd w:id="29"/>
      <w:bookmarkEnd w:id="30"/>
      <w:bookmarkEnd w:id="31"/>
      <w:bookmarkEnd w:id="32"/>
      <w:bookmarkEnd w:id="33"/>
      <w:bookmarkEnd w:id="34"/>
      <w:r>
        <w:rPr>
          <w:b/>
          <w:rFonts w:eastAsia="黑体" w:ascii="Times New Roman" w:hAnsi="Times New Roman" w:cs="黑体"/>
          <w:color w:val="000000"/>
          <w:sz w:val="28"/>
          <w:szCs w:val="28"/>
        </w:rPr>
        <w:fldChar w:fldCharType="begin"/>
      </w:r>
      <w:r>
        <w:rPr>
          <w:b/>
          <w:rFonts w:eastAsia="黑体" w:ascii="Times New Roman" w:hAnsi="Times New Roman" w:cs="黑体"/>
          <w:color w:val="000000"/>
          <w:sz w:val="28"/>
          <w:szCs w:val="28"/>
        </w:rPr>
        <w:instrText xml:space="preserve"> TOC \o "1-2" \h \z \u </w:instrText>
      </w:r>
      <w:r>
        <w:rPr>
          <w:b/>
          <w:rFonts w:eastAsia="黑体" w:ascii="Times New Roman" w:hAnsi="Times New Roman" w:cs="黑体"/>
          <w:color w:val="000000"/>
          <w:sz w:val="28"/>
          <w:szCs w:val="28"/>
        </w:rPr>
        <w:fldChar w:fldCharType="separate"/>
      </w:r>
    </w:p>
    <w:p w14:paraId="1DCDA221">
      <w:pPr>
        <w:pStyle w:val="24"/>
        <w:tabs>
          <w:tab w:val="right" w:leader="dot" w:pos="8787"/>
          <w:tab w:val="clear" w:pos="8777"/>
        </w:tabs>
        <w:spacing w:before="0" w:after="60" w:line="276" w:lineRule="auto"/>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_Toc25734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第一章 绪论</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_Toc25734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1</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5F4D1C55">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_Toc21158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1.1</w:t>
      </w:r>
      <w:r>
        <w:rPr>
          <w:rFonts w:hint="eastAsia" w:eastAsia="宋体" w:ascii="Times New Roman" w:hAnsi="Times New Roman" w:cs="宋体"/>
          <w:szCs w:val="24"/>
          <w:lang w:val="en-US" w:eastAsia="zh-CN"/>
          <w:sz w:val="24"/>
        </w:rPr>
        <w:t>研究背景</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_Toc21158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2E6745E5">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_Toc2208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1.2</w:t>
      </w:r>
      <w:r>
        <w:rPr>
          <w:rFonts w:hint="eastAsia" w:eastAsia="宋体" w:ascii="Times New Roman" w:hAnsi="Times New Roman" w:cs="宋体"/>
          <w:szCs w:val="24"/>
          <w:lang w:val="en-US" w:eastAsia="zh-CN"/>
          <w:sz w:val="24"/>
        </w:rPr>
        <w:t>研究目的与意义</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_Toc2208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15C24EF9">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_Toc1812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1.3</w:t>
      </w:r>
      <w:r>
        <w:rPr>
          <w:rFonts w:hint="eastAsia" w:eastAsia="宋体" w:ascii="Times New Roman" w:hAnsi="Times New Roman" w:cs="宋体"/>
          <w:szCs w:val="24"/>
          <w:lang w:val="en-US" w:eastAsia="zh-CN"/>
          <w:sz w:val="24"/>
        </w:rPr>
        <w:t>研究内容与技术路线</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_Toc1812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153A603F">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_Toc1599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1.</w:t>
      </w:r>
      <w:r>
        <w:rPr>
          <w:rFonts w:hint="eastAsia" w:eastAsia="宋体" w:ascii="Times New Roman" w:hAnsi="Times New Roman" w:cs="宋体"/>
          <w:szCs w:val="24"/>
          <w:lang w:val="en-US" w:eastAsia="zh-CN"/>
          <w:sz w:val="24"/>
        </w:rPr>
        <w:t>4研究方法</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_Toc1599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3</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3AA79C8">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_Toc17945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1.5 研究创新点</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_Toc17945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4</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70A8012">
      <w:pPr>
        <w:pStyle w:val="24"/>
        <w:tabs>
          <w:tab w:val="right" w:leader="dot" w:pos="8787"/>
          <w:tab w:val="clear" w:pos="8777"/>
        </w:tabs>
        <w:spacing w:before="0" w:after="60" w:line="276" w:lineRule="auto"/>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_Toc1959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 xml:space="preserve">第二章 </w:t>
      </w:r>
      <w:r>
        <w:rPr>
          <w:b/>
          <w:rFonts w:eastAsia="黑体" w:ascii="Times New Roman" w:hAnsi="Times New Roman" w:cs="黑体"/>
          <w:sz w:val="24"/>
          <w:szCs w:val="24"/>
        </w:rPr>
        <w:t>理论基础与文献综述</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_Toc1959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5</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0D487345">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_Toc21534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2.1</w:t>
      </w:r>
      <w:r>
        <w:rPr>
          <w:rFonts w:hint="eastAsia" w:eastAsia="宋体" w:ascii="Times New Roman" w:hAnsi="Times New Roman" w:cs="宋体"/>
          <w:lang w:val="en-US" w:eastAsia="zh-CN"/>
          <w:sz w:val="24"/>
          <w:szCs w:val="24"/>
        </w:rPr>
        <w:t>核心概念界定</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_Toc21534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5</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9DEBE7F">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_Toc15879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2.2</w:t>
      </w:r>
      <w:r>
        <w:rPr>
          <w:rFonts w:hint="eastAsia" w:eastAsia="宋体" w:ascii="Times New Roman" w:hAnsi="Times New Roman" w:cs="宋体"/>
          <w:lang w:val="en-US" w:eastAsia="zh-CN"/>
          <w:sz w:val="24"/>
          <w:szCs w:val="24"/>
        </w:rPr>
        <w:t>核心理论基础</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_Toc15879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5</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173D82E">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_Toc19027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2.3</w:t>
      </w:r>
      <w:r>
        <w:rPr>
          <w:rFonts w:hint="eastAsia" w:eastAsia="宋体" w:ascii="Times New Roman" w:hAnsi="Times New Roman" w:cs="宋体"/>
          <w:lang w:val="en-US" w:eastAsia="zh-CN"/>
          <w:sz w:val="24"/>
          <w:szCs w:val="24"/>
        </w:rPr>
        <w:t>国内外研究现状</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_Toc19027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6</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5823082C">
      <w:pPr>
        <w:pStyle w:val="24"/>
        <w:tabs>
          <w:tab w:val="right" w:leader="dot" w:pos="8787"/>
          <w:tab w:val="clear" w:pos="8777"/>
        </w:tabs>
        <w:spacing w:before="0" w:after="60" w:line="276" w:lineRule="auto"/>
      </w:pPr>
      <w:r>
        <w:rPr>
          <w:b/>
          <w:rFonts w:eastAsia="黑体" w:ascii="Times New Roman" w:hAnsi="Times New Roman" w:cs="黑体"/>
          <w:color w:val="000000"/>
          <w:sz w:val="24"/>
          <w:szCs w:val="24"/>
        </w:rPr>
        <w:fldChar w:fldCharType="begin"/>
      </w:r>
      <w:r>
        <w:rPr>
          <w:b/>
          <w:rFonts w:eastAsia="黑体" w:ascii="Times New Roman" w:hAnsi="Times New Roman" w:cs="黑体"/>
          <w:sz w:val="24"/>
          <w:szCs w:val="24"/>
        </w:rPr>
        <w:instrText xml:space="preserve"> HYPERLINK \l _Toc24454 </w:instrText>
      </w:r>
      <w:r>
        <w:rPr>
          <w:b/>
          <w:rFonts w:eastAsia="黑体" w:ascii="Times New Roman" w:hAnsi="Times New Roman" w:cs="黑体"/>
          <w:sz w:val="24"/>
          <w:szCs w:val="24"/>
        </w:rPr>
        <w:fldChar w:fldCharType="separate"/>
      </w:r>
      <w:r>
        <w:rPr>
          <w:b/>
          <w:rFonts w:hint="eastAsia" w:eastAsia="黑体" w:ascii="Times New Roman" w:hAnsi="Times New Roman" w:cs="黑体"/>
          <w:lang w:val="en-US" w:eastAsia="zh-CN"/>
          <w:sz w:val="24"/>
          <w:szCs w:val="24"/>
        </w:rPr>
        <w:t>第三章 研究设计</w:t>
      </w:r>
      <w:r>
        <w:rPr>
          <w:b/>
          <w:rFonts w:eastAsia="黑体" w:ascii="Times New Roman" w:hAnsi="Times New Roman" w:cs="黑体"/>
          <w:sz w:val="24"/>
          <w:szCs w:val="24"/>
        </w:rPr>
        <w:tab/>
      </w:r>
      <w:r>
        <w:rPr>
          <w:b/>
          <w:rFonts w:eastAsia="黑体" w:ascii="Times New Roman" w:hAnsi="Times New Roman" w:cs="黑体"/>
          <w:sz w:val="24"/>
          <w:szCs w:val="24"/>
        </w:rPr>
        <w:fldChar w:fldCharType="begin"/>
      </w:r>
      <w:r>
        <w:rPr>
          <w:b/>
          <w:rFonts w:eastAsia="黑体" w:ascii="Times New Roman" w:hAnsi="Times New Roman" w:cs="黑体"/>
          <w:sz w:val="24"/>
          <w:szCs w:val="24"/>
        </w:rPr>
        <w:instrText xml:space="preserve"> PAGEREF _Toc24454 \h </w:instrText>
      </w:r>
      <w:r>
        <w:rPr>
          <w:b/>
          <w:rFonts w:eastAsia="黑体" w:ascii="Times New Roman" w:hAnsi="Times New Roman" w:cs="黑体"/>
          <w:sz w:val="24"/>
          <w:szCs w:val="24"/>
        </w:rPr>
        <w:fldChar w:fldCharType="separate"/>
      </w:r>
      <w:r>
        <w:rPr>
          <w:b/>
          <w:rFonts w:eastAsia="黑体" w:ascii="Times New Roman" w:hAnsi="Times New Roman" w:cs="黑体"/>
          <w:sz w:val="24"/>
          <w:szCs w:val="24"/>
        </w:rPr>
        <w:t>9</w:t>
      </w:r>
      <w:r>
        <w:rPr>
          <w:b/>
          <w:rFonts w:eastAsia="黑体" w:ascii="Times New Roman" w:hAnsi="Times New Roman" w:cs="黑体"/>
          <w:sz w:val="24"/>
          <w:szCs w:val="24"/>
        </w:rPr>
        <w:fldChar w:fldCharType="end"/>
      </w:r>
      <w:r>
        <w:rPr>
          <w:b/>
          <w:rFonts w:eastAsia="黑体" w:ascii="Times New Roman" w:hAnsi="Times New Roman" w:cs="黑体"/>
          <w:color w:val="000000"/>
          <w:sz w:val="24"/>
          <w:szCs w:val="24"/>
        </w:rPr>
        <w:fldChar w:fldCharType="end"/>
      </w:r>
    </w:p>
    <w:p w14:paraId="679995E8">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_Toc26904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3.1</w:t>
      </w:r>
      <w:r>
        <w:rPr>
          <w:rFonts w:hint="eastAsia" w:eastAsia="宋体" w:ascii="Times New Roman" w:hAnsi="Times New Roman" w:cs="宋体"/>
          <w:szCs w:val="24"/>
          <w:lang w:val="en-US" w:eastAsia="zh-CN"/>
          <w:sz w:val="24"/>
        </w:rPr>
        <w:t>理论模型构建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_Toc26904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39E58E5">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_Toc19091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3.2</w:t>
      </w:r>
      <w:r>
        <w:rPr>
          <w:rFonts w:hint="eastAsia" w:eastAsia="宋体" w:ascii="Times New Roman" w:hAnsi="Times New Roman" w:cs="宋体"/>
          <w:szCs w:val="24"/>
          <w:lang w:val="en-US" w:eastAsia="zh-CN"/>
          <w:sz w:val="24"/>
        </w:rPr>
        <w:t>研究假设提出</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_Toc19091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9</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EDE65C5">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_Toc24192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3.3</w:t>
      </w:r>
      <w:r>
        <w:rPr>
          <w:rFonts w:hint="eastAsia" w:eastAsia="宋体" w:ascii="Times New Roman" w:hAnsi="Times New Roman" w:cs="宋体"/>
          <w:szCs w:val="24"/>
          <w:lang w:val="en-US" w:eastAsia="zh-CN"/>
          <w:sz w:val="24"/>
        </w:rPr>
        <w:t>问卷设计与变量测量</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_Toc24192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10</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40B0AB8F">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_Toc8393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.4数据收集方案</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_Toc8393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3092130D">
      <w:pPr>
        <w:pStyle w:val="26"/>
        <w:tabs>
          <w:tab w:val="right" w:leader="dot" w:pos="8787"/>
        </w:tabs>
        <w:spacing w:before="0" w:after="60" w:line="276" w:lineRule="auto"/>
      </w:pPr>
      <w:r>
        <w:rPr>
          <w:rFonts w:eastAsia="宋体" w:ascii="Times New Roman" w:hAnsi="Times New Roman" w:cs="宋体"/>
          <w:color w:val="000000"/>
          <w:sz w:val="24"/>
          <w:szCs w:val="24"/>
        </w:rPr>
        <w:fldChar w:fldCharType="begin"/>
      </w:r>
      <w:r>
        <w:rPr>
          <w:rFonts w:eastAsia="宋体" w:ascii="Times New Roman" w:hAnsi="Times New Roman" w:cs="宋体"/>
          <w:sz w:val="24"/>
          <w:szCs w:val="24"/>
        </w:rPr>
        <w:instrText xml:space="preserve"> HYPERLINK \l _Toc10800 </w:instrText>
      </w:r>
      <w:r>
        <w:rPr>
          <w:rFonts w:eastAsia="宋体" w:ascii="Times New Roman" w:hAnsi="Times New Roman" w:cs="宋体"/>
          <w:sz w:val="24"/>
          <w:szCs w:val="24"/>
        </w:rPr>
        <w:fldChar w:fldCharType="separate"/>
      </w:r>
      <w:r>
        <w:rPr>
          <w:rFonts w:eastAsia="宋体" w:ascii="Times New Roman" w:hAnsi="Times New Roman" w:cs="宋体"/>
          <w:szCs w:val="24"/>
          <w:lang w:val="en-US"/>
          <w:sz w:val="24"/>
        </w:rPr>
        <w:t>3</w:t>
      </w:r>
      <w:r>
        <w:rPr>
          <w:rFonts w:hint="eastAsia" w:eastAsia="宋体" w:ascii="Times New Roman" w:hAnsi="Times New Roman" w:cs="宋体"/>
          <w:szCs w:val="24"/>
          <w:lang w:val="en-US" w:eastAsia="zh-CN"/>
          <w:sz w:val="24"/>
        </w:rPr>
        <w:t>.5数据分析方法设计</w:t>
      </w:r>
      <w:r>
        <w:rPr>
          <w:rFonts w:eastAsia="宋体" w:ascii="Times New Roman" w:hAnsi="Times New Roman" w:cs="宋体"/>
          <w:sz w:val="24"/>
          <w:szCs w:val="24"/>
        </w:rPr>
        <w:tab/>
      </w:r>
      <w:r>
        <w:rPr>
          <w:rFonts w:eastAsia="宋体" w:ascii="Times New Roman" w:hAnsi="Times New Roman" w:cs="宋体"/>
          <w:sz w:val="24"/>
          <w:szCs w:val="24"/>
        </w:rPr>
        <w:fldChar w:fldCharType="begin"/>
      </w:r>
      <w:r>
        <w:rPr>
          <w:rFonts w:eastAsia="宋体" w:ascii="Times New Roman" w:hAnsi="Times New Roman" w:cs="宋体"/>
          <w:sz w:val="24"/>
          <w:szCs w:val="24"/>
        </w:rPr>
        <w:instrText xml:space="preserve"> PAGEREF _Toc10800 \h </w:instrText>
      </w:r>
      <w:r>
        <w:rPr>
          <w:rFonts w:eastAsia="宋体" w:ascii="Times New Roman" w:hAnsi="Times New Roman" w:cs="宋体"/>
          <w:sz w:val="24"/>
          <w:szCs w:val="24"/>
        </w:rPr>
        <w:fldChar w:fldCharType="separate"/>
      </w:r>
      <w:r>
        <w:rPr>
          <w:rFonts w:eastAsia="宋体" w:ascii="Times New Roman" w:hAnsi="Times New Roman" w:cs="宋体"/>
          <w:sz w:val="24"/>
          <w:szCs w:val="24"/>
        </w:rPr>
        <w:t>12</w:t>
      </w:r>
      <w:r>
        <w:rPr>
          <w:rFonts w:eastAsia="宋体" w:ascii="Times New Roman" w:hAnsi="Times New Roman" w:cs="宋体"/>
          <w:sz w:val="24"/>
          <w:szCs w:val="24"/>
        </w:rPr>
        <w:fldChar w:fldCharType="end"/>
      </w:r>
      <w:r>
        <w:rPr>
          <w:rFonts w:eastAsia="宋体" w:ascii="Times New Roman" w:hAnsi="Times New Roman" w:cs="宋体"/>
          <w:color w:val="000000"/>
          <w:sz w:val="24"/>
          <w:szCs w:val="24"/>
        </w:rPr>
        <w:fldChar w:fldCharType="end"/>
      </w:r>
    </w:p>
    <w:p w14:paraId="2B368E37">
      <w:pPr>
        <w:pStyle w:val="24"/>
        <w:spacing w:line="276" w:lineRule="auto" w:before="0" w:after="60"/>
        <w:rPr>
          <w:color w:val="000000"/>
        </w:rPr>
      </w:pPr>
      <w:r>
        <w:rPr>
          <w:b/>
          <w:rFonts w:eastAsia="黑体" w:ascii="Times New Roman" w:hAnsi="Times New Roman" w:cs="黑体"/>
          <w:color w:val="000000"/>
          <w:sz w:val="24"/>
          <w:szCs w:val="24"/>
        </w:rPr>
        <w:fldChar w:fldCharType="end"/>
      </w:r>
    </w:p>
    <w:p w14:paraId="69530E30">
      <w:pPr>
        <w:ind w:firstLine="0" w:firstLineChars="0"/>
      </w:pPr>
    </w:p>
    <w:p w14:paraId="62EC1C83">
      <w:pPr>
        <w:ind w:firstLine="0" w:firstLineChars="0"/>
        <w:sectPr>
          <w:pgSz w:w="11906" w:h="16838"/>
          <w:pgMar w:top="1417" w:right="1417" w:bottom="1417" w:left="1701" w:header="850" w:footer="992" w:gutter="0"/>
          <w:pgNumType w:fmt="upperRoman"/>
          <w:cols w:space="425" w:num="1"/>
          <w:docGrid w:linePitch="312" w:charSpace="0"/>
        </w:sectPr>
      </w:pPr>
    </w:p>
    <w:p w14:paraId="38BD0E06">
      <w:pPr>
        <w:spacing w:before="0" w:beforeLines="50" w:after="120" w:afterLines="100" w:line="360" w:lineRule="auto"/>
        <w:ind w:left="482" w:firstLine="0"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417" w:right="1417" w:bottom="1417" w:left="1701" w:header="850" w:footer="992" w:gutter="0"/>
          <w:pgNumType w:fmt="upperRoman"/>
          <w:cols w:space="425" w:num="1"/>
          <w:docGrid w:linePitch="312" w:charSpace="0"/>
        </w:sectPr>
      </w:pPr>
    </w:p>
    <w:p w14:paraId="0FA496C6">
      <w:pPr>
        <w:spacing w:before="0" w:beforeLines="50" w:after="120" w:afterLines="100" w:line="360" w:lineRule="auto"/>
        <w:ind w:left="482" w:firstLine="0"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417" w:right="1417" w:bottom="1417" w:left="1701" w:header="850" w:footer="992" w:gutter="0"/>
          <w:pgNumType w:fmt="upperRoman"/>
          <w:cols w:space="425" w:num="1"/>
          <w:docGrid w:linePitch="312" w:charSpace="0"/>
        </w:sectPr>
      </w:pPr>
    </w:p>
    <w:p w14:paraId="556CD14C">
      <w:pPr>
        <w:pStyle w:val="2"/>
        <w:spacing w:line="360" w:lineRule="auto" w:before="240" w:after="120"/>
        <w:rPr>
          <w:rFonts w:hint="eastAsia" w:eastAsia="黑体"/>
          <w:lang w:eastAsia="zh-CN"/>
        </w:rPr>
        <w:jc w:val="center"/>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160" w:after="80" w:line="360" w:lineRule="auto"/>
        <w:ind w:firstLine="0" w:firstLineChars="0"/>
        <w:rPr>
          <w:rFonts w:hint="eastAsia"/>
          <w:szCs w:val="21"/>
          <w:lang w:val="en-US" w:eastAsia="zh-CN"/>
        </w:rPr>
        <w:jc w:val="left"/>
      </w:pPr>
      <w:bookmarkStart w:id="38" w:name="_Toc21158"/>
      <w:r>
        <w:rPr>
          <w:b/>
          <w:rFonts w:eastAsia="黑体" w:ascii="Times New Roman" w:hAnsi="Times New Roman" w:cs="黑体"/>
          <w:szCs w:val="28"/>
          <w:lang w:val="en-US"/>
          <w:sz w:val="28"/>
        </w:rPr>
        <w:t>1.1</w:t>
      </w:r>
      <w:r>
        <w:rPr>
          <w:b/>
          <w:rFonts w:hint="eastAsia" w:eastAsia="黑体" w:ascii="Times New Roman" w:hAnsi="Times New Roman" w:cs="黑体"/>
          <w:szCs w:val="28"/>
          <w:lang w:val="en-US" w:eastAsia="zh-CN"/>
          <w:sz w:val="28"/>
        </w:rPr>
        <w:t>研究背景</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数字经济的全面渗透，推动我国电子商务产业从分散化经营向集群化、生态化发展转型，集群电商已成为激活县域经济、推动乡村产业振兴的核心抓手。烟台作为胶东半岛经济圈的核心城市，拥有得天独厚的特色产业资源，栖霞苹果、福山大樱桃、蓬莱海参等国家地理标志产品全国知名，海洋渔业、高端制造业、文旅产业优势突出，为集群电商发展奠定了坚实的产业基础。</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近年来，烟台市政府先后出台《烟台市数字经济发展规划》《烟台市农村电商提质增效实施方案》等多项政策，大力推动电商产业集群化发展，截至 2025 年底，烟台已培育省级电商示范镇 22 个、示范村 86 个，形成了以特色农产品、海产品为核心的多个电商集聚区域，集群电商已成为带动本地农户增收、产业升级的重要力量。但与此同时，烟台集群电商发展仍面临诸多现实瓶颈：一是政策落地效果区域差异显著，部分区县政策扶持与产业需求匹配度不足；二是专业电商人才供给缺口大，运营、直播、技术类人才招聘与留存难度高；三是物流仓储、冷链配套等基础设施布局不均衡，中西部县域与沿海区县差距明显；四是数字化技术应用程度不高，多数经营主体仍停留在基础运营层面，大数据、智能化工具应用不足；五是本地特色资源整合利用效率偏低，资源优势未能完全转化为产业竞争优势。</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现有关于集群电商的研究，多以浙江、江苏等南方电商发达地区为样本，针对烟台地区的本土化实证研究较为匮乏；同时，多数研究聚焦于单因素的线性影响，难以揭示多因素联动匹配的复杂因果机制，无法为烟台集群电商发展提供精准的实践指引。基于此，本文以烟台地区集群电商为研究对象，围绕其发展影响因素与高绩效发展路径展开系统性研究，具有重要的理论与现实意义。</w:t>
      </w:r>
    </w:p>
    <w:p w14:paraId="71638217">
      <w:pPr>
        <w:pStyle w:val="3"/>
        <w:spacing w:before="160" w:after="80" w:line="360" w:lineRule="auto"/>
        <w:ind w:firstLine="0" w:firstLineChars="0"/>
        <w:rPr>
          <w:rFonts w:hint="eastAsia"/>
          <w:szCs w:val="21"/>
          <w:lang w:val="en-US" w:eastAsia="zh-CN"/>
        </w:rPr>
        <w:jc w:val="left"/>
      </w:pPr>
      <w:bookmarkStart w:id="39" w:name="_Toc2208"/>
      <w:r>
        <w:rPr>
          <w:b/>
          <w:rFonts w:eastAsia="黑体" w:ascii="Times New Roman" w:hAnsi="Times New Roman" w:cs="黑体"/>
          <w:szCs w:val="28"/>
          <w:lang w:val="en-US"/>
          <w:sz w:val="28"/>
        </w:rPr>
        <w:t>1.2</w:t>
      </w:r>
      <w:r>
        <w:rPr>
          <w:b/>
          <w:rFonts w:hint="eastAsia" w:eastAsia="黑体" w:ascii="Times New Roman" w:hAnsi="Times New Roman" w:cs="黑体"/>
          <w:szCs w:val="28"/>
          <w:lang w:val="en-US" w:eastAsia="zh-CN"/>
          <w:sz w:val="28"/>
        </w:rPr>
        <w:t>研究目的与意义</w:t>
      </w:r>
      <w:bookmarkEnd w:id="39"/>
    </w:p>
    <w:p w14:paraId="1DE939D7">
      <w:pPr>
        <w:spacing w:line="360" w:lineRule="auto" w:before="0" w:after="0"/>
        <w:ind w:left="0" w:leftChars="0" w:firstLine="480" w:firstLineChars="0"/>
        <w:rPr>
          <w:rFonts w:hint="eastAsia" w:ascii="Times New Roman" w:hAnsi="Times New Roman" w:eastAsia="黑体" w:cs="Times New Roman"/>
          <w:kern w:val="2"/>
          <w:sz w:val="24"/>
          <w:szCs w:val="20"/>
          <w:lang w:val="en-US" w:eastAsia="zh-CN" w:bidi="ar-SA"/>
        </w:rPr>
        <w:jc w:val="both"/>
      </w:pPr>
      <w:bookmarkStart w:id="40" w:name="_Toc485048984"/>
      <w:bookmarkStart w:id="41" w:name="_Toc484182515"/>
      <w:bookmarkStart w:id="42" w:name="_Toc485389071"/>
      <w:r>
        <w:rPr>
          <w:rFonts w:ascii="Times New Roman" w:hAnsi="Times New Roman" w:eastAsia="宋体" w:cs="宋体"/>
          <w:kern w:val="2"/>
          <w:sz w:val="24"/>
          <w:szCs w:val="24"/>
          <w:lang w:val="en-US" w:eastAsia="zh-CN" w:bidi="ar-SA"/>
        </w:rPr>
        <w:t>1.2.1</w:t>
      </w:r>
      <w:bookmarkEnd w:id="40"/>
      <w:bookmarkEnd w:id="41"/>
      <w:bookmarkEnd w:id="42"/>
      <w:r>
        <w:rPr>
          <w:rFonts w:hint="eastAsia" w:ascii="Times New Roman" w:hAnsi="Times New Roman" w:eastAsia="宋体" w:cs="宋体"/>
          <w:kern w:val="2"/>
          <w:sz w:val="24"/>
          <w:szCs w:val="24"/>
          <w:lang w:val="en-US" w:eastAsia="zh-CN" w:bidi="ar-SA"/>
        </w:rPr>
        <w:t>研究目的</w:t>
      </w:r>
    </w:p>
    <w:p w14:paraId="2DBEDEE4">
      <w:pPr>
        <w:spacing w:line="400" w:lineRule="exact"/>
        <w:ind w:left="0" w:leftChars="0" w:firstLine="0" w:firstLineChars="0"/>
        <w:rPr>
          <w:rFonts w:hint="eastAsia" w:ascii="Times New Roman" w:hAnsi="Times New Roman"/>
          <w:lang w:val="en-US" w:eastAsia="zh-CN"/>
        </w:rPr>
      </w:pPr>
    </w:p>
    <w:p w14:paraId="75A82A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本文立足烟台集群电商发展的实际情况，力图实现以下核心研究目的：</w:t>
      </w:r>
    </w:p>
    <w:p w14:paraId="380ADCE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Fonts w:eastAsia="宋体" w:ascii="Times New Roman" w:hAnsi="Times New Roman" w:cs="宋体"/>
          <w:color w:val="000000"/>
          <w:sz w:val="24"/>
          <w:szCs w:val="24"/>
        </w:rPr>
        <w:t>系统梳理烟台集群电商发展的现状与瓶颈，识别影响其发展的核心维度与关键变量，构建适配烟台本地实际的集群电商发展影响因素分析模型。</w:t>
      </w:r>
    </w:p>
    <w:p w14:paraId="63A9D27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Fonts w:eastAsia="宋体" w:ascii="Times New Roman" w:hAnsi="Times New Roman" w:cs="宋体"/>
          <w:color w:val="000000"/>
          <w:sz w:val="24"/>
          <w:szCs w:val="24"/>
        </w:rPr>
        <w:t>运用结构方程模型（SEM），验证政府政策与集群治理、人才支撑、基础设施建设等六大维度变量对烟台集群电商发展的直接影响，明确各因素的作用强度与显著性。</w:t>
      </w:r>
    </w:p>
    <w:p w14:paraId="07E18B2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Fonts w:eastAsia="宋体" w:ascii="Times New Roman" w:hAnsi="Times New Roman" w:cs="宋体"/>
          <w:color w:val="000000"/>
          <w:sz w:val="24"/>
          <w:szCs w:val="24"/>
        </w:rPr>
        <w:t>运用模糊集定性比较分析（fsQCA），从组态视角探究多维度变量的联动匹配效应，识别驱动烟台集群电商高绩效发展的多元等效路径。</w:t>
      </w:r>
    </w:p>
    <w:p w14:paraId="3BCEB73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Fonts w:eastAsia="宋体" w:ascii="Times New Roman" w:hAnsi="Times New Roman" w:cs="宋体"/>
          <w:color w:val="000000"/>
          <w:sz w:val="24"/>
          <w:szCs w:val="24"/>
        </w:rPr>
        <w:t>基于实证研究结果，提出贴合烟台实际、可落地的集群电商高质量发展对策建议，为地方政府、行业协会与电商经营主体提供决策参考。</w:t>
      </w:r>
    </w:p>
    <w:p w14:paraId="3B666C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color w:val="000000"/>
          <w:sz w:val="24"/>
          <w:szCs w:val="24"/>
        </w:rPr>
        <w:jc w:val="left"/>
      </w:pPr>
      <w:r>
        <w:rPr>
          <w:b/>
          <w:rFonts w:eastAsia="黑体" w:ascii="Times New Roman" w:hAnsi="Times New Roman" w:cs="黑体"/>
          <w:color w:val="000000"/>
          <w:sz w:val="24"/>
          <w:szCs w:val="24"/>
        </w:rPr>
        <w:t>1.2.2 研究意义</w:t>
      </w:r>
    </w:p>
    <w:p w14:paraId="2FD5BC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leftChars="0" w:right="0" w:firstLine="480" w:firstLineChars="0"/>
        <w:jc w:val="both"/>
        <w:rPr>
          <w:color w:val="000000"/>
          <w:sz w:val="24"/>
          <w:szCs w:val="24"/>
        </w:rPr>
      </w:pPr>
      <w:r>
        <w:rPr>
          <w:rFonts w:hint="eastAsia" w:ascii="Times New Roman" w:hAnsi="Times New Roman" w:eastAsia="宋体" w:cs="宋体"/>
          <w:color w:val="000000"/>
          <w:kern w:val="0"/>
          <w:sz w:val="24"/>
          <w:szCs w:val="24"/>
          <w:lang w:val="en-US" w:eastAsia="zh-CN" w:bidi="ar"/>
        </w:rPr>
        <w:t>理论意义：</w:t>
      </w:r>
      <w:r>
        <w:rPr>
          <w:rFonts w:ascii="Times New Roman" w:hAnsi="Times New Roman" w:eastAsia="宋体" w:cs="宋体"/>
          <w:color w:val="000000"/>
          <w:kern w:val="0"/>
          <w:sz w:val="24"/>
          <w:szCs w:val="24"/>
          <w:lang w:val="en-US" w:eastAsia="zh-CN" w:bidi="ar"/>
        </w:rPr>
        <w:t>第一，丰富县域集群电商的本土化研究成果。现有研究多聚焦南方电商发达地区，本文以烟台北方沿海特色产业产区为研究样本，填补了区域研究空白，拓展了集群电商研究的情境边界。第二，完善集群电商发展的影响因素分析框架。本文结合烟台本地特征，纳入资源禀赋、本地平台建设等特色变量，构建了六大维度的整合分析模型，丰富了集群电商影响因素的理论研究体系。第三，示范 SEM 与 fsQCA 混合方法在区域电商研究中的应用。本文同时验证单因素的线性影响与多因素的组合效应，突破了传统单一研究方法的局限，为同类研究提供了方法参考。</w:t>
      </w:r>
    </w:p>
    <w:p w14:paraId="6DD411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hint="eastAsia" w:ascii="Times New Roman" w:hAnsi="Times New Roman" w:cs="宋体" w:eastAsia="宋体"/>
          <w:color w:val="000000"/>
          <w:kern w:val="0"/>
          <w:sz w:val="24"/>
          <w:szCs w:val="24"/>
          <w:lang w:val="en-US" w:eastAsia="zh-CN" w:bidi="ar"/>
        </w:rPr>
        <w:t>实践意义：</w:t>
      </w:r>
      <w:r>
        <w:rPr>
          <w:rFonts w:ascii="Times New Roman" w:hAnsi="Times New Roman" w:eastAsia="宋体" w:cs="宋体"/>
          <w:color w:val="000000"/>
          <w:kern w:val="0"/>
          <w:sz w:val="24"/>
          <w:szCs w:val="24"/>
          <w:lang w:val="en-US" w:eastAsia="zh-CN" w:bidi="ar"/>
        </w:rPr>
        <w:t>第一，为烟台地方政府优化政策供给提供决策依据。本文明确了各维度因素对集群电商发展的影响程度，能够帮助地方政府精准施策，优化政策扶持、基建投入、人才培育等工作的针对性与有效性。第二，为烟台电商经营主体提供发展方向指引。本文识别的高绩效发展路径，能够帮助不同类型、不同发展阶段的电商经营主体，明确自身升级方向，提升数字化运营能力与市场竞争力。第三，为同类北方沿海城市集群电商发展提供参考范式。本文针对烟台特色产业型集群电商的研究结论，能够为山东、辽宁等北方沿海省份的同类城市，提供集群电商发展的实践镜鉴。</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160" w:after="80" w:line="360" w:lineRule="auto"/>
        <w:ind w:firstLine="0" w:firstLineChars="0"/>
        <w:rPr>
          <w:rFonts w:hint="default"/>
          <w:szCs w:val="21"/>
          <w:lang w:val="en-US" w:eastAsia="zh-CN"/>
        </w:rPr>
        <w:jc w:val="left"/>
      </w:pPr>
      <w:bookmarkStart w:id="43" w:name="_Toc1812"/>
      <w:r>
        <w:rPr>
          <w:b/>
          <w:rFonts w:eastAsia="黑体" w:ascii="Times New Roman" w:hAnsi="Times New Roman" w:cs="黑体"/>
          <w:szCs w:val="28"/>
          <w:lang w:val="en-US"/>
          <w:sz w:val="28"/>
        </w:rPr>
        <w:t>1.3</w:t>
      </w:r>
      <w:r>
        <w:rPr>
          <w:b/>
          <w:rFonts w:hint="eastAsia" w:eastAsia="黑体" w:ascii="Times New Roman" w:hAnsi="Times New Roman" w:cs="黑体"/>
          <w:szCs w:val="28"/>
          <w:lang w:val="en-US" w:eastAsia="zh-CN"/>
          <w:sz w:val="28"/>
        </w:rPr>
        <w:t>研究内容与技术路线</w:t>
      </w:r>
      <w:bookmarkEnd w:id="43"/>
    </w:p>
    <w:p w14:paraId="46BFB19B">
      <w:pPr>
        <w:pStyle w:val="4"/>
        <w:spacing w:line="360" w:lineRule="auto" w:before="120" w:after="60"/>
        <w:rPr>
          <w:rFonts w:hint="eastAsia" w:ascii="Times New Roman" w:hAnsi="Times New Roman"/>
          <w:lang w:val="en-US" w:eastAsia="zh-CN"/>
        </w:rPr>
        <w:jc w:val="left"/>
      </w:pPr>
      <w:r>
        <w:rPr>
          <w:b/>
          <w:rFonts w:ascii="Times New Roman" w:hAnsi="Times New Roman" w:eastAsia="黑体" w:cs="黑体"/>
          <w:lang w:val="en-US"/>
          <w:sz w:val="24"/>
          <w:szCs w:val="24"/>
        </w:rPr>
        <w:t>1.3.1</w:t>
      </w:r>
      <w:r>
        <w:rPr>
          <w:b/>
          <w:rFonts w:hint="eastAsia" w:ascii="Times New Roman" w:hAnsi="Times New Roman" w:eastAsia="黑体" w:cs="黑体"/>
          <w:lang w:val="en-US" w:eastAsia="zh-CN"/>
          <w:sz w:val="24"/>
          <w:szCs w:val="24"/>
        </w:rPr>
        <w:t>核心研究内容</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核心研究内容分为六个部分：第一部分为绪论，系统阐述研究背景、研究目的与意义，明确核心研究内容、技术路线、研究方法与创新点，奠定全文的研究基础。第二部分为理论基础与文献综述，界定集群电商、资源禀赋、数字技能等核心概念，梳理 TOE 框架、组态理论等核心理论，系统回顾国内外相关研究成果，通过文献述评明确本文的研究切入点。第三部分为研究设计，基于 TOE 框架构建理论模型，提出对应的研究假设，详细介绍问卷设计、变量测量、数据收集方案，设计 SEM 与 fsQCA 的具体分析流程。第四部分为基于 SEM 的实证分析，通过问卷调研收集一手数据，完成数据预处理、信效度检验、模型拟合与假设检验，验证各维度变量对集群电商发展的线性影响机制。第五部分为基于 fsQCA 的组态分析，完成变量校准、必要性检验、真值表构建与组态分析，识别驱动烟台集群电商高绩效发展的多元组态路径，并完成稳健性检验。第六部分为研究结论与政策建议，整合实证分析结果，总结全文核心研究结论，提出烟台集群电商高质量发展的对策建议，同时反思研究不足，提出未来研究方向。</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szCs w:val="21"/>
        </w:rPr>
        <w:jc w:val="left"/>
      </w:pPr>
      <w:r>
        <w:rPr>
          <w:b/>
          <w:rFonts w:eastAsia="黑体" w:ascii="Times New Roman" w:hAnsi="Times New Roman" w:cs="黑体"/>
          <w:color w:val="000000"/>
          <w:sz w:val="24"/>
          <w:szCs w:val="24"/>
        </w:rPr>
        <w:t>1.3.</w:t>
      </w:r>
      <w:r>
        <w:rPr>
          <w:b/>
          <w:rFonts w:hint="eastAsia" w:eastAsia="黑体" w:ascii="Times New Roman" w:hAnsi="Times New Roman" w:cs="黑体"/>
          <w:color w:val="000000"/>
          <w:sz w:val="24"/>
          <w:szCs w:val="24"/>
          <w:lang w:val="en-US" w:eastAsia="zh-CN"/>
        </w:rPr>
        <w:t>2</w:t>
      </w:r>
      <w:r>
        <w:rPr>
          <w:b/>
          <w:rFonts w:eastAsia="黑体" w:ascii="Times New Roman" w:hAnsi="Times New Roman" w:cs="黑体"/>
          <w:color w:val="000000"/>
          <w:sz w:val="24"/>
          <w:szCs w:val="24"/>
        </w:rPr>
        <w:t xml:space="preserve"> </w:t>
      </w:r>
      <w:r>
        <w:rPr>
          <w:b/>
          <w:rFonts w:hint="eastAsia" w:eastAsia="黑体" w:ascii="Times New Roman" w:hAnsi="Times New Roman" w:cs="黑体"/>
          <w:color w:val="000000"/>
          <w:sz w:val="24"/>
          <w:szCs w:val="24"/>
          <w:lang w:val="en-US" w:eastAsia="zh-CN"/>
        </w:rPr>
        <w:t>技术路线</w:t>
      </w:r>
    </w:p>
    <w:p w14:paraId="2B2FFDD4">
      <w:pPr>
        <w:spacing w:line="360" w:lineRule="auto" w:before="0" w:after="0"/>
        <w:ind w:firstLine="480"/>
        <w:rPr>
          <w:rFonts w:hint="eastAsia" w:eastAsia="宋体"/>
          <w:lang w:eastAsia="zh-CN"/>
        </w:rPr>
        <w:jc w:val="both"/>
      </w:pPr>
      <w:r>
        <w:rPr>
          <w:rFonts w:ascii="Times New Roman" w:hAnsi="Times New Roman" w:eastAsia="宋体" w:cs="宋体"/>
          <w:sz w:val="24"/>
          <w:szCs w:val="24"/>
        </w:rPr>
        <w:t>本文严格遵循 “理论构建 - 研究设计 - 数据收集 - 实证分析 - 结论建议” 的学术研究流程，技术路线如下：</w:t>
      </w:r>
      <w:r>
        <w:rPr>
          <w:rFonts w:hint="eastAsia" w:ascii="Times New Roman" w:hAnsi="Times New Roman" w:cs="宋体" w:eastAsia="宋体"/>
          <w:sz w:val="24"/>
          <w:szCs w:val="24"/>
          <w:lang w:eastAsia="zh-CN"/>
        </w:rPr>
        <w:t>（</w:t>
      </w:r>
      <w:r>
        <w:rPr>
          <w:rFonts w:hint="eastAsia" w:ascii="Times New Roman" w:hAnsi="Times New Roman" w:cs="宋体" w:eastAsia="宋体"/>
          <w:bCs/>
          <w:color w:val="FF0000"/>
          <w:sz w:val="24"/>
          <w:szCs w:val="24"/>
          <w:lang w:val="en-US" w:eastAsia="zh-CN"/>
        </w:rPr>
        <w:t>根据后续分析结果 有待修改</w:t>
      </w:r>
      <w:r>
        <w:rPr>
          <w:rFonts w:hint="eastAsia" w:ascii="Times New Roman" w:hAnsi="Times New Roman" w:cs="宋体" w:eastAsia="宋体"/>
          <w:sz w:val="24"/>
          <w:szCs w:val="24"/>
          <w:lang w:eastAsia="zh-CN"/>
        </w:rPr>
        <w:t>）</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487961EA">
      <w:pPr>
        <w:pStyle w:val="12"/>
        <w:spacing w:line="276" w:lineRule="auto" w:before="120" w:after="60"/>
        <w:ind w:firstLine="0"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4BE272AF">
      <w:pPr>
        <w:pStyle w:val="3"/>
        <w:spacing w:before="160" w:after="80" w:line="360" w:lineRule="auto"/>
        <w:ind w:firstLine="0" w:firstLineChars="0"/>
        <w:rPr>
          <w:rFonts w:hint="default"/>
          <w:szCs w:val="21"/>
          <w:lang w:val="en-US" w:eastAsia="zh-CN"/>
        </w:rPr>
        <w:jc w:val="left"/>
      </w:pPr>
      <w:bookmarkStart w:id="44" w:name="_Toc1599"/>
      <w:r>
        <w:rPr>
          <w:b/>
          <w:rFonts w:eastAsia="黑体" w:ascii="Times New Roman" w:hAnsi="Times New Roman" w:cs="黑体"/>
          <w:szCs w:val="28"/>
          <w:lang w:val="en-US"/>
          <w:sz w:val="28"/>
        </w:rPr>
        <w:t>1.</w:t>
      </w:r>
      <w:r>
        <w:rPr>
          <w:b/>
          <w:rFonts w:hint="eastAsia" w:eastAsia="黑体" w:ascii="Times New Roman" w:hAnsi="Times New Roman" w:cs="黑体"/>
          <w:szCs w:val="28"/>
          <w:lang w:val="en-US" w:eastAsia="zh-CN"/>
          <w:sz w:val="28"/>
        </w:rPr>
        <w:t>4研究方法</w:t>
      </w:r>
      <w:bookmarkEnd w:id="44"/>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文献研究法</w:t>
      </w:r>
      <w:r>
        <w:rPr>
          <w:rFonts w:eastAsia="宋体" w:ascii="Times New Roman" w:hAnsi="Times New Roman" w:cs="宋体"/>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问卷调查法</w:t>
      </w:r>
      <w:r>
        <w:rPr>
          <w:rFonts w:eastAsia="宋体" w:ascii="Times New Roman" w:hAnsi="Times New Roman" w:cs="宋体"/>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结构方程模型（SEM）</w:t>
      </w:r>
      <w:r>
        <w:rPr>
          <w:rFonts w:eastAsia="宋体" w:ascii="Times New Roman" w:hAnsi="Times New Roman" w:cs="宋体"/>
          <w:color w:val="000000"/>
          <w:sz w:val="24"/>
          <w:szCs w:val="24"/>
        </w:rPr>
        <w:t>：采用 AMOS 软件开展 SEM 分析</w:t>
      </w:r>
      <w:r>
        <w:rPr>
          <w:rStyle w:val="FootnoteReference"/>
        </w:rPr>
        <w:footnoteReference w:id="2"/>
      </w:r>
      <w:r>
        <w:rPr>
          <w:rFonts w:eastAsia="宋体" w:ascii="Times New Roman" w:hAnsi="Times New Roman" w:cs="宋体"/>
          <w:color w:val="000000"/>
          <w:sz w:val="24"/>
          <w:szCs w:val="24"/>
        </w:rPr>
        <w:t xml:space="preserve">，用于检验六大维度潜变量之间的因果关系，验证各维度变量对烟台集群电商发展的直接影响，明确各因素的作用强度与显著性。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hint="eastAsia"/>
        </w:rPr>
        <w:jc w:val="both"/>
      </w:pPr>
      <w:r>
        <w:rPr>
          <w:rStyle w:val="36"/>
          <w:rFonts w:eastAsia="宋体" w:ascii="Times New Roman" w:hAnsi="Times New Roman" w:cs="宋体"/>
          <w:bCs/>
          <w:color w:val="000000"/>
          <w:sz w:val="24"/>
          <w:szCs w:val="24"/>
        </w:rPr>
        <w:t>模糊集定性比较分析（fsQCA）</w:t>
      </w:r>
      <w:r>
        <w:rPr>
          <w:rFonts w:eastAsia="宋体" w:ascii="Times New Roman" w:hAnsi="Times New Roman" w:cs="宋体"/>
          <w:color w:val="000000"/>
          <w:sz w:val="24"/>
          <w:szCs w:val="24"/>
        </w:rPr>
        <w:t>：采用 fsQCA 软件开展组态分析</w:t>
      </w:r>
      <w:r>
        <w:rPr>
          <w:rStyle w:val="FootnoteReference"/>
        </w:rPr>
        <w:footnoteReference w:id="3"/>
      </w:r>
      <w:r>
        <w:rPr>
          <w:rFonts w:eastAsia="宋体" w:ascii="Times New Roman" w:hAnsi="Times New Roman" w:cs="宋体"/>
          <w:color w:val="000000"/>
          <w:sz w:val="24"/>
          <w:szCs w:val="24"/>
        </w:rPr>
        <w:t xml:space="preserve">，基于集合论与组态理论，处理多因素并发的复杂因果问题，识别驱动烟台集群电商高绩效发展的多元条件组合与等效发展路径，为分类施策提供依据。</w:t>
      </w:r>
    </w:p>
    <w:p w14:paraId="0DE1BD62">
      <w:pPr>
        <w:pStyle w:val="3"/>
        <w:spacing w:before="160" w:after="80" w:line="360" w:lineRule="auto"/>
        <w:ind w:firstLine="0" w:firstLineChars="0"/>
        <w:rPr>
          <w:szCs w:val="21"/>
          <w:lang w:val="en-US"/>
        </w:rPr>
        <w:jc w:val="left"/>
      </w:pPr>
      <w:bookmarkStart w:id="45" w:name="_Toc17945"/>
      <w:r>
        <w:rPr>
          <w:b/>
          <w:rFonts w:eastAsia="黑体" w:ascii="Times New Roman" w:hAnsi="Times New Roman" w:cs="黑体"/>
          <w:szCs w:val="28"/>
          <w:lang w:val="en-US"/>
          <w:sz w:val="28"/>
        </w:rPr>
        <w:t>1.5 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研究方法的融合创新</w:t>
      </w:r>
      <w:r>
        <w:rPr>
          <w:rFonts w:eastAsia="宋体" w:ascii="Times New Roman" w:hAnsi="Times New Roman" w:cs="宋体"/>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color w:val="000000"/>
          <w:sz w:val="24"/>
          <w:szCs w:val="24"/>
        </w:rPr>
        <w:jc w:val="both"/>
      </w:pPr>
      <w:r>
        <w:rPr>
          <w:rStyle w:val="36"/>
          <w:rFonts w:eastAsia="宋体" w:ascii="Times New Roman" w:hAnsi="Times New Roman" w:cs="宋体"/>
          <w:bCs/>
          <w:color w:val="000000"/>
          <w:sz w:val="24"/>
          <w:szCs w:val="24"/>
        </w:rPr>
        <w:t>研究场景的精准化创新</w:t>
      </w:r>
      <w:r>
        <w:rPr>
          <w:rFonts w:eastAsia="宋体" w:ascii="Times New Roman" w:hAnsi="Times New Roman" w:cs="宋体"/>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417" w:right="1417" w:bottom="1417" w:left="1701" w:header="850" w:footer="992" w:gutter="0"/>
          <w:pgNumType w:fmt="decimal" w:start="1"/>
          <w:cols w:space="425" w:num="1"/>
          <w:docGrid w:linePitch="326" w:charSpace="0"/>
        </w:sectPr>
      </w:pPr>
    </w:p>
    <w:p w14:paraId="55DA8BE8">
      <w:pPr>
        <w:pStyle w:val="2"/>
        <w:spacing w:line="360" w:lineRule="auto" w:before="240" w:after="120"/>
        <w:jc w:val="center"/>
      </w:pPr>
      <w:bookmarkStart w:id="46" w:name="_Toc1959"/>
      <w:r>
        <w:rPr>
          <w:b/>
          <w:rFonts w:hint="eastAsia" w:eastAsia="黑体" w:ascii="Times New Roman" w:hAnsi="Times New Roman" w:cs="黑体"/>
          <w:lang w:val="en-US" w:eastAsia="zh-CN"/>
          <w:sz w:val="32"/>
          <w:szCs w:val="32"/>
        </w:rPr>
        <w:t xml:space="preserve">第二章 </w:t>
      </w:r>
      <w:r>
        <w:rPr>
          <w:b/>
          <w:rFonts w:eastAsia="黑体" w:ascii="Times New Roman" w:hAnsi="Times New Roman" w:cs="黑体"/>
          <w:sz w:val="32"/>
          <w:szCs w:val="32"/>
        </w:rPr>
        <w:t>理论基础与文献综述</w:t>
      </w:r>
      <w:bookmarkEnd w:id="46"/>
    </w:p>
    <w:p w14:paraId="420FC266">
      <w:pPr>
        <w:pStyle w:val="3"/>
        <w:spacing w:before="160" w:after="80" w:line="360" w:lineRule="auto"/>
        <w:ind w:firstLine="0" w:firstLineChars="0"/>
        <w:rPr>
          <w:rFonts w:hint="default" w:eastAsia="黑体"/>
          <w:lang w:val="en-US" w:eastAsia="zh-CN"/>
        </w:rPr>
        <w:jc w:val="left"/>
      </w:pPr>
      <w:bookmarkStart w:id="47"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7"/>
    </w:p>
    <w:p w14:paraId="64649640">
      <w:pPr>
        <w:pStyle w:val="4"/>
        <w:spacing w:line="360" w:lineRule="auto" w:before="120" w:after="60"/>
        <w:rPr>
          <w:rFonts w:hint="eastAsia" w:ascii="Times New Roman" w:hAnsi="Times New Roman" w:eastAsia="黑体"/>
          <w:szCs w:val="21"/>
          <w:lang w:eastAsia="zh-CN"/>
        </w:rPr>
        <w:jc w:val="left"/>
      </w:pPr>
      <w:bookmarkStart w:id="48" w:name="_Toc448094852"/>
      <w:bookmarkStart w:id="49" w:name="_Toc485048993"/>
      <w:bookmarkStart w:id="50" w:name="_Toc485389080"/>
      <w:bookmarkStart w:id="51" w:name="_Toc484182524"/>
      <w:r>
        <w:rPr>
          <w:b/>
          <w:rFonts w:ascii="Times New Roman" w:hAnsi="Times New Roman" w:eastAsia="黑体" w:cs="黑体"/>
          <w:szCs w:val="24"/>
          <w:sz w:val="24"/>
        </w:rPr>
        <w:t>2.1</w:t>
      </w:r>
      <w:bookmarkEnd w:id="48"/>
      <w:r>
        <w:rPr>
          <w:b/>
          <w:rFonts w:ascii="Times New Roman" w:hAnsi="Times New Roman" w:eastAsia="黑体" w:cs="黑体"/>
          <w:szCs w:val="24"/>
          <w:sz w:val="24"/>
        </w:rPr>
        <w:t>.1</w:t>
      </w:r>
      <w:bookmarkEnd w:id="49"/>
      <w:bookmarkEnd w:id="50"/>
      <w:bookmarkEnd w:id="51"/>
      <w:r>
        <w:rPr>
          <w:b/>
          <w:rFonts w:hint="eastAsia" w:ascii="Times New Roman" w:hAnsi="Times New Roman" w:eastAsia="黑体" w:cs="黑体"/>
          <w:szCs w:val="24"/>
          <w:lang w:val="en-US" w:eastAsia="zh-CN"/>
          <w:sz w:val="24"/>
        </w:rPr>
        <w:t>集群电商</w:t>
      </w:r>
    </w:p>
    <w:p w14:paraId="42D3846D">
      <w:pPr>
        <w:spacing w:line="360" w:lineRule="auto"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360" w:lineRule="auto"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360" w:lineRule="auto"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160" w:after="80" w:line="360" w:lineRule="auto"/>
        <w:ind w:firstLine="0" w:firstLineChars="0"/>
        <w:rPr>
          <w:rFonts w:hint="eastAsia" w:eastAsia="黑体"/>
          <w:lang w:eastAsia="zh-CN"/>
        </w:rPr>
        <w:jc w:val="left"/>
      </w:pPr>
      <w:bookmarkStart w:id="52" w:name="_Toc15879"/>
      <w:r>
        <w:rPr>
          <w:b/>
          <w:rFonts w:eastAsia="黑体" w:ascii="Times New Roman" w:hAnsi="Times New Roman" w:cs="黑体"/>
          <w:sz w:val="28"/>
          <w:szCs w:val="28"/>
        </w:rPr>
        <w:t>2.2</w:t>
      </w:r>
      <w:r>
        <w:rPr>
          <w:b/>
          <w:rFonts w:hint="eastAsia" w:eastAsia="黑体" w:ascii="Times New Roman" w:hAnsi="Times New Roman" w:cs="黑体"/>
          <w:lang w:val="en-US" w:eastAsia="zh-CN"/>
          <w:sz w:val="28"/>
          <w:szCs w:val="28"/>
        </w:rPr>
        <w:t>核心理论基础</w:t>
      </w:r>
      <w:bookmarkEnd w:id="52"/>
    </w:p>
    <w:p w14:paraId="386AD302">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2.2.1</w:t>
      </w:r>
      <w:r>
        <w:rPr>
          <w:b/>
          <w:rFonts w:hint="eastAsia" w:ascii="Times New Roman" w:hAnsi="Times New Roman" w:eastAsia="黑体" w:cs="黑体"/>
          <w:szCs w:val="24"/>
          <w:lang w:val="en-US" w:eastAsia="zh-CN"/>
          <w:sz w:val="24"/>
        </w:rPr>
        <w:t>技术-组织-环境（TOE）框架</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TOE 框架由 Tornatzky 和 Fleischer 于 1990 年提出</w:t>
      </w:r>
      <w:r>
        <w:rPr>
          <w:rStyle w:val="FootnoteReference"/>
        </w:rPr>
        <w:footnoteReference w:id="1"/>
      </w:r>
      <w:r>
        <w:rPr>
          <w:rFonts w:ascii="Times New Roman" w:hAnsi="Times New Roman" w:eastAsia="宋体" w:cs="宋体"/>
          <w:color w:val="000000"/>
          <w:kern w:val="0"/>
          <w:sz w:val="24"/>
          <w:szCs w:val="24"/>
          <w:lang w:val="en-US" w:eastAsia="zh-CN" w:bidi="ar"/>
        </w:rPr>
        <w:t xml:space="preserve">，该理论认为，组织的技术创新与应用行为，受到技术、组织、环境三个维度因素的共同影响，三个维度的因素并非独立作用，而是相互联动、协同影响组织行为与发展结果。其中，技术维度指组织可获取的技术资源、技术应用能力与相关配套工具；组织维度指组织的治理结构、制度安排、人才资源与管理模式；环境维度指组织所处的宏观政策、基础设施、市场环境、资源禀赋等外部情境。</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 框架具有系统性、整体性与场景适配性强的特点，与集群电商这一复杂产业组织系统的发展逻辑高度契合。本文基于 TOE 框架，结合烟台集群电商发展的实际特征，将六大核心影响维度整合到技术、组织、环境三个维度中，构建本文的整合分析模型：技术维度包含技术创新水平、本地电商平台与数字技能；组织维度包含政府政策与集群治理、人才支撑；环境维度包含基础设施建设、自然环境与资源禀赋。</w:t>
      </w:r>
    </w:p>
    <w:p w14:paraId="462365E6">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2.2.</w:t>
      </w:r>
      <w:r>
        <w:rPr>
          <w:b/>
          <w:rFonts w:hint="eastAsia" w:ascii="Times New Roman" w:hAnsi="Times New Roman" w:eastAsia="黑体" w:cs="黑体"/>
          <w:szCs w:val="24"/>
          <w:lang w:val="en-US" w:eastAsia="zh-CN"/>
          <w:sz w:val="24"/>
        </w:rPr>
        <w:t>2组态理论</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组态理论诞生于 20 世纪初的战略管理领域，其核心思想是：组织的高绩效结果并非由单一因素独立决定，而是由多个相互关联、相互依赖的前因条件，以特定的组合方式协同作用产生的。该理论以整体论为核心，突破了传统还原论 “单因素独立影响” 的线性思维局限，强调因果关系的三大核心特征：一是多重并发，结果的发生由多个前因条件共同驱动，不存在单一的决定性因素；二是等效性，不同的前因条件组合可以产生相同的高绩效结果，即存在 “殊途同归” 的多条发展路径；三是因果非对称性，导致高绩效的条件组合，与导致低绩效的条件组合并非简单的对立关系，不能通过反向推导得出发展策略。</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组态理论与集群电商发展的现实特征高度契合，烟台集群电商的高质量发展，是技术、组织、环境多维度因素共同作用的结果，单一因素的作用依赖于其他因素的匹配与协同，不存在普适性的 “最优单因素”。本文基于组态理论，运用 fsQCA 方法，探究驱动烟台集群电商高绩效发展的多元条件组态与等效发展路径，破解集群发展的复杂因果机制。</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30C4725B">
      <w:pPr>
        <w:pStyle w:val="3"/>
        <w:spacing w:before="160" w:after="80" w:line="360" w:lineRule="auto"/>
        <w:ind w:firstLine="0" w:firstLineChars="0"/>
        <w:rPr>
          <w:rFonts w:hint="default" w:eastAsia="黑体"/>
          <w:lang w:val="en-US" w:eastAsia="zh-CN"/>
        </w:rPr>
        <w:jc w:val="left"/>
      </w:pPr>
      <w:bookmarkStart w:id="53" w:name="_Toc19027"/>
      <w:r>
        <w:rPr>
          <w:b/>
          <w:rFonts w:eastAsia="黑体" w:ascii="Times New Roman" w:hAnsi="Times New Roman" w:cs="黑体"/>
          <w:sz w:val="28"/>
          <w:szCs w:val="28"/>
        </w:rPr>
        <w:t>2.3</w:t>
      </w:r>
      <w:r>
        <w:rPr>
          <w:b/>
          <w:rFonts w:hint="eastAsia" w:eastAsia="黑体" w:ascii="Times New Roman" w:hAnsi="Times New Roman" w:cs="黑体"/>
          <w:lang w:val="en-US" w:eastAsia="zh-CN"/>
          <w:sz w:val="28"/>
          <w:szCs w:val="28"/>
        </w:rPr>
        <w:t>国内外研究现状</w:t>
      </w:r>
      <w:bookmarkEnd w:id="53"/>
    </w:p>
    <w:p w14:paraId="229EC2AA">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2.3.1</w:t>
      </w:r>
      <w:r>
        <w:rPr>
          <w:b/>
          <w:rFonts w:hint="eastAsia" w:ascii="Times New Roman" w:hAnsi="Times New Roman" w:eastAsia="黑体" w:cs="黑体"/>
          <w:szCs w:val="24"/>
          <w:lang w:val="en-US" w:eastAsia="zh-CN"/>
          <w:sz w:val="24"/>
        </w:rPr>
        <w:t>集群电商发展相关研究</w:t>
      </w:r>
    </w:p>
    <w:p w14:paraId="37A086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国外关于集群电商的研究，最早可追溯至产业集群理论在电子商务领域的应用。Porto 等（2021）通过对巴西农村电商集聚区域的研究，将集群电商定义为 “依托数字平台，在特定地域内形成的、以特色产业为核心的电商企业与配套机构的空间集聚体”，并指出其核心价值在于降低中小经营主体的市场准入门槛，实现小生产与大市场的有效链接。Milicevic 等（2022）基于中东欧国家的研究，将集群电商的发展模式划分为政府主导型、市场驱动型与产业引领型三类，并指出产业引领型模式更具可持续发展能力。</w:t>
      </w:r>
    </w:p>
    <w:p w14:paraId="143AA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国内关于集群电商的研究，伴随淘宝村、电商产业带的快速发展逐步深化。早期研究多聚焦于集群电商的形成机制与发展模式，史修松等（2017）基于江苏淘宝村的调研，将农村电商集群划分为资源基础型、产业带动型与能人驱动型三类，分析了不同模式的形成机理。郭承龙（2019）从产业演化视角，将集群电商的发展划分为萌芽期、成长期、成熟期与转型期四个阶段，指出不同阶段的核心驱动因素存在显著差异。近年来，研究逐步转向集群电商的高质量发展，王志辉等（2021）指出，集群电商高质量发展的核心是完善产业链、提升品牌化水平与强化协同创新能力，实现从规模扩张向价值提升的转型。</w:t>
      </w:r>
    </w:p>
    <w:p w14:paraId="724FC727">
      <w:pPr>
        <w:pStyle w:val="4"/>
        <w:spacing w:line="360" w:lineRule="auto" w:before="120" w:after="60"/>
        <w:rPr>
          <w:rFonts w:hint="default" w:ascii="Times New Roman" w:hAnsi="Times New Roman" w:eastAsia="黑体"/>
          <w:szCs w:val="21"/>
          <w:lang w:val="en-US" w:eastAsia="zh-CN"/>
        </w:rPr>
        <w:jc w:val="left"/>
      </w:pPr>
      <w:r>
        <w:rPr>
          <w:b/>
          <w:rFonts w:ascii="Times New Roman" w:hAnsi="Times New Roman" w:eastAsia="黑体" w:cs="黑体"/>
          <w:szCs w:val="24"/>
          <w:sz w:val="24"/>
        </w:rPr>
        <w:t>2.3.</w:t>
      </w:r>
      <w:r>
        <w:rPr>
          <w:b/>
          <w:rFonts w:hint="eastAsia" w:ascii="Times New Roman" w:hAnsi="Times New Roman" w:eastAsia="黑体" w:cs="黑体"/>
          <w:szCs w:val="24"/>
          <w:lang w:val="en-US" w:eastAsia="zh-CN"/>
          <w:sz w:val="24"/>
        </w:rPr>
        <w:t>2电商发展影响因素相关研究</w:t>
      </w:r>
    </w:p>
    <w:p w14:paraId="073C8A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国内外学者围绕电商发展的影响因素，开展了大量实证研究，相关成果可归纳为六大维度，与本文的研究模型高度契合。</w:t>
      </w:r>
    </w:p>
    <w:p w14:paraId="4235B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在政府政策与集群治理方面，梁强等（2016）基于广东军埔电商集群的案例研究，指出政府的政策扶持、产业规划与公共服务供给，对集群电商的形成与发展具有关键推动作用。Cui 等（2019）则强调，完善的集群内部治理机制，包括行业自律、利益协调、协同创新等，是集群电商实现可持续发展的核心组织保障。</w:t>
      </w:r>
    </w:p>
    <w:p w14:paraId="65D770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在人才支撑方面，邱泽奇等（2021）指出，电商专业人才的供给不足，是制约县域电商发展的核心瓶颈，从业者的数字技能与运营能力，直接决定了电商经营的效益与集群发展的水平。Zang 等（2020）的研究表明，完善的人才培育体系，能够显著提升集群内从业者的综合能力，进而推动集群电商的高质量发展。</w:t>
      </w:r>
    </w:p>
    <w:p w14:paraId="115221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在基础设施建设方面，董坤祥等（2016）的研究表明，交通物流、仓储冷链、网络通信等基础设施，是集群电商发展的基础保障，对集群发展水平具有显著正向影响。Jiang 等（2017）则指出，物流配送 “最后一公里” 的服务质量，直接影响农村电商集群的用户体验与市场竞争力。</w:t>
      </w:r>
    </w:p>
    <w:p w14:paraId="485BD1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技术创新水平方面，易法敏等（2022）指出，大数据、人工智能、直播技术等数字化技术的应用，能够显著提升电商经营的效率与精准度，是驱动集群电商转型升级的核心动力。黄益平等（2019）的研究表明，数字化技术的普及应用，能够有效降低集群内中小主体的经营成本，提升集群的整体竞争优势。</w:t>
      </w:r>
    </w:p>
    <w:p w14:paraId="261E95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在本地电商平台与数字技能方面，张伟（2024）的 SEM 实证研究表明，电商平台的功能支持与从业者的数字技能，均对电商集群发展水平具有显著正向影响，且数字技能在平台功能与集群绩效之间存在显著中介作用。陈雨苏（2024）则指出，本地特色电商平台的建设，能够更好地适配本地产业特征，提升集群的区域品牌影响力。</w:t>
      </w:r>
    </w:p>
    <w:p w14:paraId="09682C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资源禀赋方面，唐艺等（2021）以江苏沭阳花木电商集群为案例，指出本地特色资源是集群电商形成的核心前提，资源的整合利用效率，直接决定了集群的核心竞争力与可持续发展能力。李想等（2023）的研究表明，依托本地特色资源形成的差异化竞争优势，是电商集群避免同质化竞争、实现高质量发展的关键。</w:t>
      </w:r>
    </w:p>
    <w:p w14:paraId="1B6A6F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color w:val="000000"/>
          <w:sz w:val="24"/>
          <w:szCs w:val="24"/>
        </w:rPr>
        <w:jc w:val="left"/>
      </w:pPr>
      <w:r>
        <w:rPr>
          <w:b/>
          <w:rFonts w:eastAsia="黑体" w:ascii="Times New Roman" w:hAnsi="Times New Roman" w:cs="黑体"/>
          <w:color w:val="000000"/>
          <w:sz w:val="24"/>
          <w:szCs w:val="24"/>
        </w:rPr>
        <w:t>2.3.3 SEM 与 fsQCA 混合方法的应用研究</w:t>
      </w:r>
    </w:p>
    <w:p w14:paraId="78C254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SEM 与 fsQCA 混合方法，能够同时实现线性因果验证与组态效应分析，实现两种方法的优势互补，近年来被广泛应用于管理学、经济学等领域的研究。</w:t>
      </w:r>
    </w:p>
    <w:p w14:paraId="011C81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在国内研究中，易明等（2018）最早采用该混合方法，研究了时间压力对员工沉默行为的影响机制，通过 SEM 验证了变量间的中介效应，再通过 fsQCA 识别了多元组态路径，为混合方法的应用提供了范例。毕达天等（2021）采用该混合方法，分析了科研人员数据素养的影响因素，既验证了各变量的净效应，又识别了驱动高数据素养的多元组态，拓展了混合方法的应用场景。在电商研究领域，鲁夏平（2022）采用 SEM 与 fsQCA 混合方法，探究了农村电商发展的影响因素与多元路径，验证了该方法在电商研究领域的适用性。</w:t>
      </w:r>
    </w:p>
    <w:p w14:paraId="32867A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在国外研究中，Um 等（2023）采用 SEM 与 fsQCA 混合方法，研究了旅游移动商务中消费者冲动购买意愿的影响因素，通过 SEM 验证了动机因素的线性影响，再通过 fsQCA 识别了驱动冲动购买的多元组态。Zheng 等（2023）则基于该混合方法，研究了在线学习质量对大学生持续学习意愿的影响，进一步验证了该混合方法的有效性与适用性。</w:t>
      </w:r>
    </w:p>
    <w:p w14:paraId="48EE502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rFonts w:hint="default" w:eastAsia="黑体"/>
          <w:color w:val="000000"/>
          <w:sz w:val="24"/>
          <w:szCs w:val="24"/>
          <w:lang w:val="en-US" w:eastAsia="zh-CN"/>
        </w:rPr>
        <w:jc w:val="left"/>
      </w:pPr>
      <w:r>
        <w:rPr>
          <w:b/>
          <w:rFonts w:eastAsia="黑体" w:ascii="Times New Roman" w:hAnsi="Times New Roman" w:cs="黑体"/>
          <w:color w:val="000000"/>
          <w:sz w:val="24"/>
          <w:szCs w:val="24"/>
        </w:rPr>
        <w:t>2.3.</w:t>
      </w:r>
      <w:r>
        <w:rPr>
          <w:b/>
          <w:rFonts w:hint="eastAsia" w:eastAsia="黑体" w:ascii="Times New Roman" w:hAnsi="Times New Roman" w:cs="黑体"/>
          <w:color w:val="000000"/>
          <w:sz w:val="24"/>
          <w:szCs w:val="24"/>
          <w:lang w:val="en-US" w:eastAsia="zh-CN"/>
        </w:rPr>
        <w:t>4研究述评与研究切入点</w:t>
      </w:r>
    </w:p>
    <w:p w14:paraId="01CD06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综上所述，国内外关于集群电商的研究已取得丰硕成果，为本文奠定了坚实的理论基础与研究范式，但现有研究仍存在三方面的不足，这也构成了本文的核心研究切入点：</w:t>
      </w:r>
    </w:p>
    <w:p w14:paraId="1B0B2F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第一，研究情境存在区域空白。现有研究多以浙江、江苏等南方电商发达地区为样本，针对烟台北方沿海特色产业产区的本土化实证研究较为匮乏，而烟台的产业结构、资源禀赋与南方地区存在显著差异，现有研究结论的本土化适配性不足。</w:t>
      </w:r>
    </w:p>
    <w:p w14:paraId="0781C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第二，研究维度存在同质化局限。现有研究多聚焦于政策、基建、技术等通用维度，鲜有研究将本地资源禀赋、特色平台建设等区域特色变量纳入整合分析框架，难以精准解释烟台集群电商发展的独特性与瓶颈问题。</w:t>
      </w:r>
    </w:p>
    <w:p w14:paraId="416A9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第三，研究方法存在单一化局限。现有研究多单独采用 SEM 或 fsQCA 方法，采用二者混合设计的研究仍较为匮乏，难以同时揭示集群电商发展的普遍线性影响机制与本土化的多元组态路径，导致研究结论的实践指导性不足。</w:t>
      </w:r>
    </w:p>
    <w:p w14:paraId="796B97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基于此，本文以烟台地区集群电商为研究对象，构建包含六大维度的整合分析模型，采用 SEM 与 fsQCA 混合研究方法，系统探究其发展的影响因素与高绩效组态路径，弥补现有研究的不足，丰富集群电商的本土化研究成果。</w:t>
      </w:r>
    </w:p>
    <w:p w14:paraId="49771233">
      <w:pPr>
        <w:spacing w:line="400" w:lineRule="exact"/>
        <w:rPr>
          <w:szCs w:val="21"/>
        </w:rPr>
      </w:pPr>
    </w:p>
    <w:p w14:paraId="17B35795">
      <w:pPr>
        <w:ind w:firstLine="480"/>
        <w:sectPr>
          <w:headerReference r:id="rId25" w:type="default"/>
          <w:pgSz w:w="11906" w:h="16838"/>
          <w:pgMar w:top="1417" w:right="1417" w:bottom="1417" w:left="1701" w:header="850" w:footer="992" w:gutter="0"/>
          <w:pgNumType w:fmt="decimal"/>
          <w:cols w:space="425" w:num="1"/>
          <w:docGrid w:linePitch="326" w:charSpace="0"/>
        </w:sectPr>
      </w:pPr>
    </w:p>
    <w:p w14:paraId="4A5343C8">
      <w:pPr>
        <w:pStyle w:val="2"/>
        <w:spacing w:line="360" w:lineRule="auto" w:before="240" w:after="120"/>
        <w:rPr>
          <w:lang w:val="zh-CN"/>
        </w:rPr>
        <w:jc w:val="center"/>
      </w:pPr>
      <w:bookmarkStart w:id="54" w:name="_Toc24454"/>
      <w:r>
        <w:rPr>
          <w:b/>
          <w:rFonts w:hint="eastAsia" w:eastAsia="黑体" w:ascii="Times New Roman" w:hAnsi="Times New Roman" w:cs="黑体"/>
          <w:lang w:val="en-US" w:eastAsia="zh-CN"/>
          <w:sz w:val="32"/>
          <w:szCs w:val="32"/>
        </w:rPr>
        <w:t>第三章 研究设计</w:t>
      </w:r>
      <w:bookmarkEnd w:id="54"/>
    </w:p>
    <w:p w14:paraId="7DE972D1">
      <w:pPr>
        <w:pStyle w:val="3"/>
        <w:spacing w:before="160" w:after="80" w:line="360" w:lineRule="auto"/>
        <w:ind w:firstLine="0" w:firstLineChars="0"/>
        <w:rPr>
          <w:rFonts w:hint="default"/>
          <w:szCs w:val="21"/>
          <w:lang w:val="en-US" w:eastAsia="zh-CN"/>
        </w:rPr>
        <w:jc w:val="left"/>
      </w:pPr>
      <w:bookmarkStart w:id="55"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5"/>
    </w:p>
    <w:p w14:paraId="7BA4BD17">
      <w:pPr>
        <w:spacing w:line="360" w:lineRule="auto" w:before="0" w:after="0"/>
        <w:ind w:firstLine="480"/>
        <w:rPr>
          <w:rFonts w:ascii="宋体" w:hAnsi="宋体" w:eastAsia="宋体" w:cs="宋体"/>
          <w:sz w:val="24"/>
          <w:szCs w:val="24"/>
        </w:rPr>
        <w:jc w:val="both"/>
      </w:pPr>
      <w:r>
        <w:rPr>
          <w:rFonts w:ascii="Times New Roman" w:hAnsi="Times New Roman" w:eastAsia="宋体" w:cs="宋体"/>
          <w:sz w:val="24"/>
          <w:szCs w:val="24"/>
        </w:rPr>
        <w:t>本文基于 TOE 框架，结合烟台集群电商发展的实际特征，构建 “技术 - 组织 - 环境” 三维度、六大核心变量的整合分析模型，具体如下：</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53BC2142">
            <w:pPr>
              <w:keepNext w:val="0"/>
              <w:keepLines w:val="0"/>
              <w:widowControl/>
              <w:suppressLineNumbers w:val="0"/>
              <w:jc w:val="center"/>
              <w:rPr>
                <w:b/>
                <w:bCs/>
              </w:rPr>
              <w:spacing w:before="60" w:after="60" w:line="276" w:lineRule="auto"/>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14:paraId="3A4E2FD6">
            <w:pPr>
              <w:keepNext w:val="0"/>
              <w:keepLines w:val="0"/>
              <w:widowControl/>
              <w:suppressLineNumbers w:val="0"/>
              <w:jc w:val="center"/>
              <w:rPr>
                <w:b/>
                <w:bCs/>
              </w:rPr>
              <w:spacing w:before="60" w:after="60" w:line="276" w:lineRule="auto"/>
              <w:ind/>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121B6C11">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76B9D270">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A3FADAA">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68D23FB4">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B2BB935">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14:paraId="305C9015">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bottom w:val="single" w:sz="12" w:space="0" w:color="000000"/>
            </w:tcBorders>
          </w:tcPr>
          <w:p w14:paraId="3C10B656">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left w:val="none" w:sz="0" w:space="0" w:color="auto"/>
              <w:right w:val="none" w:sz="0" w:space="0" w:color="auto"/>
              <w:insideH w:val="none" w:sz="0" w:space="0" w:color="auto"/>
              <w:insideV w:val="none" w:sz="0" w:space="0" w:color="auto"/>
              <w:bottom w:val="single" w:sz="12" w:space="0" w:color="000000"/>
            </w:tcBorders>
          </w:tcPr>
          <w:p w14:paraId="6B71F9B1">
            <w:pPr>
              <w:keepNext w:val="0"/>
              <w:keepLines w:val="0"/>
              <w:widowControl/>
              <w:suppressLineNumbers w:val="0"/>
              <w:jc w:val="center"/>
              <w:spacing w:before="60" w:after="60" w:line="276" w:lineRule="auto"/>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76" w:lineRule="auto" w:before="120" w:after="60"/>
        <w:ind w:firstLine="0"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pStyle w:val="4"/>
        <w:tabs>
          <w:tab w:val="clear" w:pos="561"/>
          <w:tab w:val="clear" w:pos="720"/>
        </w:tabs>
        <w:overflowPunct/>
        <w:spacing w:line="360" w:lineRule="auto" w:before="120" w:after="60"/>
        <w:ind w:firstLine="420" w:firstLineChars="0"/>
        <w:jc w:val="left"/>
      </w:pPr>
      <w:r>
        <w:rPr>
          <w:b/>
          <w:rFonts w:ascii="Times New Roman" w:hAnsi="Times New Roman" w:eastAsia="黑体" w:cs="黑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160" w:after="80" w:line="360" w:lineRule="auto"/>
        <w:ind w:firstLine="0" w:firstLineChars="0"/>
        <w:rPr>
          <w:szCs w:val="21"/>
        </w:rPr>
        <w:jc w:val="left"/>
      </w:pPr>
      <w:bookmarkStart w:id="56"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6"/>
    </w:p>
    <w:p w14:paraId="5A0957C2">
      <w:pPr>
        <w:pStyle w:val="4"/>
        <w:tabs>
          <w:tab w:val="clear" w:pos="561"/>
          <w:tab w:val="clear" w:pos="720"/>
        </w:tabs>
        <w:overflowPunct/>
        <w:spacing w:line="360" w:lineRule="auto" w:before="120" w:after="60"/>
        <w:jc w:val="left"/>
        <w:rPr>
          <w:rFonts w:hint="default" w:ascii="Times New Roman" w:hAnsi="Times New Roman" w:eastAsia="黑体"/>
          <w:lang w:val="en-US" w:eastAsia="zh-CN"/>
        </w:rPr>
      </w:pPr>
      <w:r>
        <w:rPr>
          <w:b/>
          <w:rFonts w:ascii="Times New Roman" w:hAnsi="Times New Roman" w:eastAsia="黑体" w:cs="黑体"/>
          <w:sz w:val="24"/>
          <w:szCs w:val="24"/>
        </w:rPr>
        <w:t>3.2.1</w:t>
      </w:r>
      <w:r>
        <w:rPr>
          <w:b/>
          <w:rFonts w:hint="eastAsia" w:ascii="Times New Roman" w:hAnsi="Times New Roman" w:eastAsia="黑体" w:cs="黑体"/>
          <w:lang w:val="en-US" w:eastAsia="zh-CN"/>
          <w:sz w:val="24"/>
          <w:szCs w:val="24"/>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rPr>
          <w:color w:val="000000"/>
          <w:sz w:val="24"/>
          <w:szCs w:val="24"/>
        </w:rPr>
        <w:jc w:val="both"/>
      </w:pPr>
      <w:r>
        <w:rPr>
          <w:rStyle w:val="36"/>
          <w:rFonts w:eastAsia="宋体" w:ascii="Times New Roman" w:hAnsi="Times New Roman" w:cs="宋体"/>
          <w:bCs/>
          <w:color w:val="000000"/>
          <w:sz w:val="24"/>
          <w:szCs w:val="24"/>
        </w:rPr>
        <w:t>H1</w:t>
      </w:r>
      <w:r>
        <w:rPr>
          <w:rFonts w:eastAsia="宋体" w:ascii="Times New Roman" w:hAnsi="Times New Roman" w:cs="宋体"/>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rPr>
          <w:color w:val="000000"/>
          <w:sz w:val="24"/>
          <w:szCs w:val="24"/>
        </w:rPr>
        <w:jc w:val="both"/>
      </w:pPr>
      <w:r>
        <w:rPr>
          <w:rStyle w:val="36"/>
          <w:rFonts w:eastAsia="宋体" w:ascii="Times New Roman" w:hAnsi="Times New Roman" w:cs="宋体"/>
          <w:bCs/>
          <w:color w:val="000000"/>
          <w:sz w:val="24"/>
          <w:szCs w:val="24"/>
        </w:rPr>
        <w:t>H2</w:t>
      </w:r>
      <w:r>
        <w:rPr>
          <w:rFonts w:eastAsia="宋体" w:ascii="Times New Roman" w:hAnsi="Times New Roman" w:cs="宋体"/>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rPr>
          <w:color w:val="000000"/>
          <w:sz w:val="24"/>
          <w:szCs w:val="24"/>
        </w:rPr>
        <w:jc w:val="both"/>
      </w:pPr>
      <w:r>
        <w:rPr>
          <w:rStyle w:val="36"/>
          <w:rFonts w:eastAsia="宋体" w:ascii="Times New Roman" w:hAnsi="Times New Roman" w:cs="宋体"/>
          <w:bCs/>
          <w:color w:val="000000"/>
          <w:sz w:val="24"/>
          <w:szCs w:val="24"/>
        </w:rPr>
        <w:t>H3</w:t>
      </w:r>
      <w:r>
        <w:rPr>
          <w:rFonts w:eastAsia="宋体" w:ascii="Times New Roman" w:hAnsi="Times New Roman" w:cs="宋体"/>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rPr>
          <w:color w:val="000000"/>
          <w:sz w:val="24"/>
          <w:szCs w:val="24"/>
        </w:rPr>
        <w:jc w:val="both"/>
      </w:pPr>
      <w:r>
        <w:rPr>
          <w:rStyle w:val="36"/>
          <w:rFonts w:eastAsia="宋体" w:ascii="Times New Roman" w:hAnsi="Times New Roman" w:cs="宋体"/>
          <w:bCs/>
          <w:color w:val="000000"/>
          <w:sz w:val="24"/>
          <w:szCs w:val="24"/>
        </w:rPr>
        <w:t>H4</w:t>
      </w:r>
      <w:r>
        <w:rPr>
          <w:rFonts w:eastAsia="宋体" w:ascii="Times New Roman" w:hAnsi="Times New Roman" w:cs="宋体"/>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rPr>
          <w:color w:val="000000"/>
          <w:sz w:val="24"/>
          <w:szCs w:val="24"/>
        </w:rPr>
        <w:jc w:val="both"/>
      </w:pPr>
      <w:r>
        <w:rPr>
          <w:rStyle w:val="36"/>
          <w:rFonts w:eastAsia="宋体" w:ascii="Times New Roman" w:hAnsi="Times New Roman" w:cs="宋体"/>
          <w:bCs/>
          <w:color w:val="000000"/>
          <w:sz w:val="24"/>
          <w:szCs w:val="24"/>
        </w:rPr>
        <w:t>H5</w:t>
      </w:r>
      <w:r>
        <w:rPr>
          <w:rFonts w:eastAsia="宋体" w:ascii="Times New Roman" w:hAnsi="Times New Roman" w:cs="宋体"/>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Chars="0" w:right="0" w:rightChars="0" w:firstLine="480" w:firstLineChars="0"/>
        <w:jc w:val="both"/>
      </w:pPr>
      <w:r>
        <w:rPr>
          <w:rStyle w:val="36"/>
          <w:rFonts w:eastAsia="宋体" w:ascii="Times New Roman" w:hAnsi="Times New Roman" w:cs="宋体"/>
          <w:bCs/>
          <w:color w:val="000000"/>
          <w:sz w:val="24"/>
          <w:szCs w:val="24"/>
        </w:rPr>
        <w:t>H6</w:t>
      </w:r>
      <w:r>
        <w:rPr>
          <w:rFonts w:eastAsia="宋体" w:ascii="Times New Roman" w:hAnsi="Times New Roman" w:cs="宋体"/>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360" w:lineRule="auto" w:before="120" w:after="60"/>
        <w:jc w:val="left"/>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360" w:lineRule="auto"/>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160" w:after="80" w:line="360" w:lineRule="auto"/>
        <w:ind w:firstLine="0" w:firstLineChars="0"/>
        <w:rPr>
          <w:szCs w:val="21"/>
        </w:rPr>
        <w:jc w:val="left"/>
      </w:pPr>
      <w:bookmarkStart w:id="57"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7"/>
    </w:p>
    <w:p w14:paraId="0501FE36">
      <w:pPr>
        <w:pStyle w:val="4"/>
        <w:tabs>
          <w:tab w:val="clear" w:pos="561"/>
          <w:tab w:val="clear" w:pos="720"/>
        </w:tabs>
        <w:overflowPunct/>
        <w:spacing w:line="360" w:lineRule="auto" w:before="120" w:after="60"/>
        <w:jc w:val="left"/>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360" w:lineRule="auto" w:before="120" w:after="60"/>
        <w:jc w:val="left"/>
        <w:rPr>
          <w:rFonts w:hint="eastAsia" w:ascii="Times New Roman" w:hAnsi="Times New Roman"/>
          <w:lang w:val="en-US" w:eastAsia="zh-CN"/>
        </w:rPr>
      </w:pPr>
      <w:r>
        <w:rPr>
          <w:b/>
          <w:rFonts w:eastAsia="黑体" w:ascii="Times New Roman" w:hAnsi="Times New Roman" w:cs="黑体"/>
          <w:sz w:val="24"/>
          <w:szCs w:val="24"/>
        </w:rPr>
        <w:t>3.3.2 核心变量测量与问卷题项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本文各核心变量的测量题项均借鉴国内外相关领域已通过信效度验证的成熟量表，并结合烟台集群电商的情境特征加以改编，采用李克特五点量表</w:t>
      </w:r>
      <w:r>
        <w:rPr>
          <w:rStyle w:val="FootnoteReference"/>
        </w:rPr>
        <w:footnoteReference w:id="4"/>
      </w:r>
      <w:r>
        <w:rPr>
          <w:rFonts w:eastAsia="宋体" w:ascii="Times New Roman" w:hAnsi="Times New Roman" w:cs="宋体"/>
          <w:sz w:val="24"/>
          <w:szCs w:val="24"/>
        </w:rPr>
        <w:t xml:space="preserve">（1="完全不认同"，5="完全认同"）进行测量，具体题项如下所示（见表3-2）：</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政府政策与集群治理（GP）（改编自 Tornatzky &amp; Fleischer，1990；吴结兵等，2016）：① GP1：当地政府出台的电商扶持政策与本地集群电商的实际发展需求相符合；② GP2：当地政府的电商集群统筹规划与治理举措有助于产业规范有序地发展；③ GP3：政府部门在电商产业监管约束与公共服务供给方面保持了合理平衡。</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人才支撑（TS）（改编自 Chang &amp; Chen，2004；李海舰等，2018）：① TS1：当地电商行业专业运营与技术人才的整体供给水平与企业实际发展需求相匹配；② TS2：当地高校与职业培训机构向电商行业持续输送了具备专业素质的人才；③ TS3：当地电商企业在专业人才招募与留存方面总体上能够获得充足的人力资源支持。</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基础设施建设（IF）（改编自 Iacovou et al.，1995；刘笑尘等，2020）：① IF1：当地网络通信（宽带/5G）等数字化基础设施的建设水平能够基本满足电商业务的日常运营需求；② IF2：当地物流配送、仓储等电商配套基础设施的整体布局能够支撑集群电商的规模化运营；③ IF3：当地交通基础设施的整体条件有助于保障电商货物流通与市场覆盖效率。</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技术创新水平（TI）（改编自 Rogers，1995；鲁耀斌等，2022）：① TI1：当地电商企业总体上具备将数字化运营技术应用于日常经营的基本能力；② TI2：大数据分析、直播及短视频等新兴数字技术在当地电商企业中得到了一定程度的实际应用；③ TI3：政府部门或行业组织向有技术升级需求的电商主体提供了一定的技术支持与辅导服务。</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本地电商平台与数字技能（DS）（改编自 Venkatesh et al.，2003；张伟，2024）：① DS1：当地特色电商平台具有一定的市场规模与区域品牌影响力；② DS2：当地电商从业者总体上具备从事线上运营所需的基本数字操作与平台运营技能；③ DS3：当地电商经营主体在推进数字化转型与技能提升方面具有一定的主动意愿。</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自然环境与资源禀赋（EN）（改编自 Barney，1991；刘强等，2021）：① EN1：当地自然环境与地理条件对特色农产品、海产品等电商主力品类的品质形成具有客观支撑作用；② EN2：当地特色自然资源为集群电商产品的差异化竞争优势奠定了一定的资源基础；③ EN3：当地对自然资源与产业资源的整合开发效率能够在一定程度上支撑电商集群的规模化发展。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rPr>
          <w:rFonts w:ascii="宋体" w:hAnsi="宋体" w:eastAsia="宋体" w:cs="宋体"/>
          <w:color w:val="000000"/>
          <w:kern w:val="0"/>
          <w:sz w:val="24"/>
          <w:szCs w:val="24"/>
          <w:lang w:val="en-US" w:eastAsia="zh-CN" w:bidi="ar"/>
        </w:rPr>
        <w:jc w:val="both"/>
      </w:pPr>
      <w:r>
        <w:rPr>
          <w:rFonts w:eastAsia="宋体" w:ascii="Times New Roman" w:hAnsi="Times New Roman" w:cs="宋体"/>
          <w:sz w:val="24"/>
          <w:szCs w:val="24"/>
        </w:rPr>
        <w:t>集群电商发展水平（CDL）（改编自 Lin &amp; Chen，2007；张伟，2024）：① CDL1：烟台地区集群电商的整体发展规模与产业成熟度处于相对良好的水平；② CDL2：烟台集群电商对带动区域就业增长和特色产业产品线上销售具有积极促进作用；③ CDL3：烟台集群电商的数字化运营水平与长期可持续发展能力总体上处于较好状态。　　以上各题项均采用李克特五点量表（1=“完全不认同”，5=“完全认同”）进行测量，以确保与前因变量测量方式一致，满足SEM分析的测量模型要求。</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160" w:after="80" w:line="360" w:lineRule="auto"/>
        <w:ind w:firstLine="0" w:firstLineChars="0"/>
        <w:rPr>
          <w:rFonts w:hint="default"/>
          <w:lang w:val="en-US" w:eastAsia="zh-CN"/>
        </w:rPr>
        <w:jc w:val="left"/>
      </w:pPr>
      <w:bookmarkStart w:id="58"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8"/>
    </w:p>
    <w:p w14:paraId="7035280A">
      <w:pPr>
        <w:pStyle w:val="4"/>
        <w:tabs>
          <w:tab w:val="clear" w:pos="561"/>
          <w:tab w:val="clear" w:pos="720"/>
        </w:tabs>
        <w:overflowPunct/>
        <w:spacing w:line="360" w:lineRule="auto" w:before="120" w:after="60"/>
        <w:jc w:val="left"/>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color w:val="000000"/>
          <w:sz w:val="24"/>
          <w:szCs w:val="24"/>
        </w:rPr>
        <w:jc w:val="left"/>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160" w:after="80" w:line="360" w:lineRule="auto"/>
        <w:ind w:firstLine="0" w:firstLineChars="0"/>
        <w:rPr>
          <w:rFonts w:hint="default"/>
          <w:szCs w:val="21"/>
          <w:lang w:val="en-US" w:eastAsia="zh-CN"/>
        </w:rPr>
        <w:jc w:val="left"/>
      </w:pPr>
      <w:bookmarkStart w:id="59"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rFonts w:hint="default"/>
          <w:color w:val="000000"/>
          <w:sz w:val="24"/>
          <w:szCs w:val="24"/>
          <w:lang w:val="en-US" w:eastAsia="zh-CN"/>
        </w:rPr>
        <w:jc w:val="left"/>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20" w:beforeAutospacing="0" w:after="60" w:afterAutospacing="0" w:line="360" w:lineRule="auto"/>
        <w:ind w:left="0" w:right="0"/>
        <w:rPr>
          <w:color w:val="000000"/>
          <w:sz w:val="24"/>
          <w:szCs w:val="24"/>
        </w:rPr>
        <w:jc w:val="left"/>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r>
        <w:br w:type="page"/>
      </w:r>
    </w:p>
    <w:p>
      <w:pPr>
        <w:pStyle w:val="2"/>
        <w:spacing w:before="240" w:after="120" w:line="360" w:lineRule="auto"/>
        <w:jc w:val="center"/>
      </w:pPr>
      <w:r>
        <w:rPr>
          <w:b/>
          <w:rFonts w:eastAsia="黑体" w:ascii="Times New Roman" w:hAnsi="Times New Roman" w:cs="黑体"/>
          <w:sz w:val="32"/>
          <w:szCs w:val="32"/>
        </w:rPr>
        <w:t>第四章 实证分析</w:t>
      </w:r>
    </w:p>
    <w:p>
      <w:pPr>
        <w:pStyle w:val="3"/>
        <w:spacing w:before="160" w:after="80" w:line="360" w:lineRule="auto"/>
        <w:jc w:val="left"/>
      </w:pPr>
      <w:r>
        <w:rPr>
          <w:b/>
          <w:rFonts w:eastAsia="黑体" w:ascii="Times New Roman" w:hAnsi="Times New Roman" w:cs="黑体"/>
          <w:sz w:val="28"/>
          <w:szCs w:val="28"/>
        </w:rPr>
        <w:t>4.1 数据质量检验</w:t>
      </w:r>
    </w:p>
    <w:p>
      <w:pPr>
        <w:pStyle w:val="4"/>
        <w:spacing w:before="120" w:after="60" w:line="360" w:lineRule="auto"/>
        <w:jc w:val="left"/>
      </w:pPr>
      <w:r>
        <w:rPr>
          <w:b/>
          <w:rFonts w:eastAsia="黑体" w:ascii="Times New Roman" w:hAnsi="Times New Roman" w:cs="黑体"/>
          <w:sz w:val="24"/>
          <w:szCs w:val="24"/>
        </w:rPr>
        <w:t>4.1.1 样本描述性统计</w:t>
      </w:r>
    </w:p>
    <w:p>
      <w:pPr>
        <w:spacing w:before="0" w:after="0" w:line="360" w:lineRule="auto"/>
        <w:jc w:val="both"/>
        <w:ind w:firstLine="480"/>
      </w:pPr>
      <w:r>
        <w:rPr>
          <w:rFonts w:eastAsia="宋体" w:ascii="Times New Roman" w:hAnsi="Times New Roman" w:cs="宋体"/>
          <w:sz w:val="24"/>
          <w:szCs w:val="24"/>
        </w:rPr>
        <w:t>本文正式调研共回收问卷508份，其中有效问卷467份（有效率91.9%），剔除作答时间过短（低于60秒）、答案明显规律化以及核心题项缺失的无效问卷41份。有效样本基本特征如下：性别方面，男性占47.5%，女性占52.5%；年龄方面，25—35岁占38.1%，36—45岁占29.7%，18—24岁占17.8%，45岁以上占14.4%；学历方面，大专及以下占31.3%，本科占48.2%，研究生及以上占20.5%；职业方面，电商从业者占36.4%，电商企业经营者/管理者占28.9%，配套服务从业者占18.3%，政府相关人员占16.4%。</w:t>
      </w:r>
    </w:p>
    <w:p>
      <w:pPr>
        <w:spacing w:before="0" w:after="0" w:line="360" w:lineRule="auto"/>
        <w:jc w:val="both"/>
        <w:ind w:firstLine="480"/>
      </w:pPr>
      <w:r>
        <w:rPr>
          <w:rFonts w:eastAsia="宋体" w:ascii="Times New Roman" w:hAnsi="Times New Roman" w:cs="宋体"/>
          <w:sz w:val="24"/>
          <w:szCs w:val="24"/>
        </w:rPr>
        <w:t>各核心变量描述统计如表4-1所示：前因变量均值在2.573至3.636之间，标准差在0.909至0.949之间。各变量中位数存在明显差异：GP中位数3.000，TS中位数2.667（反映人才供给相对不足），IF中位数3.333，TI中位数3.000，DS中位数3.000，EN中位数3.667（反映烟台自然禀赋较强），CDL中位数3.333。各变量偏度绝对值&lt;2，峰度绝对值&lt;7，满足正态分布近似要求。</w:t>
      </w:r>
    </w:p>
    <w:p>
      <w:pPr>
        <w:spacing w:before="0" w:after="0" w:line="360" w:lineRule="auto"/>
        <w:jc w:val="both"/>
        <w:ind w:firstLine="480"/>
      </w:pPr>
      <w:r>
        <w:rPr>
          <w:rFonts w:eastAsia="宋体" w:ascii="Times New Roman" w:hAnsi="Times New Roman" w:cs="宋体"/>
          <w:sz w:val="24"/>
          <w:szCs w:val="24"/>
        </w:rPr>
        <w:t>表4-1  各核心变量描述统计</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变量</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均值</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标准差</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最小值</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最大值</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中位数</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GP（政府政策）</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0.943</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TS（人才支撑）</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2.573</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0.909</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2.667</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IF（基础设施）</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3.321</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0.949</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3.333</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TI（技术创新）</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2.941</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0.938</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DS（数字技能）</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3.178</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0.930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EN（资源禀赋）</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3.636</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0.908</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3.667</w:t>
            </w:r>
          </w:p>
        </w:tc>
      </w:tr>
      <w:tr>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CDL（发展水平）</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3.240</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0.941</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1.000</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5.000</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3.333</w:t>
            </w:r>
          </w:p>
        </w:tc>
      </w:tr>
    </w:tbl>
    <w:p>
      <w:pPr>
        <w:pStyle w:val="4"/>
        <w:spacing w:before="120" w:after="60" w:line="360" w:lineRule="auto"/>
        <w:jc w:val="left"/>
      </w:pPr>
      <w:r>
        <w:rPr>
          <w:b/>
          <w:rFonts w:eastAsia="黑体" w:ascii="Times New Roman" w:hAnsi="Times New Roman" w:cs="黑体"/>
          <w:sz w:val="24"/>
          <w:szCs w:val="24"/>
        </w:rPr>
        <w:t>4.1.2 共同方法偏差检验</w:t>
      </w:r>
    </w:p>
    <w:p>
      <w:pPr>
        <w:spacing w:before="0" w:after="0" w:line="360" w:lineRule="auto"/>
        <w:jc w:val="both"/>
        <w:ind w:firstLine="480"/>
      </w:pPr>
      <w:r>
        <w:rPr>
          <w:rFonts w:eastAsia="宋体" w:ascii="Times New Roman" w:hAnsi="Times New Roman" w:cs="宋体"/>
          <w:sz w:val="24"/>
          <w:szCs w:val="24"/>
        </w:rPr>
        <w:t>采用Harman单因子检验法</w:t>
      </w:r>
      <w:r>
        <w:rPr>
          <w:rStyle w:val="FootnoteReference"/>
        </w:rPr>
        <w:footnoteReference w:id="5"/>
      </w:r>
      <w:r>
        <w:rPr>
          <w:rFonts w:eastAsia="宋体" w:ascii="Times New Roman" w:hAnsi="Times New Roman" w:cs="宋体"/>
          <w:sz w:val="24"/>
          <w:szCs w:val="24"/>
        </w:rPr>
        <w:t xml:space="preserve">对共同方法偏差进行检验。将全部21个测量题项纳入EFA，不旋转情况下提取因子，结果显示第一个未旋转因子解释方差为30.6%，低于40%的临界阈值（Podsakoff et al., 2003），表明本研究共同方法偏差问题在可接受范围内，不影响研究结论的可靠性。</w:t>
      </w:r>
    </w:p>
    <w:p>
      <w:pPr>
        <w:pStyle w:val="3"/>
        <w:spacing w:before="160" w:after="80" w:line="360" w:lineRule="auto"/>
        <w:jc w:val="left"/>
      </w:pPr>
      <w:r>
        <w:rPr>
          <w:b/>
          <w:rFonts w:eastAsia="黑体" w:ascii="Times New Roman" w:hAnsi="Times New Roman" w:cs="黑体"/>
          <w:sz w:val="28"/>
          <w:szCs w:val="28"/>
        </w:rPr>
        <w:t>4.2 信度与效度检验</w:t>
      </w:r>
    </w:p>
    <w:p>
      <w:pPr>
        <w:pStyle w:val="4"/>
        <w:spacing w:before="120" w:after="60" w:line="360" w:lineRule="auto"/>
        <w:jc w:val="left"/>
      </w:pPr>
      <w:r>
        <w:rPr>
          <w:b/>
          <w:rFonts w:eastAsia="黑体" w:ascii="Times New Roman" w:hAnsi="Times New Roman" w:cs="黑体"/>
          <w:sz w:val="24"/>
          <w:szCs w:val="24"/>
        </w:rPr>
        <w:t>4.2.1 信度分析</w:t>
      </w:r>
    </w:p>
    <w:p>
      <w:pPr>
        <w:spacing w:before="0" w:after="0" w:line="360" w:lineRule="auto"/>
        <w:jc w:val="both"/>
        <w:ind w:firstLine="480"/>
      </w:pPr>
      <w:r>
        <w:rPr>
          <w:rFonts w:eastAsia="宋体" w:ascii="Times New Roman" w:hAnsi="Times New Roman" w:cs="宋体"/>
          <w:sz w:val="24"/>
          <w:szCs w:val="24"/>
        </w:rPr>
        <w:t>以Cronbach α&gt;0.7为可接受信度标准（Nunnally, 1978），各维度量表信度检验结果如表4-2所示：七个变量α系数均在0.750至0.784之间，均满足信度要求，量表内部一致性良好。</w:t>
      </w:r>
    </w:p>
    <w:p>
      <w:pPr>
        <w:pStyle w:val="4"/>
        <w:spacing w:before="120" w:after="60" w:line="360" w:lineRule="auto"/>
        <w:jc w:val="left"/>
      </w:pPr>
      <w:r>
        <w:rPr>
          <w:b/>
          <w:rFonts w:eastAsia="黑体" w:ascii="Times New Roman" w:hAnsi="Times New Roman" w:cs="黑体"/>
          <w:sz w:val="24"/>
          <w:szCs w:val="24"/>
        </w:rPr>
        <w:t>4.2.2 收敛效度</w:t>
      </w:r>
    </w:p>
    <w:p>
      <w:pPr>
        <w:spacing w:before="0" w:after="0" w:line="360" w:lineRule="auto"/>
        <w:jc w:val="both"/>
        <w:ind w:firstLine="480"/>
      </w:pPr>
      <w:r>
        <w:rPr>
          <w:rFonts w:eastAsia="宋体" w:ascii="Times New Roman" w:hAnsi="Times New Roman" w:cs="宋体"/>
          <w:sz w:val="24"/>
          <w:szCs w:val="24"/>
        </w:rPr>
        <w:t>采用AMOS 24.0进行验证性因子分析（CFA），以FL&gt;0.5、AVE&gt;0.5、CR&gt;0.7作为收敛效度标准（Hair et al., 2010）。检验结果如表4-2：所有题项FL在0.780至0.864之间，各维度AVE在0.667至0.698之间，CR在0.857至0.874之间，均满足标准。7因子EFA累积方差解释率为68.8%，量表具有良好的收敛效度。</w:t>
      </w:r>
    </w:p>
    <w:p>
      <w:pPr>
        <w:spacing w:before="0" w:after="0" w:line="360" w:lineRule="auto"/>
        <w:jc w:val="both"/>
        <w:ind w:firstLine="480"/>
      </w:pPr>
      <w:r>
        <w:rPr>
          <w:rFonts w:eastAsia="宋体" w:ascii="Times New Roman" w:hAnsi="Times New Roman" w:cs="宋体"/>
          <w:sz w:val="24"/>
          <w:szCs w:val="24"/>
        </w:rPr>
        <w:t>表4-2  信度与效度检验结果</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维度</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题项</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因子载荷(FL)</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题项信度(FL²)</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Cronbach α</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AVE</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CR</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政府政策(GP)</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0.756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0.860</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人才支撑(TS)</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0.689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0.755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0.859</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基础设施(IF)</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0.728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0.774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0.690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0.870</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0.684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0.658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技术创新(TI)</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0.694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0.750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0.857</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0.697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0.780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0.608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数字技能(DS)</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0.681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0.771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0.686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0.867</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0.699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资源禀赋(EN)</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0.807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0.651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0.761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0.677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0.863</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0.729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0.806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0.650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发展水平(CDL)</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0.772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0.687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0.868</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0.738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r>
          </w:p>
        </w:tc>
      </w:tr>
      <w:tr>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4"/>
        <w:spacing w:before="120" w:after="60" w:line="360" w:lineRule="auto"/>
        <w:jc w:val="left"/>
      </w:pPr>
      <w:r>
        <w:rPr>
          <w:b/>
          <w:rFonts w:eastAsia="黑体" w:ascii="Times New Roman" w:hAnsi="Times New Roman" w:cs="黑体"/>
          <w:sz w:val="24"/>
          <w:szCs w:val="24"/>
        </w:rPr>
        <w:t>4.2.3 区分效度</w:t>
      </w:r>
    </w:p>
    <w:p>
      <w:pPr>
        <w:spacing w:before="0" w:after="0" w:line="360" w:lineRule="auto"/>
        <w:jc w:val="both"/>
        <w:ind w:firstLine="480"/>
      </w:pPr>
      <w:r>
        <w:rPr>
          <w:rFonts w:eastAsia="宋体" w:ascii="Times New Roman" w:hAnsi="Times New Roman" w:cs="宋体"/>
          <w:sz w:val="24"/>
          <w:szCs w:val="24"/>
        </w:rPr>
        <w:t>采用√AVE与相关系数比较法检验区分效度（Fornell &amp; Larcker, 1981）。结果如表4-3（对角线为√AVE，非对角线为两两相关系数）：七个变量√AVE均在0.817至0.836之间，所有相关系数均低于对应√AVE值，差距超过0.28，满足区分效度要求。</w:t>
      </w:r>
    </w:p>
    <w:p>
      <w:pPr>
        <w:spacing w:before="0" w:after="0" w:line="360" w:lineRule="auto"/>
        <w:jc w:val="both"/>
        <w:ind w:firstLine="480"/>
      </w:pPr>
      <w:r>
        <w:rPr>
          <w:rFonts w:eastAsia="宋体" w:ascii="Times New Roman" w:hAnsi="Times New Roman" w:cs="宋体"/>
          <w:sz w:val="24"/>
          <w:szCs w:val="24"/>
        </w:rPr>
        <w:t>表4-3  判别效度检验结果（对角线为√AVE）</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98"/>
        <w:gridCol w:w="1098"/>
        <w:gridCol w:w="1098"/>
        <w:gridCol w:w="1098"/>
        <w:gridCol w:w="1098"/>
        <w:gridCol w:w="1098"/>
        <w:gridCol w:w="1098"/>
        <w:gridCol w:w="1098"/>
      </w:tblGrid>
      <w:tr>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变量</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GP</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TS</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IF</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TI</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DS</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EN</w:t>
            </w:r>
          </w:p>
        </w:tc>
        <w:tc>
          <w:tcPr>
            <w:tcW w:type="dxa" w:w="1098"/>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CDL</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0.396</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0.479</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0.272</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0.157</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0.518</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0.396</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0.819</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0.294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0.200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0.531</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0.479</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0.831</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0.254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0.207</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0.178</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0.450</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0.272</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0.294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0.254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0.817</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0.424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0.305</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0.518</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0.200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0.207</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0.424</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0.828</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0.446</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0.426</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0.157</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0.178</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0.305</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0.446</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0.823</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0.475</w:t>
            </w:r>
          </w:p>
        </w:tc>
      </w:tr>
      <w:tr>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0.518</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0.531</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0.450</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0.518</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0.426</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0.475</w:t>
            </w:r>
          </w:p>
        </w:tc>
        <w:tc>
          <w:tcPr>
            <w:tcW w:type="dxa" w:w="109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0.836</w:t>
            </w:r>
          </w:p>
        </w:tc>
      </w:tr>
      <w:tr>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098"/>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3"/>
        <w:spacing w:before="160" w:after="80" w:line="360" w:lineRule="auto"/>
        <w:jc w:val="left"/>
      </w:pPr>
      <w:r>
        <w:rPr>
          <w:b/>
          <w:rFonts w:eastAsia="黑体" w:ascii="Times New Roman" w:hAnsi="Times New Roman" w:cs="黑体"/>
          <w:sz w:val="28"/>
          <w:szCs w:val="28"/>
        </w:rPr>
        <w:t>4.3 结构方程模型分析</w:t>
      </w:r>
    </w:p>
    <w:p>
      <w:pPr>
        <w:pStyle w:val="4"/>
        <w:spacing w:before="120" w:after="60" w:line="360" w:lineRule="auto"/>
        <w:jc w:val="left"/>
      </w:pPr>
      <w:r>
        <w:rPr>
          <w:b/>
          <w:rFonts w:eastAsia="黑体" w:ascii="Times New Roman" w:hAnsi="Times New Roman" w:cs="黑体"/>
          <w:sz w:val="24"/>
          <w:szCs w:val="24"/>
        </w:rPr>
        <w:t>4.3.1 模型设定与拟合检验</w:t>
      </w:r>
    </w:p>
    <w:p>
      <w:pPr>
        <w:spacing w:before="0" w:after="0" w:line="360" w:lineRule="auto"/>
        <w:jc w:val="both"/>
        <w:ind w:firstLine="480"/>
      </w:pPr>
      <w:r>
        <w:rPr>
          <w:rFonts w:eastAsia="宋体" w:ascii="Times New Roman" w:hAnsi="Times New Roman" w:cs="宋体"/>
          <w:sz w:val="24"/>
          <w:szCs w:val="24"/>
        </w:rPr>
        <w:t>本文构建部分中介结构方程模型（Partial Mediation SEM）：以基础设施（IF）为GP、TS对CDL影响的中介变量，以数字技能平台（DS）为TI、EN对CDL影响的中介变量，同时保留GP、TS、TI、EN对CDL的直接影响路径，共设置10条路径。模型拟合指标如表4-4所示，各指标均满足学术标准（Hu &amp; Bentler, 1999），表明部分中介SEM模型与数据拟合良好。</w:t>
      </w:r>
    </w:p>
    <w:p>
      <w:pPr>
        <w:spacing w:before="0" w:after="0" w:line="360" w:lineRule="auto"/>
        <w:jc w:val="both"/>
        <w:ind w:firstLine="480"/>
      </w:pPr>
      <w:r>
        <w:rPr>
          <w:rFonts w:eastAsia="宋体" w:ascii="Times New Roman" w:hAnsi="Times New Roman" w:cs="宋体"/>
          <w:sz w:val="24"/>
          <w:szCs w:val="24"/>
        </w:rPr>
        <w:t>表4-4  SEM模型拟合指标</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指标</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χ²/df</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RMSEA</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SRMR</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CFI</w:t>
            </w:r>
          </w:p>
        </w:tc>
        <w:tc>
          <w:tcPr>
            <w:tcW w:type="dxa" w:w="1464"/>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TLI</w:t>
            </w:r>
          </w:p>
        </w:tc>
      </w:tr>
      <w:tr>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判断标准</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&lt;3.0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&lt;0.08</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&lt;0.08</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&gt;0.90</w:t>
            </w:r>
          </w:p>
        </w:tc>
        <w:tc>
          <w:tcPr>
            <w:tcW w:type="dxa" w:w="146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&gt;0.90</w:t>
            </w:r>
          </w:p>
        </w:tc>
      </w:tr>
      <w:tr>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本文结果</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2.847</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0.061</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0.052</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0.951</w:t>
            </w:r>
          </w:p>
        </w:tc>
        <w:tc>
          <w:tcPr>
            <w:tcW w:type="dxa" w:w="1464"/>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r>
              <w:rPr>
                <w:rFonts w:eastAsia="宋体" w:ascii="Times New Roman" w:hAnsi="Times New Roman" w:cs="宋体"/>
                <w:sz w:val="21"/>
                <w:szCs w:val="21"/>
              </w:rPr>
              <w:t>0.945</w:t>
            </w:r>
          </w:p>
        </w:tc>
      </w:tr>
    </w:tbl>
    <w:p>
      <w:pPr>
        <w:pStyle w:val="4"/>
        <w:spacing w:before="120" w:after="60" w:line="360" w:lineRule="auto"/>
        <w:jc w:val="left"/>
      </w:pPr>
      <w:r>
        <w:rPr>
          <w:b/>
          <w:rFonts w:eastAsia="黑体" w:ascii="Times New Roman" w:hAnsi="Times New Roman" w:cs="黑体"/>
          <w:sz w:val="24"/>
          <w:szCs w:val="24"/>
        </w:rPr>
        <w:t>4.3.2 路径系数与假设检验</w:t>
      </w:r>
    </w:p>
    <w:p>
      <w:pPr>
        <w:spacing w:before="0" w:after="0" w:line="360" w:lineRule="auto"/>
        <w:jc w:val="both"/>
        <w:ind w:firstLine="480"/>
      </w:pPr>
      <w:r>
        <w:rPr>
          <w:rFonts w:eastAsia="宋体" w:ascii="Times New Roman" w:hAnsi="Times New Roman" w:cs="宋体"/>
          <w:sz w:val="24"/>
          <w:szCs w:val="24"/>
        </w:rPr>
        <w:t>SEM结构路径系数如表4-5所示。中介路径方面：GP→IF（β=0.345，p&lt;0.001），TS→IF（β=0.338，p&lt;0.001），TI→DS（β=0.317，p&lt;0.001），EN→DS（β=0.350，p&lt;0.001），均显著支持。直接效应方面：GP→CDL（β=0.257，p&lt;0.001），TS→CDL（β=0.260，p&lt;0.001），TI→CDL（β=0.230，p&lt;0.001），EN→CDL（β=0.262，p&lt;0.001）；IF→CDL（β=0.078，p=0.025），DS→CDL（β=0.100，p=0.004）。所有10条路径均在统计上显著，假设H1—H8全部获得支持。</w:t>
      </w:r>
    </w:p>
    <w:p>
      <w:pPr>
        <w:spacing w:before="0" w:after="0" w:line="360" w:lineRule="auto"/>
        <w:jc w:val="both"/>
        <w:ind w:firstLine="480"/>
      </w:pPr>
      <w:r>
        <w:rPr>
          <w:rFonts w:eastAsia="宋体" w:ascii="Times New Roman" w:hAnsi="Times New Roman" w:cs="宋体"/>
          <w:sz w:val="24"/>
          <w:szCs w:val="24"/>
        </w:rPr>
        <w:t>表4-5  SEM路径系数检验结果</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路径</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标准化路径系数(β)</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标准误(SE)</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临界比值(C.R.)</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P值</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显著性</w:t>
            </w:r>
          </w:p>
        </w:tc>
        <w:tc>
          <w:tcPr>
            <w:tcW w:type="dxa" w:w="1255"/>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假设结果</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IF←GP</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0.345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0.040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8.662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H1a支持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IF←TS</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0.338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0.040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8.475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H1b支持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DS←TI</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0.317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8.056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H2a支持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DS←EN</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0.350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8.881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H2b支持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CDL←GP</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0.257</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7.631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H3支持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CDL←TS</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0.260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7.689</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H4支持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CDL←TI</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0.230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6.956</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H5支持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CDL←EN</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0.262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0.032</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8.098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&lt;0.001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H6支持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CDL←IF</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0.078</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2.241</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0.025</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H7支持</w:t>
            </w:r>
          </w:p>
        </w:tc>
      </w:tr>
      <w:tr>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CDL←DS</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0.100</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2.934</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0.003</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w:t>
            </w:r>
          </w:p>
        </w:tc>
        <w:tc>
          <w:tcPr>
            <w:tcW w:type="dxa" w:w="1255"/>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H8支持</w:t>
            </w:r>
          </w:p>
        </w:tc>
      </w:tr>
      <w:tr>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255"/>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4"/>
        <w:spacing w:before="120" w:after="60" w:line="360" w:lineRule="auto"/>
        <w:jc w:val="left"/>
      </w:pPr>
      <w:r>
        <w:rPr>
          <w:b/>
          <w:rFonts w:eastAsia="黑体" w:ascii="Times New Roman" w:hAnsi="Times New Roman" w:cs="黑体"/>
          <w:sz w:val="24"/>
          <w:szCs w:val="24"/>
        </w:rPr>
        <w:t>4.3.3 中介效应检验</w:t>
      </w:r>
    </w:p>
    <w:p>
      <w:pPr>
        <w:spacing w:before="0" w:after="0" w:line="360" w:lineRule="auto"/>
        <w:jc w:val="both"/>
        <w:ind w:firstLine="480"/>
      </w:pPr>
      <w:r>
        <w:rPr>
          <w:rFonts w:eastAsia="宋体" w:ascii="Times New Roman" w:hAnsi="Times New Roman" w:cs="宋体"/>
          <w:sz w:val="24"/>
          <w:szCs w:val="24"/>
        </w:rPr>
        <w:t>采用Bootstrap方法（重抽样5000次</w:t>
      </w:r>
      <w:r>
        <w:rPr>
          <w:rStyle w:val="FootnoteReference"/>
        </w:rPr>
        <w:footnoteReference w:id="6"/>
      </w:r>
      <w:r>
        <w:rPr>
          <w:rFonts w:eastAsia="宋体" w:ascii="Times New Roman" w:hAnsi="Times New Roman" w:cs="宋体"/>
          <w:sz w:val="24"/>
          <w:szCs w:val="24"/>
        </w:rPr>
        <w:t xml:space="preserve">，95%置信区间）检验中介效应（Preacher &amp; Hayes, 2008）。结果如表4-6：四条间接效应置信区间均不包含0，中介效应显著。由于GP、TS、TI、EN对CDL的直接效应与间接效应均显著，IF和DS均发挥部分中介作用，部分中介模型得到验证。这表明基础设施与数字技能平台建设能够额外提升集群电商发展水平，但制度环境、人才、技术和资源等核心条件的直接驱动作用不可忽视。</w:t>
      </w:r>
    </w:p>
    <w:p>
      <w:pPr>
        <w:spacing w:before="0" w:after="0" w:line="360" w:lineRule="auto"/>
        <w:jc w:val="both"/>
        <w:ind w:firstLine="480"/>
      </w:pPr>
      <w:r>
        <w:rPr>
          <w:rFonts w:eastAsia="宋体" w:ascii="Times New Roman" w:hAnsi="Times New Roman" w:cs="宋体"/>
          <w:sz w:val="24"/>
          <w:szCs w:val="24"/>
        </w:rPr>
        <w:t>表4-6  Bootstrap中介效应检验结果（N=5000）</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路径</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间接效应</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SE</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95% CI下限</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95% CI上限</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GP→IF→CDL</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0.027</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0.010</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0.012</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0.048</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TS→IF→CDL</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0.026</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0.009</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0.011</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0.047</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TI→DS→CDL</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0.032</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0.011</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0.014</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0.054</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EN→DS→CDL</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0.035</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0.011</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0.016</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0.059</w:t>
            </w:r>
          </w:p>
        </w:tc>
      </w:tr>
      <w:tr>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3"/>
        <w:spacing w:before="160" w:after="80" w:line="360" w:lineRule="auto"/>
        <w:jc w:val="left"/>
      </w:pPr>
      <w:r>
        <w:rPr>
          <w:b/>
          <w:rFonts w:eastAsia="黑体" w:ascii="Times New Roman" w:hAnsi="Times New Roman" w:cs="黑体"/>
          <w:sz w:val="28"/>
          <w:szCs w:val="28"/>
        </w:rPr>
        <w:t>4.4 多重共线性检验</w:t>
      </w:r>
    </w:p>
    <w:p>
      <w:pPr>
        <w:spacing w:before="0" w:after="0" w:line="360" w:lineRule="auto"/>
        <w:jc w:val="both"/>
        <w:ind w:firstLine="480"/>
      </w:pPr>
      <w:r>
        <w:rPr>
          <w:rFonts w:eastAsia="宋体" w:ascii="Times New Roman" w:hAnsi="Times New Roman" w:cs="宋体"/>
          <w:sz w:val="24"/>
          <w:szCs w:val="24"/>
        </w:rPr>
        <w:t>多重共线性检验结果如表4-7所示：所有预测变量VIF均低于2.0（远低于10的临界值），容差均高于0.50（Hair et al., 2010），表明模型不存在多重共线性，估计结果可靠。</w:t>
      </w:r>
    </w:p>
    <w:p>
      <w:pPr>
        <w:spacing w:before="0" w:after="0" w:line="360" w:lineRule="auto"/>
        <w:jc w:val="both"/>
        <w:ind w:firstLine="480"/>
      </w:pPr>
      <w:r>
        <w:rPr>
          <w:rFonts w:eastAsia="宋体" w:ascii="Times New Roman" w:hAnsi="Times New Roman" w:cs="宋体"/>
          <w:sz w:val="24"/>
          <w:szCs w:val="24"/>
        </w:rPr>
        <w:t>表4-7  多重共线性检验结果</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tc>
          <w:tcPr>
            <w:tcW w:type="dxa" w:w="2929"/>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变量</w:t>
            </w:r>
          </w:p>
        </w:tc>
        <w:tc>
          <w:tcPr>
            <w:tcW w:type="dxa" w:w="2929"/>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容差(Tolerance)</w:t>
            </w:r>
          </w:p>
        </w:tc>
        <w:tc>
          <w:tcPr>
            <w:tcW w:type="dxa" w:w="2929"/>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VIF</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0.719</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1.390</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0.714</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1.400</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IF</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0.665</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1.502</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0.746</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1.341</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DS</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0.705</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1.419</w:t>
            </w:r>
          </w:p>
        </w:tc>
      </w:tr>
      <w:tr>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0.779</w:t>
            </w:r>
          </w:p>
        </w:tc>
        <w:tc>
          <w:tcPr>
            <w:tcW w:type="dxa" w:w="292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1.284</w:t>
            </w:r>
          </w:p>
        </w:tc>
      </w:tr>
      <w:tr>
        <w:tc>
          <w:tcPr>
            <w:tcW w:type="dxa" w:w="2929"/>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2929"/>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2929"/>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3"/>
        <w:spacing w:before="160" w:after="80" w:line="360" w:lineRule="auto"/>
        <w:jc w:val="left"/>
      </w:pPr>
      <w:r>
        <w:rPr>
          <w:b/>
          <w:rFonts w:eastAsia="黑体" w:ascii="Times New Roman" w:hAnsi="Times New Roman" w:cs="黑体"/>
          <w:sz w:val="28"/>
          <w:szCs w:val="28"/>
        </w:rPr>
        <w:t>4.5 模糊集定性比较分析（fsQCA）</w:t>
      </w:r>
    </w:p>
    <w:p>
      <w:pPr>
        <w:pStyle w:val="4"/>
        <w:spacing w:before="120" w:after="60" w:line="360" w:lineRule="auto"/>
        <w:jc w:val="left"/>
      </w:pPr>
      <w:r>
        <w:rPr>
          <w:b/>
          <w:rFonts w:eastAsia="黑体" w:ascii="Times New Roman" w:hAnsi="Times New Roman" w:cs="黑体"/>
          <w:sz w:val="24"/>
          <w:szCs w:val="24"/>
        </w:rPr>
        <w:t>4.5.1 变量校准</w:t>
      </w:r>
    </w:p>
    <w:p>
      <w:pPr>
        <w:spacing w:before="0" w:after="0" w:line="360" w:lineRule="auto"/>
        <w:jc w:val="both"/>
        <w:ind w:firstLine="480"/>
      </w:pPr>
      <w:r>
        <w:rPr>
          <w:rFonts w:eastAsia="宋体" w:ascii="Times New Roman" w:hAnsi="Times New Roman" w:cs="宋体"/>
          <w:sz w:val="24"/>
          <w:szCs w:val="24"/>
        </w:rPr>
        <w:t>采用直接校准法，以P5、P50、P95分别作为完全不隶属（0.05）、交叉点（0.50）、完全隶属（0.95）三个锚点（Fiss, 2011），对4个前因变量与CDL进行校准。校准锚点如表4-8所示。</w:t>
      </w:r>
    </w:p>
    <w:p>
      <w:pPr>
        <w:spacing w:before="0" w:after="0" w:line="360" w:lineRule="auto"/>
        <w:jc w:val="both"/>
        <w:ind w:firstLine="480"/>
      </w:pPr>
      <w:r>
        <w:rPr>
          <w:rFonts w:eastAsia="宋体" w:ascii="Times New Roman" w:hAnsi="Times New Roman" w:cs="宋体"/>
          <w:sz w:val="24"/>
          <w:szCs w:val="24"/>
        </w:rPr>
        <w:t>表4-8  fsQCA校准锚点</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tc>
          <w:tcPr>
            <w:tcW w:type="dxa" w:w="219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变量</w:t>
            </w:r>
          </w:p>
        </w:tc>
        <w:tc>
          <w:tcPr>
            <w:tcW w:type="dxa" w:w="219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完全不隶属(P5)</w:t>
            </w:r>
          </w:p>
        </w:tc>
        <w:tc>
          <w:tcPr>
            <w:tcW w:type="dxa" w:w="219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交叉点(P50)</w:t>
            </w:r>
          </w:p>
        </w:tc>
        <w:tc>
          <w:tcPr>
            <w:tcW w:type="dxa" w:w="219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完全隶属(P95)</w:t>
            </w:r>
          </w:p>
        </w:tc>
      </w:tr>
      <w:tr>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GP（政府政策）</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1.667</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4.333</w:t>
            </w:r>
          </w:p>
        </w:tc>
      </w:tr>
      <w:tr>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TS（人才支撑）</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1.333</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2.667</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4.000</w:t>
            </w:r>
          </w:p>
        </w:tc>
      </w:tr>
      <w:tr>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TI（技术创新）</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1.667</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3.000</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4.333</w:t>
            </w:r>
          </w:p>
        </w:tc>
      </w:tr>
      <w:tr>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EN（资源禀赋）</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2.000</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3.667</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5.000</w:t>
            </w:r>
          </w:p>
        </w:tc>
      </w:tr>
      <w:tr>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CDL（发展水平）</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1.667</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3.333</w:t>
            </w:r>
          </w:p>
        </w:tc>
        <w:tc>
          <w:tcPr>
            <w:tcW w:type="dxa" w:w="219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4.667</w:t>
            </w:r>
          </w:p>
        </w:tc>
      </w:tr>
      <w:tr>
        <w:tc>
          <w:tcPr>
            <w:tcW w:type="dxa" w:w="219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219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219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219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pStyle w:val="4"/>
        <w:spacing w:before="120" w:after="60" w:line="360" w:lineRule="auto"/>
        <w:jc w:val="left"/>
      </w:pPr>
      <w:r>
        <w:rPr>
          <w:b/>
          <w:rFonts w:eastAsia="黑体" w:ascii="Times New Roman" w:hAnsi="Times New Roman" w:cs="黑体"/>
          <w:sz w:val="24"/>
          <w:szCs w:val="24"/>
        </w:rPr>
        <w:t>4.5.2 必要条件检验</w:t>
      </w:r>
    </w:p>
    <w:p>
      <w:pPr>
        <w:spacing w:before="0" w:after="0" w:line="360" w:lineRule="auto"/>
        <w:jc w:val="both"/>
        <w:ind w:firstLine="480"/>
      </w:pPr>
      <w:r>
        <w:rPr>
          <w:rFonts w:eastAsia="宋体" w:ascii="Times New Roman" w:hAnsi="Times New Roman" w:cs="宋体"/>
          <w:sz w:val="24"/>
          <w:szCs w:val="24"/>
        </w:rPr>
        <w:t>对各前因条件进行必要性检验，以一致性≥0.9作为必要条件判断标准（Ragin, 2008）。检验结果：GP必要性一致性0.789，TS为0.752，TI为0.763，EN为0.759，均低于0.9的阈值，表明不存在单一必要条件，与组态理论假设一致。</w:t>
      </w:r>
    </w:p>
    <w:p>
      <w:pPr>
        <w:pStyle w:val="4"/>
        <w:spacing w:before="120" w:after="60" w:line="360" w:lineRule="auto"/>
        <w:jc w:val="left"/>
      </w:pPr>
      <w:r>
        <w:rPr>
          <w:b/>
          <w:rFonts w:eastAsia="黑体" w:ascii="Times New Roman" w:hAnsi="Times New Roman" w:cs="黑体"/>
          <w:sz w:val="24"/>
          <w:szCs w:val="24"/>
        </w:rPr>
        <w:t>4.5.3 充分条件组态分析</w:t>
      </w:r>
    </w:p>
    <w:p>
      <w:pPr>
        <w:spacing w:before="0" w:after="0" w:line="360" w:lineRule="auto"/>
        <w:jc w:val="both"/>
        <w:ind w:firstLine="480"/>
      </w:pPr>
      <w:r>
        <w:rPr>
          <w:rFonts w:eastAsia="宋体" w:ascii="Times New Roman" w:hAnsi="Times New Roman" w:cs="宋体"/>
          <w:sz w:val="24"/>
          <w:szCs w:val="24"/>
        </w:rPr>
        <w:t>设定频率阈值为5、原始一致性阈值为0.85，采用中间解进行组态分析。结果识别出5条充分条件组态路径（表4-9），总覆盖率0.832，总一致性0.871。</w:t>
      </w:r>
    </w:p>
    <w:p>
      <w:pPr>
        <w:spacing w:before="0" w:after="0" w:line="360" w:lineRule="auto"/>
        <w:jc w:val="both"/>
        <w:ind w:firstLine="480"/>
      </w:pPr>
      <w:r>
        <w:rPr>
          <w:rFonts w:eastAsia="宋体" w:ascii="Times New Roman" w:hAnsi="Times New Roman" w:cs="宋体"/>
          <w:sz w:val="24"/>
          <w:szCs w:val="24"/>
        </w:rPr>
        <w:t>表4-9  fsQCA充分条件组态分析结果（中间解）</w:t>
      </w:r>
    </w:p>
    <w:tbl>
      <w:tblPr>
        <w:tblStyle w:val="34"/>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组态路径</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含义</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一致性</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覆盖率</w:t>
            </w:r>
          </w:p>
        </w:tc>
        <w:tc>
          <w:tcPr>
            <w:tcW w:type="dxa" w:w="1757"/>
            <w:tcBorders>
              <w:left w:val="none" w:sz="0" w:space="0" w:color="auto"/>
              <w:right w:val="none" w:sz="0" w:space="0" w:color="auto"/>
              <w:insideH w:val="none" w:sz="0" w:space="0" w:color="auto"/>
              <w:insideV w:val="none" w:sz="0" w:space="0" w:color="auto"/>
              <w:top w:val="single" w:sz="12" w:space="0" w:color="000000"/>
              <w:bottom w:val="single" w:sz="6" w:space="0" w:color="000000"/>
            </w:tcBorders>
          </w:tcPr>
          <w:p>
            <w:pPr>
              <w:spacing w:before="60" w:after="60" w:line="276" w:lineRule="auto"/>
              <w:jc w:val="center"/>
              <w:ind/>
            </w:pPr>
            <w:r>
              <w:rPr>
                <w:b/>
                <w:rFonts w:eastAsia="宋体" w:ascii="Times New Roman" w:hAnsi="Times New Roman" w:cs="宋体"/>
                <w:sz w:val="21"/>
                <w:szCs w:val="21"/>
              </w:rPr>
              <w:t>路径类型</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GP*TS</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政府政策×人才支撑</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0.872</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0.655</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政策-人才协同驱动型</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GP*EN</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政府政策×资源禀赋</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0.862</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0.624</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政策-资源激活型</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TI*EN</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技术创新×资源禀赋</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0.854</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0.636</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技术-资源融合型</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TS*EN</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人才支撑×资源禀赋</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0.850</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0.595</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人才-资源互补型</w:t>
            </w:r>
          </w:p>
        </w:tc>
      </w:tr>
      <w:tr>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GP*TI</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政府政策×技术创新</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0.856</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0.636</w:t>
            </w:r>
          </w:p>
        </w:tc>
        <w:tc>
          <w:tcPr>
            <w:tcW w:type="dxa" w:w="175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60" w:after="60" w:line="276" w:lineRule="auto"/>
              <w:jc w:val="center"/>
              <w:ind/>
            </w:pPr>
            <w:r>
              <w:rPr>
                <w:rFonts w:eastAsia="宋体" w:ascii="Times New Roman" w:hAnsi="Times New Roman" w:cs="宋体"/>
                <w:sz w:val="21"/>
                <w:szCs w:val="21"/>
              </w:rPr>
              <w:t>政策-技术赋能型</w:t>
            </w:r>
          </w:p>
        </w:tc>
      </w:tr>
      <w:tr>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c>
          <w:tcPr>
            <w:tcW w:type="dxa" w:w="1757"/>
            <w:tcBorders>
              <w:left w:val="none" w:sz="0" w:space="0" w:color="auto"/>
              <w:right w:val="none" w:sz="0" w:space="0" w:color="auto"/>
              <w:insideH w:val="none" w:sz="0" w:space="0" w:color="auto"/>
              <w:insideV w:val="none" w:sz="0" w:space="0" w:color="auto"/>
              <w:bottom w:val="single" w:sz="12" w:space="0" w:color="000000"/>
            </w:tcBorders>
          </w:tcPr>
          <w:p>
            <w:pPr>
              <w:spacing w:before="60" w:after="60" w:line="276" w:lineRule="auto"/>
              <w:jc w:val="center"/>
              <w:ind/>
            </w:pPr>
          </w:p>
        </w:tc>
      </w:tr>
    </w:tbl>
    <w:p>
      <w:pPr>
        <w:spacing w:before="0" w:after="0" w:line="360" w:lineRule="auto"/>
        <w:jc w:val="both"/>
        <w:ind w:firstLine="480"/>
      </w:pPr>
      <w:r>
        <w:rPr>
          <w:rFonts w:eastAsia="宋体" w:ascii="Times New Roman" w:hAnsi="Times New Roman" w:cs="宋体"/>
          <w:sz w:val="24"/>
          <w:szCs w:val="24"/>
        </w:rPr>
        <w:t>从组态路径分析可得：</w:t>
        <w:br/>
        <w:t>（1）GP*TS（政策-人才协同驱动型，覆盖率最高为0.655）：政策保障与人才供给形成制度-人力协同效应；</w:t>
        <w:br/>
        <w:t>（2）GP*EN（政策-资源激活型）：政府政策激活烟台自然资源禀赋，将资源优势转化为电商竞争力；</w:t>
        <w:br/>
        <w:t>（3）TI*EN（技术-资源融合型）：技术创新与特色资源协同，体现"资源禀赋+技术赋能"双轮驱动；</w:t>
        <w:br/>
        <w:t>（4）TS*EN（人才-资源互补型）：技能人才能够更好地开发和利用本地资源；</w:t>
        <w:br/>
        <w:t>（5）GP*TI（政策-技术赋能型）：政策为技术创新应用提供制度支持。</w:t>
        <w:br/>
        <w:t>值得注意的是，自然资源禀赋（EN）出现在5条路径中的4条，表明其在烟台集群电商发展中具有重要的协同赋能地位。上述五条路径共同揭示了烟台集群电商高绩效发展的"殊途同归"特征，体现了组态理论的等效性原则（Equifinality）。</w:t>
      </w:r>
    </w:p>
    <w:sectPr>
      <w:headerReference r:id="rId26" w:type="default"/>
      <w:headerReference r:id="rId27" w:type="even"/>
      <w:footerReference r:id="rId28" w:type="even"/>
      <w:pgSz w:w="11906" w:h="16838"/>
      <w:pgMar w:top="1417" w:right="1417" w:bottom="1417" w:left="1701" w:header="850" w:footer="992"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 w:id="1">
    <w:p>
      <w:pPr>
        <w:pStyle w:val="FootnoteText"/>
      </w:pPr>
      <w:r>
        <w:rPr>
          <w:rStyle w:val="FootnoteReference"/>
        </w:rPr>
        <w:foot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footnote>
  <w:footnote w:id="2">
    <w:p>
      <w:pPr>
        <w:pStyle w:val="FootnoteText"/>
      </w:pPr>
      <w:r>
        <w:rPr>
          <w:rStyle w:val="FootnoteReference"/>
        </w:rPr>
        <w:footnoteRef/>
      </w:r>
      <w:r>
        <w:t xml:space="preserve"> 结构方程模型（Structural Equation Modeling, SEM）是一种融合路径分析与验证性因子分析的多变量统计方法，能同时估计多个潜变量间的因果关系。本文采用AMOS 24.0软件构建和检验SEM模型。</w:t>
      </w:r>
    </w:p>
  </w:footnote>
  <w:footnote w:id="3">
    <w:p>
      <w:pPr>
        <w:pStyle w:val="FootnoteText"/>
      </w:pPr>
      <w:r>
        <w:rPr>
          <w:rStyle w:val="FootnoteReference"/>
        </w:rPr>
        <w:foot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footnote>
  <w:footnote w:id="4">
    <w:p>
      <w:pPr>
        <w:pStyle w:val="FootnoteText"/>
      </w:pPr>
      <w:r>
        <w:rPr>
          <w:rStyle w:val="FootnoteReference"/>
        </w:rPr>
        <w:footnoteRef/>
      </w:r>
      <w:r>
        <w:t xml:space="preserve"> 李克特量表（Likert Scale）由美国社会心理学家Rensis Likert（1932）开发，是社会科学量化研究中使用最为广泛的测量工具之一。本文采用五点量表，从“1=完全不认同”到“5=完全认同”进行赋值。参见：Likert, R. (1932). A technique for the measurement of attitudes. Archives of Psychology, 22(140), 1–55.</w:t>
      </w:r>
    </w:p>
  </w:footnote>
  <w:footnote w:id="5">
    <w:p>
      <w:pPr>
        <w:pStyle w:val="FootnoteText"/>
      </w:pPr>
      <w:r>
        <w:rPr>
          <w:rStyle w:val="FootnoteReference"/>
        </w:rPr>
        <w:foot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footnote>
  <w:footnote w:id="6">
    <w:p>
      <w:pPr>
        <w:pStyle w:val="FootnoteText"/>
      </w:pPr>
      <w:r>
        <w:rPr>
          <w:rStyle w:val="FootnoteReference"/>
        </w:rPr>
        <w:footnoteRef/>
      </w:r>
      <w:r>
        <w:t xml:space="preserve"> Bootstrap自举法通过对原始样本进行重复有放回抽样，在无需假设正态分布的前提下构建中介效应置信区间，是目前检验间接效应最为稳健的方法。本文设定重抽样次数为5000次。参见：Preacher, K.J., &amp; Hayes, A.F. (2008). Asymptotic and resampling strategies for assessing and comparing indirect effects. Behavior Research Methods, 40(3), 879–891.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