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由表3-3可知，提取的6个公因子累积方差贡献率达到83.23%，能够充分解释原始变量信息。旋转后各因子载荷矩阵如表3-4所示。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2.519</w:t>
            </w:r>
          </w:p>
        </w:tc>
        <w:tc>
          <w:tcPr>
            <w:tcW w:w="1062" w:type="dxa"/>
          </w:tcPr>
          <w:p>
            <w:pPr>
              <w:jc w:val="center"/>
              <w:ind w:firstLine="0"/>
            </w:pPr>
            <w:r>
              <w:t xml:space="preserve">2.480</w:t>
            </w:r>
          </w:p>
        </w:tc>
        <w:tc>
          <w:tcPr>
            <w:tcW w:w="1062" w:type="dxa"/>
          </w:tcPr>
          <w:p>
            <w:pPr>
              <w:jc w:val="center"/>
              <w:ind w:firstLine="0"/>
            </w:pPr>
            <w:r>
              <w:t xml:space="preserve">2.652</w:t>
            </w:r>
          </w:p>
        </w:tc>
        <w:tc>
          <w:tcPr>
            <w:tcW w:w="1062" w:type="dxa"/>
          </w:tcPr>
          <w:p>
            <w:pPr>
              <w:jc w:val="center"/>
              <w:ind w:firstLine="0"/>
            </w:pPr>
            <w:r>
              <w:t xml:space="preserve">2.392</w:t>
            </w:r>
          </w:p>
        </w:tc>
        <w:tc>
          <w:tcPr>
            <w:tcW w:w="1062" w:type="dxa"/>
          </w:tcPr>
          <w:p>
            <w:pPr>
              <w:jc w:val="center"/>
              <w:ind w:firstLine="0"/>
            </w:pPr>
            <w:r>
              <w:t xml:space="preserve">2.676</w:t>
            </w:r>
          </w:p>
        </w:tc>
        <w:tc>
          <w:tcPr>
            <w:tcW w:w="1062" w:type="dxa"/>
          </w:tcPr>
          <w:p>
            <w:pPr>
              <w:jc w:val="center"/>
              <w:ind w:firstLine="0"/>
            </w:pPr>
            <w:r>
              <w:t xml:space="preserve">2.568</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14.00</w:t>
            </w:r>
          </w:p>
        </w:tc>
        <w:tc>
          <w:tcPr>
            <w:tcW w:w="1062" w:type="dxa"/>
          </w:tcPr>
          <w:p>
            <w:pPr>
              <w:jc w:val="center"/>
              <w:ind w:firstLine="0"/>
            </w:pPr>
            <w:r>
              <w:t xml:space="preserve">13.78</w:t>
            </w:r>
          </w:p>
        </w:tc>
        <w:tc>
          <w:tcPr>
            <w:tcW w:w="1062" w:type="dxa"/>
          </w:tcPr>
          <w:p>
            <w:pPr>
              <w:jc w:val="center"/>
              <w:ind w:firstLine="0"/>
            </w:pPr>
            <w:r>
              <w:t xml:space="preserve">14.73</w:t>
            </w:r>
          </w:p>
        </w:tc>
        <w:tc>
          <w:tcPr>
            <w:tcW w:w="1062" w:type="dxa"/>
          </w:tcPr>
          <w:p>
            <w:pPr>
              <w:jc w:val="center"/>
              <w:ind w:firstLine="0"/>
            </w:pPr>
            <w:r>
              <w:t xml:space="preserve">13.29</w:t>
            </w:r>
          </w:p>
        </w:tc>
        <w:tc>
          <w:tcPr>
            <w:tcW w:w="1062" w:type="dxa"/>
          </w:tcPr>
          <w:p>
            <w:pPr>
              <w:jc w:val="center"/>
              <w:ind w:firstLine="0"/>
            </w:pPr>
            <w:r>
              <w:t xml:space="preserve">14.87</w:t>
            </w:r>
          </w:p>
        </w:tc>
        <w:tc>
          <w:tcPr>
            <w:tcW w:w="1062" w:type="dxa"/>
          </w:tcPr>
          <w:p>
            <w:pPr>
              <w:jc w:val="center"/>
              <w:ind w:firstLine="0"/>
            </w:pPr>
            <w:r>
              <w:t xml:space="preserve">14.27</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14.00</w:t>
            </w:r>
          </w:p>
        </w:tc>
        <w:tc>
          <w:tcPr>
            <w:tcW w:w="1062" w:type="dxa"/>
          </w:tcPr>
          <w:p>
            <w:pPr>
              <w:jc w:val="center"/>
              <w:ind w:firstLine="0"/>
            </w:pPr>
            <w:r>
              <w:t xml:space="preserve">27.77</w:t>
            </w:r>
          </w:p>
        </w:tc>
        <w:tc>
          <w:tcPr>
            <w:tcW w:w="1062" w:type="dxa"/>
          </w:tcPr>
          <w:p>
            <w:pPr>
              <w:jc w:val="center"/>
              <w:ind w:firstLine="0"/>
            </w:pPr>
            <w:r>
              <w:t xml:space="preserve">42.51</w:t>
            </w:r>
          </w:p>
        </w:tc>
        <w:tc>
          <w:tcPr>
            <w:tcW w:w="1062" w:type="dxa"/>
          </w:tcPr>
          <w:p>
            <w:pPr>
              <w:jc w:val="center"/>
              <w:ind w:firstLine="0"/>
            </w:pPr>
            <w:r>
              <w:t xml:space="preserve">55.80</w:t>
            </w:r>
          </w:p>
        </w:tc>
        <w:tc>
          <w:tcPr>
            <w:tcW w:w="1062" w:type="dxa"/>
          </w:tcPr>
          <w:p>
            <w:pPr>
              <w:jc w:val="center"/>
              <w:ind w:firstLine="0"/>
            </w:pPr>
            <w:r>
              <w:t xml:space="preserve">70.66</w:t>
            </w:r>
          </w:p>
        </w:tc>
        <w:tc>
          <w:tcPr>
            <w:tcW w:w="1062" w:type="dxa"/>
          </w:tcPr>
          <w:p>
            <w:pPr>
              <w:jc w:val="center"/>
              <w:ind w:firstLine="0"/>
            </w:pPr>
            <w:r>
              <w:t xml:space="preserve">84.93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