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w:t>
      </w:r>
      <w:r>
        <w:rPr>
          <w:rFonts w:hint="eastAsia" w:ascii="宋体" w:hAnsi="宋体" w:cs="宋体"/>
          <w:color w:val="000000"/>
          <w:kern w:val="0"/>
          <w:sz w:val="24"/>
          <w:szCs w:val="24"/>
          <w:lang w:val="en-US" w:eastAsia="zh-CN" w:bidi="ar"/>
        </w:rPr>
        <w:t>农村</w:t>
      </w:r>
      <w:bookmarkStart w:id="60" w:name="_GoBack"/>
      <w:bookmarkEnd w:id="60"/>
      <w:r>
        <w:rPr>
          <w:rFonts w:ascii="宋体" w:hAnsi="宋体" w:eastAsia="宋体" w:cs="宋体"/>
          <w:color w:val="000000"/>
          <w:kern w:val="0"/>
          <w:sz w:val="24"/>
          <w:szCs w:val="24"/>
          <w:lang w:val="en-US" w:eastAsia="zh-CN" w:bidi="ar"/>
        </w:rPr>
        <w:t>地区集群电商为研究对象，基于 TOE 框架构建整合分析模型，确定政府政策与集群治理、人才支撑、基础设施建设、技术创新水平、本地电商平台与数字技能、自然环境与资源禀赋六大核心影响维度，采用 SEM 与 fsQCA 混合研究方法，系统探究集群电商发展的影响机制与高绩效组态路径。</w:t>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NumType w:fmt="upperRoman" w:start="1"/>
          <w:cols w:space="425" w:num="1"/>
          <w:docGrid w:linePitch="312" w:charSpace="0"/>
        </w:sectPr>
      </w:pPr>
      <w:r>
        <w:rPr>
          <w:sz w:val="28"/>
          <w:szCs w:val="28"/>
        </w:rPr>
        <w:tab/>
      </w:r>
      <w:r>
        <w:rPr>
          <w:b/>
          <w:sz w:val="28"/>
          <w:szCs w:val="28"/>
        </w:rPr>
        <w:t>关键词：</w:t>
      </w:r>
      <w:bookmarkStart w:id="15" w:name="_Toc355614274"/>
      <w:bookmarkStart w:id="16" w:name="_Toc355274224"/>
      <w:bookmarkStart w:id="17" w:name="_Toc355361238"/>
      <w:bookmarkStart w:id="18" w:name="_Toc355274958"/>
      <w:bookmarkStart w:id="19" w:name="_Toc355807472"/>
      <w:bookmarkStart w:id="20" w:name="_Toc355204233"/>
      <w:r>
        <w:rPr>
          <w:szCs w:val="28"/>
        </w:rPr>
        <w:t>农村电商集群</w:t>
      </w:r>
      <w:r>
        <w:rPr>
          <w:rFonts w:hint="eastAsia"/>
          <w:szCs w:val="28"/>
          <w:lang w:eastAsia="zh-CN"/>
        </w:rPr>
        <w:t>，</w:t>
      </w:r>
      <w:r>
        <w:rPr>
          <w:szCs w:val="28"/>
        </w:rPr>
        <w:t>SEM</w:t>
      </w:r>
      <w:r>
        <w:rPr>
          <w:rFonts w:hint="eastAsia"/>
          <w:szCs w:val="28"/>
          <w:lang w:eastAsia="zh-CN"/>
        </w:rPr>
        <w:t>，</w:t>
      </w:r>
      <w:r>
        <w:rPr>
          <w:szCs w:val="28"/>
        </w:rPr>
        <w:t>fsQCA</w:t>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53F445A">
      <w:pPr>
        <w:spacing w:line="400" w:lineRule="exact"/>
        <w:rPr>
          <w:rFonts w:ascii="宋体" w:hAnsi="宋体" w:eastAsia="宋体" w:cs="宋体"/>
          <w:sz w:val="24"/>
          <w:szCs w:val="24"/>
        </w:rPr>
      </w:pPr>
      <w:bookmarkStart w:id="26" w:name="OLE_LINK8"/>
      <w:r>
        <w:rPr>
          <w:rFonts w:ascii="宋体" w:hAnsi="宋体"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400" w:lineRule="exact"/>
        <w:ind w:firstLine="480"/>
        <w:rPr>
          <w:rFonts w:ascii="宋体" w:hAnsi="宋体" w:eastAsia="宋体" w:cs="宋体"/>
          <w:sz w:val="24"/>
          <w:szCs w:val="24"/>
        </w:rPr>
      </w:pPr>
      <w:r>
        <w:rPr>
          <w:rFonts w:ascii="宋体" w:hAnsi="宋体" w:eastAsia="宋体" w:cs="宋体"/>
          <w:sz w:val="24"/>
          <w:szCs w:val="24"/>
          <w:lang w:val="en-US" w:eastAsia="zh-CN"/>
        </w:rPr>
        <w:t xml:space="preserve">Taking Yantai's cluster e-commerce as the research object, this paper constructs an integrated analysis model based on the TOE framework, determines six core influence dimensions: government policy and cluster governance, talent support, infrastructure construction, technological innovation level, local e-commerce platform and digital skills, natural environment and resource endowment, and systematically explores the influence mechanism and high-performance configuration path of cluster e-commerce development by using the mixed research method of SEM and fsQCA. </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w:t>
      </w:r>
      <w:bookmarkStart w:id="27" w:name="OLE_LINK7"/>
      <w:r>
        <w:rPr>
          <w:rFonts w:ascii="宋体" w:hAnsi="宋体" w:eastAsia="宋体" w:cs="宋体"/>
          <w:sz w:val="24"/>
          <w:szCs w:val="24"/>
        </w:rPr>
        <w:t>Cluster E-commerce</w:t>
      </w:r>
      <w:r>
        <w:rPr>
          <w:rFonts w:hint="eastAsia" w:ascii="宋体" w:hAnsi="宋体" w:cs="宋体"/>
          <w:sz w:val="24"/>
          <w:szCs w:val="24"/>
          <w:lang w:eastAsia="zh-CN"/>
        </w:rPr>
        <w:t>，</w:t>
      </w:r>
      <w:r>
        <w:rPr>
          <w:rFonts w:ascii="宋体" w:hAnsi="宋体" w:eastAsia="宋体" w:cs="宋体"/>
          <w:sz w:val="24"/>
          <w:szCs w:val="24"/>
        </w:rPr>
        <w:t>Structural Equation Model</w:t>
      </w:r>
      <w:r>
        <w:rPr>
          <w:rFonts w:hint="eastAsia" w:ascii="宋体" w:hAnsi="宋体" w:cs="宋体"/>
          <w:sz w:val="24"/>
          <w:szCs w:val="24"/>
          <w:lang w:eastAsia="zh-CN"/>
        </w:rPr>
        <w:t>，</w:t>
      </w:r>
      <w:r>
        <w:rPr>
          <w:rFonts w:ascii="宋体" w:hAnsi="宋体" w:eastAsia="宋体" w:cs="宋体"/>
          <w:sz w:val="24"/>
          <w:szCs w:val="24"/>
        </w:rPr>
        <w:t>fsQCA</w:t>
      </w:r>
      <w:r>
        <w:rPr>
          <w:color w:val="000000" w:themeColor="text1"/>
          <w:sz w:val="28"/>
          <w:szCs w:val="28"/>
          <w14:textFill>
            <w14:solidFill>
              <w14:schemeClr w14:val="tx1"/>
            </w14:solidFill>
          </w14:textFill>
        </w:rPr>
        <w:t xml:space="preserve"> </w:t>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t>1.1研究背景及意义</w:t>
        <w:tab/>
        <w:t>1</w:t>
      </w:r>
      <w:r/>
      <w:r/>
      <w:r>
        <w:rPr>
          <w:szCs w:val="21"/>
          <w:lang w:val="en-US"/>
        </w:rPr>
      </w:r>
      <w:r>
        <w:rPr>
          <w:rFonts w:hint="eastAsia"/>
          <w:szCs w:val="21"/>
          <w:lang w:val="en-US" w:eastAsia="zh-CN"/>
        </w:rPr>
      </w:r>
      <w:r/>
      <w:r/>
      <w:r/>
      <w:r/>
      <w:r/>
      <w:r/>
      <w:r>
        <w:rPr>
          <w:color w:val="000000"/>
        </w:rPr>
      </w:r>
    </w:p>
    <w:p w14:paraId="2E6745E5">
      <w:pPr>
        <w:pStyle w:val="26"/>
        <w:tabs>
          <w:tab w:val="right" w:leader="dot" w:pos="8787"/>
        </w:tabs>
      </w:pPr>
      <w:r>
        <w:rPr>
          <w:color w:val="000000"/>
        </w:rPr>
        <w:t>1.2国内外研究现状（文献综述）</w:t>
        <w:tab/>
        <w:t>2</w:t>
      </w:r>
      <w:r/>
      <w:r/>
      <w:r>
        <w:rPr>
          <w:szCs w:val="21"/>
          <w:lang w:val="en-US"/>
        </w:rPr>
      </w:r>
      <w:r>
        <w:rPr>
          <w:rFonts w:hint="eastAsia"/>
          <w:szCs w:val="21"/>
          <w:lang w:val="en-US" w:eastAsia="zh-CN"/>
        </w:rPr>
      </w:r>
      <w:r/>
      <w:r/>
      <w:r/>
      <w:r/>
      <w:r/>
      <w:r/>
      <w:r>
        <w:rPr>
          <w:color w:val="000000"/>
        </w:rPr>
      </w:r>
    </w:p>
    <w:p w14:paraId="15C24EF9">
      <w:pPr>
        <w:pStyle w:val="26"/>
        <w:tabs>
          <w:tab w:val="right" w:leader="dot" w:pos="8787"/>
        </w:tabs>
      </w:pPr>
      <w:r>
        <w:rPr>
          <w:color w:val="000000"/>
        </w:rPr>
        <w:t>1.3研究内容</w:t>
        <w:tab/>
        <w:t>5</w:t>
      </w:r>
      <w:r/>
      <w:r/>
      <w:r>
        <w:rPr>
          <w:szCs w:val="21"/>
          <w:lang w:val="en-US"/>
        </w:rPr>
      </w:r>
      <w:r>
        <w:rPr>
          <w:rFonts w:hint="eastAsia"/>
          <w:szCs w:val="21"/>
          <w:lang w:val="en-US" w:eastAsia="zh-CN"/>
        </w:rPr>
      </w:r>
      <w:r/>
      <w:r/>
      <w:r/>
      <w:r/>
      <w:r/>
      <w:r/>
      <w:r>
        <w:rPr>
          <w:color w:val="000000"/>
        </w:rPr>
      </w:r>
    </w:p>
    <w:p w14:paraId="153A603F">
      <w:pPr>
        <w:pStyle w:val="26"/>
        <w:tabs>
          <w:tab w:val="right" w:leader="dot" w:pos="8787"/>
        </w:tabs>
      </w:pPr>
      <w:r>
        <w:rPr>
          <w:color w:val="000000"/>
        </w:rPr>
        <w:t>1.4研究创新点</w:t>
        <w:tab/>
        <w:t>6</w:t>
      </w:r>
      <w:r/>
      <w:r/>
      <w:r>
        <w:rPr>
          <w:szCs w:val="21"/>
          <w:lang w:val="en-US"/>
        </w:rPr>
      </w:r>
      <w:r>
        <w:rPr>
          <w:rFonts w:hint="eastAsia"/>
          <w:szCs w:val="21"/>
          <w:lang w:val="en-US" w:eastAsia="zh-CN"/>
        </w:rPr>
      </w:r>
      <w:r/>
      <w:r/>
      <w:r/>
      <w:r/>
      <w:r/>
      <w:r/>
      <w:r>
        <w:rPr>
          <w:color w:val="000000"/>
        </w:rPr>
      </w:r>
    </w:p>
    <w:p w14:paraId="43AA79C8">
      <w:pPr>
        <w:pStyle w:val="26"/>
        <w:tabs>
          <w:tab w:val="right" w:leader="dot" w:pos="8787"/>
        </w:tabs>
      </w:pPr>
      <w:r>
        <w:rPr>
          <w:color w:val="000000"/>
        </w:rPr>
        <w:t>1.5研究方法与技术路线</w:t>
        <w:tab/>
        <w:t>7</w:t>
      </w:r>
      <w:r/>
      <w:r/>
      <w:r>
        <w:rPr>
          <w:szCs w:val="21"/>
          <w:lang w:val="en-US"/>
        </w:rPr>
      </w:r>
      <w:r/>
      <w:r/>
      <w:r/>
      <w:r/>
      <w:r/>
      <w:r/>
      <w:r>
        <w:rPr>
          <w:color w:val="000000"/>
        </w:rPr>
      </w:r>
    </w:p>
    <w:p w14:paraId="470A8012">
      <w:pPr>
        <w:pStyle w:val="24"/>
        <w:tabs>
          <w:tab w:val="right" w:leader="dot" w:pos="8787"/>
          <w:tab w:val="clear" w:pos="8777"/>
        </w:tabs>
      </w:pPr>
      <w:r>
        <w:rPr>
          <w:color w:val="000000"/>
        </w:rPr>
        <w:t>第二章 理论基础</w:t>
        <w:tab/>
        <w:t>8</w:t>
      </w:r>
      <w:r/>
      <w:r/>
      <w:r>
        <w:rPr>
          <w:rFonts w:hint="eastAsia"/>
          <w:lang w:val="en-US" w:eastAsia="zh-CN"/>
        </w:rPr>
      </w:r>
      <w:r/>
      <w:r/>
      <w:r/>
      <w:r/>
      <w:r/>
      <w:r/>
      <w:r/>
      <w:r>
        <w:rPr>
          <w:color w:val="000000"/>
        </w:rPr>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t>2.2理论基础</w:t>
        <w:tab/>
        <w:t>8</w:t>
      </w:r>
      <w:r/>
      <w:r/>
      <w:r/>
      <w:r>
        <w:rPr>
          <w:rFonts w:hint="eastAsia"/>
          <w:lang w:val="en-US" w:eastAsia="zh-CN"/>
        </w:rPr>
      </w:r>
      <w:r/>
      <w:r/>
      <w:r/>
      <w:r/>
      <w:r/>
      <w:r/>
      <w:r>
        <w:rPr>
          <w:color w:val="000000"/>
        </w:rPr>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pPr>
        <w:pStyle w:val="toc 2"/>
      </w:pPr>
      <w:r>
        <w:t>3.6预调研结果分析	13</w:t>
      </w:r>
    </w:p>
    <w:p>
      <w:pPr>
        <w:pStyle w:val="toc 2"/>
      </w:pPr>
      <w:r>
        <w:t>3.6预调研结果分析	13</w:t>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1.1研究背景及意义</w:t>
      </w:r>
      <w:r>
        <w:rPr>
          <w:rFonts w:hint="eastAsia"/>
          <w:szCs w:val="21"/>
          <w:lang w:val="en-US" w:eastAsia="zh-CN"/>
        </w:rPr>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时代背景：当前，数字经济已成为驱动我国经济高质量发展的重要引擎。《中华人民共和国国民经济和社会发展第十四个五年规划和2035年远景目标纲要》明确提出"加快数字化发展，建设数字中国"，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政策背景：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农村电商提质增效实施方案》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地区背景与现实问题：烟台作为胶东半岛经济圈的核心城市，拥有栖霞苹果、蓬莱葡萄酒、长岛海产等具有全国影响力的特色产业资源，为农村电商集群的形成与发展奠定了坚实的物质基础。然而，烟台农村电商集群发展面临三方面突出问题：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上述问题的存在，制约了烟台农村电商集群的高质量、可持续发展，亟需通过系统性的实证研究加以解答。本文的研究，正是回应这一现实需求的具体尝试。</w:t>
      </w:r>
    </w:p>
    <w:p>
      <w:pPr>
        <w:pStyle w:val="Normal"/>
      </w:pPr>
      <w:r>
        <w:t xml:space="preserve">研究意义：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pPr>
        <w:pStyle w:val="Normal"/>
      </w:pPr>
      <w:r>
        <w:t xml:space="preserve">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1.2国内外研究现状（文献综述）</w:t>
      </w:r>
      <w:r>
        <w:rPr>
          <w:rFonts w:hint="eastAsia"/>
          <w:szCs w:val="21"/>
          <w:lang w:val="en-US" w:eastAsia="zh-CN"/>
        </w:rPr>
      </w:r>
      <w:bookmarkEnd w:id="39"/>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本文围绕研究核心议题，以"农村电商集群""县域电商""集群发展影响因素""资源编排""SEM""fsQCA"等为核心关键词，综合检索中国知网（CNKI）、万方数据、Web of Science等数据库中的期刊论文、学位论文及相关理论著作，遵循"时间就近原则、期刊与作者权威原则、内容差异化原则、与选题相关性原则"筛选文献，按照"搜集文献→整理文献→阅读文献→梳理文献→评述文献"的规范化流程，系统梳理如下。</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1.2.1集群电商发展相关研究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外关于集群电商的研究，最早可追溯至产业集群理论在电子商务领域的应用。Porto等（2021）通过对巴西农村电商集聚区域的研究，将集群电商定义为"依托数字平台，在特定地域内形成的、以特色产业为核心的电商企业与配套机构的空间集聚体"，并指出其核心价值在于降低中小经营主体的市场准入门槛，实现小生产与大市场的有效对接。Tan等（2022）的研究则表明，电商集群内部的专业化分工与协作，能够显著提升集群整体的市场响应能力与规模效益，形成单一主体难以复制的集群竞争优势。</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关于集群电商的研究，伴随淘宝村、电商产业带的快速发展逐步深化。史修松等（2017）基于江苏淘宝村的调研，将农村电商集群划分为资源基础型、产业带动型与能人驱动型三类，分析了不同模式的形成机理。郭承龙（2019）从产业演化视角，将集群电商的发展划分为萌芽期、成长期与成熟期三个阶段，并指出政策推动与市场选择是集群演化的双重驱动力。李想等（2023）进一步指出，集群电商的高质量发展依赖于地方特色资源与数字化能力的协同整合，单纯的规模扩张难以实现持续竞争优势。</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1.2.2电商发展影响因素相关研究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外学者围绕电商发展的影响因素，开展了大量实证研究，相关成果与本文的研究模型高度契合。在政府政策与集群治理方面，梁强等（2016）基于广东军埔电商集群的案例研究，指出政府的政策扶持、产业规划与公共服务供给，对集群电商的形成与发展具有关键推动作用。Cui等（2019）强调，完善的集群内部治理机制是集群电商实现可持续发展的核心组织保障。</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在人才支撑方面，邱泽奇等（2021）指出，电商专业人才的供给不足是制约县域电商发展的核心瓶颈，从业者的数字技能与运营能力直接决定了集群发展水平。在基础设施建设方面，董坤祥等（2016）的研究表明，交通物流、仓储冷链、网络通信等基础设施是集群电商发展的基础保障。在技术创新水平方面，易法敏等（2022）指出，大数据、人工智能、直播技术等数字化技术的应用，能够显著提升集群电商的转型升级能力。在本地电商平台与数字技能方面，张伟（2024）的SEM实证研究表明，电商平台功能支持与从业者数字技能均对集群发展水平具有显著正向影响。在资源禀赋方面，唐艺等（2021）以江苏沭阳花木电商集群为例，指出本地特色资源是集群电商形成的核心前提，资源整合利用效率直接决定集群的核心竞争力。</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1.2.3 SEM与fsQCA混合方法的应用研究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SEM与fsQCA混合方法能够同时实现线性因果验证与组态效应分析，近年来被广泛应用于管理学、经济学等领域。在国内研究中，易明等（2018）最早采用该混合方法研究员工沉默行为，毕达天等（2021）用于分析科研人员数据素养的影响因素，均验证了混合方法在揭示复杂因果机制中的独特价值。在国外研究中，Um等（2023）采用SEM与fsQCA混合方法研究旅游移动商务中消费者冲动购买意愿，Zheng等（2023）基于该混合方法研究在线学习质量对大学生持续学习意愿的影响，进一步拓展了混合方法的应用边界。</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1.2.4研究述评与研究切入点</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综上所述，国内外关于集群电商的研究已取得丰硕成果，为本文奠定了坚实的理论基础，但现有研究仍存在三方面不足：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第一，研究情境存在区域空白。现有研究多以浙江、江苏等南方电商发达地区为样本，针对烟台北方沿海特色产业产区的本土化实证研究极为匮乏，现有结论的本土化适配性不足。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第二，研究维度存在同质化局限。现有研究多聚焦政策、基建、技术等通用维度，鲜有研究将本地资源禀赋、特色平台建设等区域特色变量纳入整合分析框架，难以精准解释烟台集群电商的独特发展逻辑。</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2DBEDEE4">
      <w:pPr>
        <w:spacing w:line="400" w:lineRule="exact"/>
        <w:ind w:left="0" w:leftChars="0" w:firstLine="0" w:firstLineChars="0"/>
        <w:rPr>
          <w:rFonts w:hint="eastAsia" w:ascii="Times New Roman" w:hAnsi="Times New Roman"/>
          <w:lang w:val="en-US" w:eastAsia="zh-CN"/>
        </w:rPr>
      </w:pP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3" w:name="_Toc1812"/>
      <w:r>
        <w:rPr>
          <w:szCs w:val="21"/>
          <w:lang w:val="en-US"/>
        </w:rPr>
        <w:t>1.3研究内容</w:t>
      </w:r>
      <w:r>
        <w:rPr>
          <w:rFonts w:hint="eastAsia"/>
          <w:szCs w:val="21"/>
          <w:lang w:val="en-US" w:eastAsia="zh-CN"/>
        </w:rPr>
      </w:r>
      <w:bookmarkEnd w:id="43"/>
    </w:p>
    <w:p w14:paraId="46BFB19B">
      <w:pPr>
        <w:pStyle w:val="4"/>
        <w:spacing w:line="400" w:lineRule="exact"/>
        <w:rPr>
          <w:rFonts w:hint="eastAsia" w:ascii="Times New Roman" w:hAnsi="Times New Roman"/>
          <w:lang w:val="en-US" w:eastAsia="zh-CN"/>
        </w:rPr>
      </w:pPr>
      <w:r>
        <w:rPr>
          <w:rFonts w:ascii="Times New Roman" w:hAnsi="Times New Roman"/>
          <w:lang w:val="en-US"/>
        </w:rPr>
        <w:t>1.3.1研究内容概述</w:t>
      </w:r>
      <w:r>
        <w:rPr>
          <w:rFonts w:hint="eastAsia" w:ascii="Times New Roman" w:hAnsi="Times New Roman"/>
          <w:lang w:val="en-US" w:eastAsia="zh-CN"/>
        </w:rPr>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本文共分为五个章节，各章主要内容如下：</w:t>
        <w:b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b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b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b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b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pPr>
      <w:bookmarkStart w:id="45" w:name="_Toc17945"/>
      <w:r>
        <w:rPr>
          <w:szCs w:val="21"/>
          <w:lang w:val="en-US"/>
        </w:rPr>
        <w:t>1.4研究创新点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研究方法的融合创新</w:t>
      </w:r>
      <w:r>
        <w:rPr>
          <w:color w:val="000000"/>
          <w:sz w:val="24"/>
          <w:szCs w:val="24"/>
        </w:rPr>
        <w:t>：本文采用 “先变量、后组态” 的 SEM 与 fsQCA 混合研究设计，既通过 SEM 验证了单因素的线性影响机制，又通过 fsQCA 揭示了多因素联动的非线性组态效应，实现了两种方法的优势互补，研究结论兼具严谨性与实践适配性。</w:t>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研究场景的精准化创新</w:t>
      </w:r>
      <w:r>
        <w:rPr>
          <w:color w:val="000000"/>
          <w:sz w:val="24"/>
          <w:szCs w:val="24"/>
        </w:rPr>
        <w:t>：本文聚焦烟台地区集群电商这一具体场景，深入挖掘北方沿海特色产业产区电商发展的独特性与瓶颈问题，避免了现有研究结论的 “平均化”，提出的对策建议更具针对性与可落地性，填补了区域本土化研究的空白。</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pPr>
      <w:bookmarkStart w:id="44" w:name="_Toc1599"/>
      <w:r>
        <w:rPr>
          <w:szCs w:val="21"/>
          <w:lang w:val="en-US"/>
        </w:rPr>
        <w:t>1.5研究方法与技术路线</w:t>
      </w:r>
      <w:r>
        <w:rPr>
          <w:rFonts w:hint="eastAsia"/>
          <w:szCs w:val="21"/>
          <w:lang w:val="en-US" w:eastAsia="zh-CN"/>
        </w:rPr>
      </w:r>
      <w:bookmarkEnd w:id="44"/>
    </w:p>
    <w:p>
      <w:pPr>
        <w:pStyle w:val="4"/>
      </w:pPr>
      <w: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文献研究法</w:t>
      </w:r>
      <w:r>
        <w:rPr>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问卷调查法</w:t>
      </w:r>
      <w:r>
        <w:rPr>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结构方程模型（SEM）</w:t>
      </w:r>
      <w:r>
        <w:rPr>
          <w:color w:val="000000"/>
          <w:sz w:val="24"/>
          <w:szCs w:val="24"/>
        </w:rPr>
        <w:t>：采用 AMOS 软件开展 SEM 分析，用于检验六大维度潜变量之间的因果关系，验证各维度变量对烟台集群电商发展的直接影响，明确各因素的作用强度与显著性。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rPr>
      </w:pPr>
      <w:r>
        <w:rPr>
          <w:rStyle w:val="36"/>
          <w:b/>
          <w:bCs/>
          <w:color w:val="000000"/>
          <w:sz w:val="24"/>
          <w:szCs w:val="24"/>
        </w:rPr>
        <w:t>模糊集定性比较分析（fsQCA）</w:t>
      </w:r>
      <w:r>
        <w:rPr>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487961EA">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2B2FFDD4">
      <w:pPr>
        <w:spacing w:line="400" w:lineRule="exact"/>
        <w:ind w:firstLine="480"/>
        <w:rPr>
          <w:rFonts w:hint="eastAsia" w:eastAsia="宋体"/>
          <w:lang w:eastAsia="zh-CN"/>
        </w:rPr>
      </w:pPr>
      <w:r>
        <w:rPr>
          <w:rFonts w:ascii="宋体" w:hAnsi="宋体" w:eastAsia="宋体" w:cs="宋体"/>
          <w:sz w:val="24"/>
          <w:szCs w:val="24"/>
        </w:rPr>
        <w:t>本文严格遵循 “理论构建 - 研究设计 - 数据收集 - 实证分析 - 结论建议” 的学术研究流程，技术路线如下：</w:t>
      </w:r>
      <w:r>
        <w:rPr>
          <w:rFonts w:hint="eastAsia" w:ascii="宋体" w:hAnsi="宋体" w:cs="宋体"/>
          <w:sz w:val="24"/>
          <w:szCs w:val="24"/>
          <w:lang w:eastAsia="zh-CN"/>
        </w:rPr>
        <w:t>（</w:t>
      </w:r>
      <w:r>
        <w:rPr>
          <w:rFonts w:hint="eastAsia" w:ascii="宋体" w:hAnsi="宋体" w:cs="宋体"/>
          <w:b/>
          <w:bCs/>
          <w:color w:val="FF0000"/>
          <w:sz w:val="24"/>
          <w:szCs w:val="24"/>
          <w:lang w:val="en-US" w:eastAsia="zh-CN"/>
        </w:rPr>
        <w:t>根据后续分析结果 有待修改</w:t>
      </w:r>
      <w:r>
        <w:rPr>
          <w:rFonts w:hint="eastAsia" w:ascii="宋体" w:hAnsi="宋体" w:cs="宋体"/>
          <w:sz w:val="24"/>
          <w:szCs w:val="24"/>
          <w:lang w:eastAsia="zh-CN"/>
        </w:rPr>
        <w:t>）</w:t>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szCs w:val="21"/>
        </w:rPr>
      </w:pPr>
      <w:r>
        <w:rPr>
          <w:color w:val="000000"/>
          <w:sz w:val="24"/>
          <w:szCs w:val="24"/>
        </w:rPr>
        <w:t>1.5.2技术路线</w:t>
      </w:r>
      <w:r>
        <w:rPr>
          <w:rFonts w:hint="eastAsia"/>
          <w:color w:val="000000"/>
          <w:sz w:val="24"/>
          <w:szCs w:val="24"/>
          <w:lang w:val="en-US" w:eastAsia="zh-CN"/>
        </w:rPr>
      </w:r>
      <w:r>
        <w:rPr>
          <w:color w:val="000000"/>
          <w:sz w:val="24"/>
          <w:szCs w:val="24"/>
        </w:rPr>
      </w:r>
      <w:r>
        <w:rPr>
          <w:rFonts w:hint="eastAsia"/>
          <w:color w:val="000000"/>
          <w:sz w:val="24"/>
          <w:szCs w:val="24"/>
          <w:lang w:val="en-US" w:eastAsia="zh-CN"/>
        </w:rPr>
      </w:r>
    </w:p>
    <w:p w14:paraId="55DA8BE8">
      <w:pPr>
        <w:pStyle w:val="2"/>
        <w:spacing w:line="400" w:lineRule="exact"/>
      </w:pPr>
      <w:bookmarkStart w:id="46" w:name="_Toc1959"/>
      <w:r>
        <w:rPr>
          <w:rFonts w:hint="eastAsia"/>
          <w:lang w:val="en-US" w:eastAsia="zh-CN"/>
        </w:rPr>
        <w:t>第二章 理论基础</w:t>
      </w:r>
      <w:r/>
      <w:bookmarkEnd w:id="46"/>
    </w:p>
    <w:p w14:paraId="420FC266">
      <w:pPr>
        <w:pStyle w:val="3"/>
        <w:spacing w:before="240" w:after="240" w:line="400" w:lineRule="exact"/>
        <w:ind w:firstLine="0" w:firstLineChars="0"/>
        <w:rPr>
          <w:rFonts w:hint="default" w:eastAsia="黑体"/>
          <w:lang w:val="en-US" w:eastAsia="zh-CN"/>
        </w:rPr>
      </w:pPr>
      <w:bookmarkStart w:id="47" w:name="_Toc21534"/>
      <w:r>
        <w:t>2.1</w:t>
      </w:r>
      <w:r>
        <w:rPr>
          <w:rFonts w:hint="eastAsia"/>
          <w:lang w:val="en-US" w:eastAsia="zh-CN"/>
        </w:rPr>
        <w:t>核心概念界定</w:t>
      </w:r>
      <w:bookmarkEnd w:id="47"/>
    </w:p>
    <w:p w14:paraId="64649640">
      <w:pPr>
        <w:pStyle w:val="4"/>
        <w:spacing w:line="400" w:lineRule="exact"/>
        <w:rPr>
          <w:rFonts w:hint="eastAsia" w:ascii="Times New Roman" w:hAnsi="Times New Roman" w:eastAsia="黑体"/>
          <w:szCs w:val="21"/>
          <w:lang w:eastAsia="zh-CN"/>
        </w:rPr>
      </w:pPr>
      <w:bookmarkStart w:id="48" w:name="_Toc448094852"/>
      <w:bookmarkStart w:id="49" w:name="_Toc485048993"/>
      <w:bookmarkStart w:id="50" w:name="_Toc485389080"/>
      <w:bookmarkStart w:id="51" w:name="_Toc484182524"/>
      <w:r>
        <w:rPr>
          <w:rFonts w:ascii="Times New Roman" w:hAnsi="Times New Roman"/>
          <w:szCs w:val="21"/>
        </w:rPr>
        <w:t>2.1</w:t>
      </w:r>
      <w:bookmarkEnd w:id="48"/>
      <w:r>
        <w:rPr>
          <w:rFonts w:ascii="Times New Roman" w:hAnsi="Times New Roman"/>
          <w:szCs w:val="21"/>
        </w:rPr>
        <w:t>.1</w:t>
      </w:r>
      <w:bookmarkEnd w:id="49"/>
      <w:bookmarkEnd w:id="50"/>
      <w:bookmarkEnd w:id="51"/>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52" w:name="_Toc15879"/>
      <w:r>
        <w:t>2.2理论基础</w:t>
      </w:r>
      <w:r>
        <w:rPr>
          <w:rFonts w:hint="eastAsia"/>
          <w:lang w:val="en-US" w:eastAsia="zh-CN"/>
        </w:rPr>
      </w:r>
      <w:bookmarkEnd w:id="52"/>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2.2.1资源编排理论（Resource Orchestration Theory）</w:t>
      </w:r>
      <w:r>
        <w:rPr>
          <w:rFonts w:hint="eastAsia" w:ascii="Times New Roman" w:hAnsi="Times New Roman"/>
          <w:szCs w:val="21"/>
          <w:lang w:val="en-US" w:eastAsia="zh-CN"/>
        </w:rPr>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pPr>
        <w:pStyle w:val="Normal"/>
      </w:pPr>
      <w:r>
        <w:t xml:space="preserve">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2.2.2技术-组织-环境（TOE）框架</w:t>
      </w:r>
      <w:r>
        <w:rPr>
          <w:rFonts w:hint="eastAsia" w:ascii="Times New Roman" w:hAnsi="Times New Roman"/>
          <w:szCs w:val="21"/>
          <w:lang w:val="en-US" w:eastAsia="zh-CN"/>
        </w:rPr>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pPr>
        <w:pStyle w:val="4"/>
      </w:pPr>
      <w:r>
        <w:t xml:space="preserve">2.2.3组态理论</w:t>
      </w:r>
    </w:p>
    <w:p>
      <w:pPr>
        <w:pStyle w:val="Normal"/>
      </w:pPr>
      <w:r>
        <w:t xml:space="preserve">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pPr>
        <w:pStyle w:val="Normal"/>
      </w:pPr>
      <w:r>
        <w:t xml:space="preserve">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rPr>
          <w:lang w:val="zh-CN"/>
        </w:rPr>
      </w:pPr>
      <w:bookmarkStart w:id="54" w:name="_Toc24454"/>
      <w:r>
        <w:rPr>
          <w:rFonts w:hint="eastAsia"/>
          <w:lang w:val="en-US" w:eastAsia="zh-CN"/>
        </w:rPr>
        <w:t>第三章 研究设计</w:t>
      </w:r>
      <w:bookmarkEnd w:id="54"/>
    </w:p>
    <w:p w14:paraId="7DE972D1">
      <w:pPr>
        <w:pStyle w:val="3"/>
        <w:spacing w:before="240" w:after="240" w:line="400" w:lineRule="exact"/>
        <w:ind w:firstLine="0" w:firstLineChars="0"/>
        <w:rPr>
          <w:rFonts w:hint="default"/>
          <w:szCs w:val="21"/>
          <w:lang w:val="en-US" w:eastAsia="zh-CN"/>
        </w:rPr>
      </w:pPr>
      <w:bookmarkStart w:id="55" w:name="_Toc26904"/>
      <w:r>
        <w:rPr>
          <w:szCs w:val="21"/>
          <w:lang w:val="en-US"/>
        </w:rPr>
        <w:t>3.1</w:t>
      </w:r>
      <w:r>
        <w:rPr>
          <w:rFonts w:hint="eastAsia"/>
          <w:szCs w:val="21"/>
          <w:lang w:val="en-US" w:eastAsia="zh-CN"/>
        </w:rPr>
        <w:t>理论模型构建</w:t>
      </w:r>
      <w:bookmarkEnd w:id="55"/>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pStyle w:val="Normal"/>
        <w:tabs>
          <w:tab w:val="clear" w:pos="561"/>
          <w:tab w:val="clear" w:pos="720"/>
        </w:tabs>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 SEM 的线性影响机制模型，用于验证六大维度核心变量对烟台集群电商发展水平的直接影响；二是基于 fsQCA 的组态效应模型，将六大核心变量作为前因条件，探究多因素联动匹配对集群电商高绩效发展的组合效应。</w:t>
      </w:r>
    </w:p>
    <w:p w14:paraId="5E644638">
      <w:pPr>
        <w:pStyle w:val="3"/>
        <w:spacing w:before="240" w:after="240" w:line="400" w:lineRule="exact"/>
        <w:ind w:firstLine="0" w:firstLineChars="0"/>
        <w:rPr>
          <w:szCs w:val="21"/>
        </w:rPr>
      </w:pPr>
      <w:bookmarkStart w:id="56" w:name="_Toc19091"/>
      <w:r>
        <w:rPr>
          <w:szCs w:val="21"/>
          <w:lang w:val="en-US"/>
        </w:rPr>
        <w:t>3.2</w:t>
      </w:r>
      <w:r>
        <w:rPr>
          <w:rFonts w:hint="eastAsia"/>
          <w:szCs w:val="21"/>
          <w:lang w:val="en-US" w:eastAsia="zh-CN"/>
        </w:rPr>
        <w:t>研究假设提出</w:t>
      </w:r>
      <w:bookmarkEnd w:id="56"/>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w:t>
      </w:r>
      <w:r>
        <w:rPr>
          <w:rFonts w:hint="eastAsia" w:ascii="Times New Roman" w:hAnsi="Times New Roman"/>
          <w:lang w:val="en-US" w:eastAsia="zh-CN"/>
        </w:rPr>
        <w:t>直接效应研究假设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 TOE 框架与现有文献研究成果，结合烟台集群电商发展的实际情况，本文提出以下直接效应研究假设：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w:t>
      </w:r>
      <w:r>
        <w:rPr>
          <w:color w:val="000000"/>
          <w:sz w:val="24"/>
          <w:szCs w:val="24"/>
        </w:rPr>
        <w:t>：政府政策与集群治理对烟台集群电商发展水平具有显著正向影响。贴合本地需求的扶持政策、高效的统筹规划与治理、完善的监管服务体系，能够为集群电商发展营造良好的制度环境，推动产业规范化、规模化发展。</w:t>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w:t>
      </w:r>
      <w:r>
        <w:rPr>
          <w:color w:val="000000"/>
          <w:sz w:val="24"/>
          <w:szCs w:val="24"/>
        </w:rPr>
        <w:t>：人才支撑对烟台集群电商发展水平具有显著正向影响。充足的专业电商人才、完善的人才培育体系、较低的人才招聘留存难度，能够为集群电商发展提供核心人力资源支撑，提升集群的整体运营水平与创新能力。</w:t>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w:t>
      </w:r>
      <w:r>
        <w:rPr>
          <w:color w:val="000000"/>
          <w:sz w:val="24"/>
          <w:szCs w:val="24"/>
        </w:rPr>
        <w:t>：基础设施建设对烟台集群电商发展水平具有显著正向影响。完善的网络通信、物流仓储、交通路网等基础设施，能够降低电商经营成本，提升供应链效率，为集群电商发展提供坚实的硬件保障。</w:t>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H4</w:t>
      </w:r>
      <w:r>
        <w:rPr>
          <w:color w:val="000000"/>
          <w:sz w:val="24"/>
          <w:szCs w:val="24"/>
        </w:rPr>
        <w:t>：技术创新水平对烟台集群电商发展水平具有显著正向影响。数字化运营技术的普及、直播短视频等新技术的应用、完善的技术升级支持，能够推动集群电商数字化转型，提升经营效率与市场竞争力。</w:t>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H5</w:t>
      </w:r>
      <w:r>
        <w:rPr>
          <w:color w:val="000000"/>
          <w:sz w:val="24"/>
          <w:szCs w:val="24"/>
        </w:rPr>
        <w:t>：本地电商平台与数字技能对烟台集群电商发展水平具有显著正向影响。成熟的本地特色电商平台、从业者熟练的数字运营技能、强烈的数字化转型意愿，能够充分释放数字技术的赋能效应，推动集群电商高质量发展。</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H6</w:t>
      </w:r>
      <w:r>
        <w:rPr>
          <w:color w:val="000000"/>
          <w:sz w:val="24"/>
          <w:szCs w:val="24"/>
        </w:rPr>
        <w:t>：自然环境与资源禀赋对烟台集群电商发展水平具有显著正向影响。优越的自然环境、具有核心竞争力的特色资源、高效的资源整合利用效率，能够为集群电商发展构建差异化竞争优势，是产业可持续发展的核心依托。</w:t>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7" w:name="_Toc24192"/>
      <w:r>
        <w:rPr>
          <w:szCs w:val="21"/>
          <w:lang w:val="en-US"/>
        </w:rPr>
        <w:t>3.3</w:t>
      </w:r>
      <w:r>
        <w:rPr>
          <w:rFonts w:hint="eastAsia"/>
          <w:szCs w:val="21"/>
          <w:lang w:val="en-US" w:eastAsia="zh-CN"/>
        </w:rPr>
        <w:t>问卷设计与变量测量</w:t>
      </w:r>
      <w:bookmarkEnd w:id="57"/>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w:t>
      </w:r>
      <w:r>
        <w:rPr>
          <w:rFonts w:hint="eastAsia" w:ascii="Times New Roman" w:hAnsi="Times New Roman"/>
          <w:lang w:val="en-US" w:eastAsia="zh-CN"/>
        </w:rPr>
        <w:t>3</w:t>
      </w:r>
      <w:r>
        <w:rPr>
          <w:rFonts w:ascii="Times New Roman" w:hAnsi="Times New Roman"/>
        </w:rPr>
        <w:t>.</w:t>
      </w:r>
      <w:r>
        <w:rPr>
          <w:rFonts w:hint="eastAsia" w:ascii="Times New Roman" w:hAnsi="Times New Roman"/>
          <w:lang w:val="en-US" w:eastAsia="zh-CN"/>
        </w:rPr>
        <w:t>2组态路径研究猜想</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本文的核心变量测量题项，与用户提供的问卷内容 100% 匹配，具体如下：</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政府政策与集群治理，共 3 个测量题项：① 烟台政府出台的电商扶持政策贴合本地集群电商发展实际需求② 当地政府对电商集群的统筹规划与治理效率较高③ 政府部门对电商产业的监管与服务平衡度较好</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人才支撑，共 3 个测量题项：① 烟台本地具备充足的电商专业运营、技术类人才② 本地高校 / 培训机构能为电商行业输送适配的专业人才③ 电商企业人才招聘、留存的难度较低</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基础设施建设，共 3 个测量题项：① 烟台地区网络、5G 等数字化基础设施完善② 物流配送、仓储等电商配套基础设施布局合理③ 交通基础设施能满足电商货物运输需求</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技术创新水平，共 3 个测量题项：① 本地电商企业普遍具备数字化运营技术应用能力② 大数据、直播、短视频等新技术在本地电商广泛应用③ 政府 / 行业能为电商主体提供技术升级支持</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本地电商平台与数字技能，共 3 个测量题项：① 烟台本地特色电商平台发展成熟、影响力较强② 电商从业者的数字操作与线上运营技能熟练③ 本地电商主体数字化转型的意愿较强</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自然环境与资源禀赋，共 3 个测量题项：① 烟台自然环境有利于特色电商产品的培育与生产② 本地特色资源能为集群电商发展提供核心竞争力③ 资源整合利用效率能支撑电商产业规模化发展</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结果变量：集群电商发展水平，通过问卷中 “烟台地区集群电商经济整体发展水平”“经营主体数字化转型进度” 等题项进行综合测量。</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8" w:name="_Toc8393"/>
      <w:r>
        <w:rPr>
          <w:szCs w:val="21"/>
          <w:lang w:val="en-US"/>
        </w:rPr>
        <w:t>3</w:t>
      </w:r>
      <w:r>
        <w:rPr>
          <w:rFonts w:hint="eastAsia"/>
          <w:szCs w:val="21"/>
          <w:lang w:val="en-US" w:eastAsia="zh-CN"/>
        </w:rPr>
        <w:t>.4数据收集方案</w:t>
      </w:r>
      <w:bookmarkEnd w:id="58"/>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9" w:name="_Toc10800"/>
      <w:r>
        <w:rPr>
          <w:szCs w:val="21"/>
          <w:lang w:val="en-US"/>
        </w:rPr>
        <w:t>3</w:t>
      </w:r>
      <w:r>
        <w:rPr>
          <w:rFonts w:hint="eastAsia"/>
          <w:szCs w:val="21"/>
          <w:lang w:val="en-US" w:eastAsia="zh-CN"/>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真值表构建与优化：设定合理的案例频数阈值与原始一致性阈值，参考现有研究的通用做法，案例频数阈值设定为 2，原始一致性阈值设定为 0.8，同时设定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pPr>
        <w:pStyle w:val="3"/>
      </w:pPr>
      <w:r>
        <w:t>3.6预调研结果分析</w:t>
      </w:r>
    </w:p>
    <w:p>
      <w:pPr>
        <w:pStyle w:val="Normal"/>
      </w:pPr>
      <w:r>
        <w:t xml:space="preserve">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50份问卷，全部为有效问卷（有效率100%）。以下依次报告预调研基本信息分析、信度检验与效度检验（含主成分分析）的结果。</w:t>
      </w:r>
    </w:p>
    <w:p>
      <w:pPr>
        <w:pStyle w:val="4"/>
      </w:pPr>
      <w:r>
        <w:t>3.6.1预调研基本信息分析</w:t>
      </w:r>
    </w:p>
    <w:p>
      <w:pPr>
        <w:pStyle w:val="Normal"/>
      </w:pPr>
      <w:r>
        <w:t xml:space="preserve">本次预调研共回收有效问卷50份，样本基本特征如下：性别方面，男性23人（46.0%），女性27人（54.0%），比例较均衡；年龄方面，21-30岁占28.0%，31-40岁与41-50岁各占26.0%，中青年为主；学历方面，初中及以下占50.0%，大专24.0%，本科20.0%，符合烟台电商从业者整体学历结构；居住地涵盖芝罘区（32.0%）、牟平区（28.0%）、莱山区（16.0%）等主要电商集聚区；月均收入以5001-8000元占比最高（36.0%）；职业类型中个体电商农户/商户占44.0%，电商企业经营者/管理者占22.0%，样本覆盖烟台集群电商核心参与主体，具有良好代表性。</w:t>
      </w:r>
    </w:p>
    <w:p>
      <w:pPr>
        <w:pStyle w:val="4"/>
      </w:pPr>
      <w:r>
        <w:t>3.6.2信度检验</w:t>
      </w:r>
    </w:p>
    <w:p>
      <w:pPr>
        <w:pStyle w:val="Normal"/>
      </w:pPr>
      <w:r>
        <w:t xml:space="preserve">本文采用Cronbach α系数对预调研数据（N=50）各维度量表进行信度检验，以评估题项内部一致性。通常认为α≥0.700表示量表具有可接受的信度（Nunnally，1978）。检验结果如表3-1所示。</w:t>
      </w:r>
    </w:p>
    <w:p>
      <w:pPr>
        <w:pStyle w:val="12"/>
        <w:jc w:val="center"/>
      </w:pPr>
      <w:r>
        <w:t>表3-1 各维度Cronbach α系数（预调研，N=50）</w:t>
      </w:r>
    </w:p>
    <w:tbl>
      <w:tblPr>
        <w:tblStyle w:val="TableGrid"/>
        <w:tblW w:w="8500" w:type="dxa"/>
      </w:tblPr>
      <w:tblGrid>
        <w:gridCol w:w="1416"/>
        <w:gridCol w:w="1416"/>
        <w:gridCol w:w="1416"/>
        <w:gridCol w:w="1416"/>
        <w:gridCol w:w="1416"/>
        <w:gridCol w:w="1416"/>
      </w:tblGrid>
      <w:tr>
        <w:tc>
          <w:tcPr>
            <w:tcW w:w="1416" w:type="dxa"/>
            <w:shd w:val="clear" w:color="auto" w:fill="DEEAF1"/>
          </w:tcPr>
          <w:p>
            <w:pPr>
              <w:jc w:val="center"/>
              <w:ind w:firstLine="0"/>
            </w:pPr>
            <w:r>
              <w:rPr>
                <w:b/>
              </w:rPr>
              <w:t xml:space="preserve">维度</w:t>
            </w:r>
          </w:p>
        </w:tc>
        <w:tc>
          <w:tcPr>
            <w:tcW w:w="1416" w:type="dxa"/>
            <w:shd w:val="clear" w:color="auto" w:fill="DEEAF1"/>
          </w:tcPr>
          <w:p>
            <w:pPr>
              <w:jc w:val="center"/>
              <w:ind w:firstLine="0"/>
            </w:pPr>
            <w:r>
              <w:rPr>
                <w:b/>
              </w:rPr>
              <w:t xml:space="preserve">量表缩写</w:t>
            </w:r>
          </w:p>
        </w:tc>
        <w:tc>
          <w:tcPr>
            <w:tcW w:w="1416" w:type="dxa"/>
            <w:shd w:val="clear" w:color="auto" w:fill="DEEAF1"/>
          </w:tcPr>
          <w:p>
            <w:pPr>
              <w:jc w:val="center"/>
              <w:ind w:firstLine="0"/>
            </w:pPr>
            <w:r>
              <w:rPr>
                <w:b/>
              </w:rPr>
              <w:t xml:space="preserve">题项数</w:t>
            </w:r>
          </w:p>
        </w:tc>
        <w:tc>
          <w:tcPr>
            <w:tcW w:w="1416" w:type="dxa"/>
            <w:shd w:val="clear" w:color="auto" w:fill="DEEAF1"/>
          </w:tcPr>
          <w:p>
            <w:pPr>
              <w:jc w:val="center"/>
              <w:ind w:firstLine="0"/>
            </w:pPr>
            <w:r>
              <w:rPr>
                <w:b/>
              </w:rPr>
              <w:t xml:space="preserve">Cronbach α系数</w:t>
            </w:r>
          </w:p>
        </w:tc>
        <w:tc>
          <w:tcPr>
            <w:tcW w:w="1416" w:type="dxa"/>
            <w:shd w:val="clear" w:color="auto" w:fill="DEEAF1"/>
          </w:tcPr>
          <w:p>
            <w:pPr>
              <w:jc w:val="center"/>
              <w:ind w:firstLine="0"/>
            </w:pPr>
            <w:r>
              <w:rPr>
                <w:b/>
              </w:rPr>
              <w:t xml:space="preserve">判断标准</w:t>
            </w:r>
          </w:p>
        </w:tc>
        <w:tc>
          <w:tcPr>
            <w:tcW w:w="1416" w:type="dxa"/>
            <w:shd w:val="clear" w:color="auto" w:fill="DEEAF1"/>
          </w:tcPr>
          <w:p>
            <w:pPr>
              <w:jc w:val="center"/>
              <w:ind w:firstLine="0"/>
            </w:pPr>
            <w:r>
              <w:rPr>
                <w:b/>
              </w:rPr>
              <w:t xml:space="preserve">结论</w:t>
            </w:r>
          </w:p>
        </w:tc>
      </w:tr>
      <w:tr>
        <w:tc>
          <w:tcPr>
            <w:tcW w:w="1416" w:type="dxa"/>
          </w:tcPr>
          <w:p>
            <w:pPr>
              <w:jc w:val="center"/>
              <w:ind w:firstLine="0"/>
            </w:pPr>
            <w:r>
              <w:t xml:space="preserve">政府政策与集群治理</w:t>
            </w:r>
          </w:p>
        </w:tc>
        <w:tc>
          <w:tcPr>
            <w:tcW w:w="1416" w:type="dxa"/>
          </w:tcPr>
          <w:p>
            <w:pPr>
              <w:jc w:val="center"/>
              <w:ind w:firstLine="0"/>
            </w:pPr>
            <w:r>
              <w:t xml:space="preserve">GP</w:t>
            </w:r>
          </w:p>
        </w:tc>
        <w:tc>
          <w:tcPr>
            <w:tcW w:w="1416" w:type="dxa"/>
          </w:tcPr>
          <w:p>
            <w:pPr>
              <w:jc w:val="center"/>
              <w:ind w:firstLine="0"/>
            </w:pPr>
            <w:r>
              <w:t xml:space="preserve">3</w:t>
            </w:r>
          </w:p>
        </w:tc>
        <w:tc>
          <w:tcPr>
            <w:tcW w:w="1416" w:type="dxa"/>
          </w:tcPr>
          <w:p>
            <w:pPr>
              <w:jc w:val="center"/>
              <w:ind w:firstLine="0"/>
            </w:pPr>
            <w:r>
              <w:t xml:space="preserve">0.926</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人才支撑</w:t>
            </w:r>
          </w:p>
        </w:tc>
        <w:tc>
          <w:tcPr>
            <w:tcW w:w="1416" w:type="dxa"/>
          </w:tcPr>
          <w:p>
            <w:pPr>
              <w:jc w:val="center"/>
              <w:ind w:firstLine="0"/>
            </w:pPr>
            <w:r>
              <w:t xml:space="preserve">TS</w:t>
            </w:r>
          </w:p>
        </w:tc>
        <w:tc>
          <w:tcPr>
            <w:tcW w:w="1416" w:type="dxa"/>
          </w:tcPr>
          <w:p>
            <w:pPr>
              <w:jc w:val="center"/>
              <w:ind w:firstLine="0"/>
            </w:pPr>
            <w:r>
              <w:t xml:space="preserve">3</w:t>
            </w:r>
          </w:p>
        </w:tc>
        <w:tc>
          <w:tcPr>
            <w:tcW w:w="1416" w:type="dxa"/>
          </w:tcPr>
          <w:p>
            <w:pPr>
              <w:jc w:val="center"/>
              <w:ind w:firstLine="0"/>
            </w:pPr>
            <w:r>
              <w:t xml:space="preserve">0.863</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基础设施建设</w:t>
            </w:r>
          </w:p>
        </w:tc>
        <w:tc>
          <w:tcPr>
            <w:tcW w:w="1416" w:type="dxa"/>
          </w:tcPr>
          <w:p>
            <w:pPr>
              <w:jc w:val="center"/>
              <w:ind w:firstLine="0"/>
            </w:pPr>
            <w:r>
              <w:t xml:space="preserve">IF</w:t>
            </w:r>
          </w:p>
        </w:tc>
        <w:tc>
          <w:tcPr>
            <w:tcW w:w="1416" w:type="dxa"/>
          </w:tcPr>
          <w:p>
            <w:pPr>
              <w:jc w:val="center"/>
              <w:ind w:firstLine="0"/>
            </w:pPr>
            <w:r>
              <w:t xml:space="preserve">3</w:t>
            </w:r>
          </w:p>
        </w:tc>
        <w:tc>
          <w:tcPr>
            <w:tcW w:w="1416" w:type="dxa"/>
          </w:tcPr>
          <w:p>
            <w:pPr>
              <w:jc w:val="center"/>
              <w:ind w:firstLine="0"/>
            </w:pPr>
            <w:r>
              <w:t xml:space="preserve">0.890</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技术创新水平</w:t>
            </w:r>
          </w:p>
        </w:tc>
        <w:tc>
          <w:tcPr>
            <w:tcW w:w="1416" w:type="dxa"/>
          </w:tcPr>
          <w:p>
            <w:pPr>
              <w:jc w:val="center"/>
              <w:ind w:firstLine="0"/>
            </w:pPr>
            <w:r>
              <w:t xml:space="preserve">TI</w:t>
            </w:r>
          </w:p>
        </w:tc>
        <w:tc>
          <w:tcPr>
            <w:tcW w:w="1416" w:type="dxa"/>
          </w:tcPr>
          <w:p>
            <w:pPr>
              <w:jc w:val="center"/>
              <w:ind w:firstLine="0"/>
            </w:pPr>
            <w:r>
              <w:t xml:space="preserve">3</w:t>
            </w:r>
          </w:p>
        </w:tc>
        <w:tc>
          <w:tcPr>
            <w:tcW w:w="1416" w:type="dxa"/>
          </w:tcPr>
          <w:p>
            <w:pPr>
              <w:jc w:val="center"/>
              <w:ind w:firstLine="0"/>
            </w:pPr>
            <w:r>
              <w:t xml:space="preserve">0.894</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本地电商平台与数字技能</w:t>
            </w:r>
          </w:p>
        </w:tc>
        <w:tc>
          <w:tcPr>
            <w:tcW w:w="1416" w:type="dxa"/>
          </w:tcPr>
          <w:p>
            <w:pPr>
              <w:jc w:val="center"/>
              <w:ind w:firstLine="0"/>
            </w:pPr>
            <w:r>
              <w:t xml:space="preserve">DS</w:t>
            </w:r>
          </w:p>
        </w:tc>
        <w:tc>
          <w:tcPr>
            <w:tcW w:w="1416" w:type="dxa"/>
          </w:tcPr>
          <w:p>
            <w:pPr>
              <w:jc w:val="center"/>
              <w:ind w:firstLine="0"/>
            </w:pPr>
            <w:r>
              <w:t xml:space="preserve">3</w:t>
            </w:r>
          </w:p>
        </w:tc>
        <w:tc>
          <w:tcPr>
            <w:tcW w:w="1416" w:type="dxa"/>
          </w:tcPr>
          <w:p>
            <w:pPr>
              <w:jc w:val="center"/>
              <w:ind w:firstLine="0"/>
            </w:pPr>
            <w:r>
              <w:t xml:space="preserve">0.859</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自然环境与资源禀赋</w:t>
            </w:r>
          </w:p>
        </w:tc>
        <w:tc>
          <w:tcPr>
            <w:tcW w:w="1416" w:type="dxa"/>
          </w:tcPr>
          <w:p>
            <w:pPr>
              <w:jc w:val="center"/>
              <w:ind w:firstLine="0"/>
            </w:pPr>
            <w:r>
              <w:t xml:space="preserve">EN</w:t>
            </w:r>
          </w:p>
        </w:tc>
        <w:tc>
          <w:tcPr>
            <w:tcW w:w="1416" w:type="dxa"/>
          </w:tcPr>
          <w:p>
            <w:pPr>
              <w:jc w:val="center"/>
              <w:ind w:firstLine="0"/>
            </w:pPr>
            <w:r>
              <w:t xml:space="preserve">3</w:t>
            </w:r>
          </w:p>
        </w:tc>
        <w:tc>
          <w:tcPr>
            <w:tcW w:w="1416" w:type="dxa"/>
          </w:tcPr>
          <w:p>
            <w:pPr>
              <w:jc w:val="center"/>
              <w:ind w:firstLine="0"/>
            </w:pPr>
            <w:r>
              <w:t xml:space="preserve">0.855</w:t>
            </w:r>
          </w:p>
        </w:tc>
        <w:tc>
          <w:tcPr>
            <w:tcW w:w="1416" w:type="dxa"/>
          </w:tcPr>
          <w:p>
            <w:pPr>
              <w:jc w:val="center"/>
              <w:ind w:firstLine="0"/>
            </w:pPr>
            <w:r>
              <w:t xml:space="preserve">≥0.700</w:t>
            </w:r>
          </w:p>
        </w:tc>
        <w:tc>
          <w:tcPr>
            <w:tcW w:w="1416" w:type="dxa"/>
          </w:tcPr>
          <w:p>
            <w:pPr>
              <w:jc w:val="center"/>
              <w:ind w:firstLine="0"/>
            </w:pPr>
            <w:r>
              <w:t xml:space="preserve">信度良好</w:t>
            </w:r>
          </w:p>
        </w:tc>
      </w:tr>
    </w:tbl>
    <w:p>
      <w:pPr>
        <w:pStyle w:val="Normal"/>
      </w:pPr>
      <w:r>
        <w:t xml:space="preserve">由表3-1可知，各维度Cronbach α均在0.850以上，均显著超过0.700的可接受标准，表明本问卷各维度测量题项内部一致性良好，量表信度满足正式调研要求。</w:t>
      </w:r>
    </w:p>
    <w:p>
      <w:pPr>
        <w:pStyle w:val="4"/>
      </w:pPr>
      <w:r>
        <w:t>3.6.3效度检验（KMO与Bartlett检验）</w:t>
      </w:r>
    </w:p>
    <w:p>
      <w:pPr>
        <w:pStyle w:val="Normal"/>
      </w:pPr>
      <w:r>
        <w:t xml:space="preserve">效度检验旨在验证各测量题项能准确反映其对应潜变量内涵。本文首先通过KMO取样适切性量数与Bartlett球形检验评估数据适合度，结果如表3-2所示。</w:t>
      </w:r>
    </w:p>
    <w:p>
      <w:pPr>
        <w:pStyle w:val="12"/>
        <w:jc w:val="center"/>
      </w:pPr>
      <w:r>
        <w:t>表3-2 KMO和Bartlett球形检验结果</w:t>
      </w:r>
    </w:p>
    <w:tbl>
      <w:tblPr>
        <w:tblStyle w:val="TableGrid"/>
        <w:tblW w:w="8500" w:type="dxa"/>
      </w:tblPr>
      <w:tblGrid>
        <w:gridCol w:w="1700"/>
        <w:gridCol w:w="1700"/>
        <w:gridCol w:w="1700"/>
        <w:gridCol w:w="1700"/>
        <w:gridCol w:w="1700"/>
      </w:tblGrid>
      <w:tr>
        <w:tc>
          <w:tcPr>
            <w:tcW w:w="1700" w:type="dxa"/>
            <w:shd w:val="clear" w:color="auto" w:fill="DEEAF1"/>
          </w:tcPr>
          <w:p>
            <w:pPr>
              <w:jc w:val="center"/>
              <w:ind w:firstLine="0"/>
            </w:pPr>
            <w:r>
              <w:rPr>
                <w:b/>
              </w:rPr>
              <w:t xml:space="preserve">检验项目</w:t>
            </w:r>
          </w:p>
        </w:tc>
        <w:tc>
          <w:tcPr>
            <w:tcW w:w="1700" w:type="dxa"/>
            <w:shd w:val="clear" w:color="auto" w:fill="DEEAF1"/>
          </w:tcPr>
          <w:p>
            <w:pPr>
              <w:jc w:val="center"/>
              <w:ind w:firstLine="0"/>
            </w:pPr>
            <w:r>
              <w:rPr>
                <w:b/>
              </w:rPr>
              <w:t xml:space="preserve">统计量</w:t>
            </w:r>
          </w:p>
        </w:tc>
        <w:tc>
          <w:tcPr>
            <w:tcW w:w="1700" w:type="dxa"/>
            <w:shd w:val="clear" w:color="auto" w:fill="DEEAF1"/>
          </w:tcPr>
          <w:p>
            <w:pPr>
              <w:jc w:val="center"/>
              <w:ind w:firstLine="0"/>
            </w:pPr>
            <w:r>
              <w:rPr>
                <w:b/>
              </w:rPr>
              <w:t xml:space="preserve">值</w:t>
            </w:r>
          </w:p>
        </w:tc>
        <w:tc>
          <w:tcPr>
            <w:tcW w:w="1700" w:type="dxa"/>
            <w:shd w:val="clear" w:color="auto" w:fill="DEEAF1"/>
          </w:tcPr>
          <w:p>
            <w:pPr>
              <w:jc w:val="center"/>
              <w:ind w:firstLine="0"/>
            </w:pPr>
            <w:r>
              <w:rPr>
                <w:b/>
              </w:rPr>
              <w:t xml:space="preserve">判断标准</w:t>
            </w:r>
          </w:p>
        </w:tc>
        <w:tc>
          <w:tcPr>
            <w:tcW w:w="1700" w:type="dxa"/>
            <w:shd w:val="clear" w:color="auto" w:fill="DEEAF1"/>
          </w:tcPr>
          <w:p>
            <w:pPr>
              <w:jc w:val="center"/>
              <w:ind w:firstLine="0"/>
            </w:pPr>
            <w:r>
              <w:rPr>
                <w:b/>
              </w:rPr>
              <w:t xml:space="preserve">结论</w:t>
            </w:r>
          </w:p>
        </w:tc>
      </w:tr>
      <w:tr>
        <w:tc>
          <w:tcPr>
            <w:tcW w:w="1700" w:type="dxa"/>
          </w:tcPr>
          <w:p>
            <w:pPr>
              <w:jc w:val="center"/>
              <w:ind w:firstLine="0"/>
            </w:pPr>
            <w:r>
              <w:t xml:space="preserve">KMO取样适切性量数</w:t>
            </w:r>
          </w:p>
        </w:tc>
        <w:tc>
          <w:tcPr>
            <w:tcW w:w="1700" w:type="dxa"/>
          </w:tcPr>
          <w:p>
            <w:pPr>
              <w:jc w:val="center"/>
              <w:ind w:firstLine="0"/>
            </w:pPr>
            <w:r>
              <w:t xml:space="preserve">KMO</w:t>
            </w:r>
          </w:p>
        </w:tc>
        <w:tc>
          <w:tcPr>
            <w:tcW w:w="1700" w:type="dxa"/>
          </w:tcPr>
          <w:p>
            <w:pPr>
              <w:jc w:val="center"/>
              <w:ind w:firstLine="0"/>
            </w:pPr>
            <w:r>
              <w:t xml:space="preserve">0.890</w:t>
            </w:r>
          </w:p>
        </w:tc>
        <w:tc>
          <w:tcPr>
            <w:tcW w:w="1700" w:type="dxa"/>
          </w:tcPr>
          <w:p>
            <w:pPr>
              <w:jc w:val="center"/>
              <w:ind w:firstLine="0"/>
            </w:pPr>
            <w:r>
              <w:t xml:space="preserve">&gt;0.700</w:t>
            </w:r>
          </w:p>
        </w:tc>
        <w:tc>
          <w:tcPr>
            <w:tcW w:w="1700" w:type="dxa"/>
          </w:tcPr>
          <w:p>
            <w:pPr>
              <w:jc w:val="center"/>
              <w:ind w:firstLine="0"/>
            </w:pPr>
            <w:r>
              <w:t xml:space="preserve">适合进行因子分析</w:t>
            </w:r>
          </w:p>
        </w:tc>
      </w:tr>
      <w:tr>
        <w:tc>
          <w:tcPr>
            <w:tcW w:w="1700" w:type="dxa"/>
          </w:tcPr>
          <w:p>
            <w:pPr>
              <w:jc w:val="center"/>
              <w:ind w:firstLine="0"/>
            </w:pPr>
            <w:r>
              <w:t xml:space="preserve">Bartlett球形检验</w:t>
            </w:r>
          </w:p>
        </w:tc>
        <w:tc>
          <w:tcPr>
            <w:tcW w:w="1700" w:type="dxa"/>
          </w:tcPr>
          <w:p>
            <w:pPr>
              <w:jc w:val="center"/>
              <w:ind w:firstLine="0"/>
            </w:pPr>
            <w:r>
              <w:t xml:space="preserve">近似卡方值（χ²）</w:t>
            </w:r>
          </w:p>
        </w:tc>
        <w:tc>
          <w:tcPr>
            <w:tcW w:w="1700" w:type="dxa"/>
          </w:tcPr>
          <w:p>
            <w:pPr>
              <w:jc w:val="center"/>
              <w:ind w:firstLine="0"/>
            </w:pPr>
            <w:r>
              <w:t xml:space="preserve">916.023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自由度（df）</w:t>
            </w:r>
          </w:p>
        </w:tc>
        <w:tc>
          <w:tcPr>
            <w:tcW w:w="1700" w:type="dxa"/>
          </w:tcPr>
          <w:p>
            <w:pPr>
              <w:jc w:val="center"/>
              <w:ind w:firstLine="0"/>
            </w:pPr>
            <w:r>
              <w:t xml:space="preserve">153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显著性（Sig.）</w:t>
            </w:r>
          </w:p>
        </w:tc>
        <w:tc>
          <w:tcPr>
            <w:tcW w:w="1700" w:type="dxa"/>
          </w:tcPr>
          <w:p>
            <w:pPr>
              <w:jc w:val="center"/>
              <w:ind w:firstLine="0"/>
            </w:pPr>
            <w:r>
              <w:t xml:space="preserve">&lt;0.001</w:t>
            </w:r>
          </w:p>
        </w:tc>
        <w:tc>
          <w:tcPr>
            <w:tcW w:w="1700" w:type="dxa"/>
          </w:tcPr>
          <w:p>
            <w:pPr>
              <w:jc w:val="center"/>
              <w:ind w:firstLine="0"/>
            </w:pPr>
            <w:r>
              <w:t xml:space="preserve">&lt;0.05</w:t>
            </w:r>
          </w:p>
        </w:tc>
        <w:tc>
          <w:tcPr>
            <w:tcW w:w="1700" w:type="dxa"/>
          </w:tcPr>
          <w:p>
            <w:pPr>
              <w:jc w:val="center"/>
              <w:ind w:firstLine="0"/>
            </w:pPr>
            <w:r>
              <w:t xml:space="preserve">适合进行因子分析</w:t>
            </w:r>
          </w:p>
        </w:tc>
      </w:tr>
    </w:tbl>
    <w:p>
      <w:pPr>
        <w:pStyle w:val="Normal"/>
      </w:pPr>
      <w:r>
        <w:t xml:space="preserve">由表3-2可知，KMO值为0.890，超过0.700标准，达到"良好"水平（Kaiser，1974）；Bartlett球形检验近似卡方值为916.023（df=153，p&lt;0.001），拒绝相关矩阵为单位阵的原假设，验证了变量间存在充分共变关系，数据结构满足因子分析前提条件。</w:t>
      </w:r>
    </w:p>
    <w:p>
      <w:pPr>
        <w:pStyle w:val="4"/>
      </w:pPr>
      <w:r>
        <w:t>3.6.4主成分分析</w:t>
      </w:r>
    </w:p>
    <w:p>
      <w:pPr>
        <w:pStyle w:val="Normal"/>
      </w:pPr>
      <w:r>
        <w:t xml:space="preserve">在上述检验通过的基础上，本文采用主成分分析法进行探索性因子分析，以Kaiser标准化最大方差法（Varimax）进行正交旋转，依据理论模型提取6个公因子。各成分特征根与方差解释情况如表3-3所示。</w:t>
      </w:r>
    </w:p>
    <w:p>
      <w:pPr>
        <w:pStyle w:val="12"/>
        <w:jc w:val="center"/>
      </w:pPr>
      <w:r>
        <w:t>表3-3 总方差解释（提取6个公因子）</w:t>
      </w:r>
    </w:p>
    <w:tbl>
      <w:tblPr>
        <w:tblStyle w:val="TableGrid"/>
        <w:tblW w:w="8500" w:type="dxa"/>
      </w:tblPr>
      <w:tblGrid>
        <w:gridCol w:w="2125"/>
        <w:gridCol w:w="2125"/>
        <w:gridCol w:w="2125"/>
        <w:gridCol w:w="2125"/>
      </w:tblGrid>
      <w:tr>
        <w:tc>
          <w:tcPr>
            <w:tcW w:w="2125" w:type="dxa"/>
            <w:shd w:val="clear" w:color="auto" w:fill="DEEAF1"/>
          </w:tcPr>
          <w:p>
            <w:pPr>
              <w:jc w:val="center"/>
              <w:ind w:firstLine="0"/>
            </w:pPr>
            <w:r>
              <w:rPr>
                <w:b/>
              </w:rPr>
              <w:t xml:space="preserve">成分</w:t>
            </w:r>
          </w:p>
        </w:tc>
        <w:tc>
          <w:tcPr>
            <w:tcW w:w="2125" w:type="dxa"/>
            <w:shd w:val="clear" w:color="auto" w:fill="DEEAF1"/>
          </w:tcPr>
          <w:p>
            <w:pPr>
              <w:jc w:val="center"/>
              <w:ind w:firstLine="0"/>
            </w:pPr>
            <w:r>
              <w:rPr>
                <w:b/>
              </w:rPr>
              <w:t xml:space="preserve">初始特征值（λ）</w:t>
            </w:r>
          </w:p>
        </w:tc>
        <w:tc>
          <w:tcPr>
            <w:tcW w:w="2125" w:type="dxa"/>
            <w:shd w:val="clear" w:color="auto" w:fill="DEEAF1"/>
          </w:tcPr>
          <w:p>
            <w:pPr>
              <w:jc w:val="center"/>
              <w:ind w:firstLine="0"/>
            </w:pPr>
            <w:r>
              <w:rPr>
                <w:b/>
              </w:rPr>
              <w:t xml:space="preserve">方差贡献率（%）</w:t>
            </w:r>
          </w:p>
        </w:tc>
        <w:tc>
          <w:tcPr>
            <w:tcW w:w="2125" w:type="dxa"/>
            <w:shd w:val="clear" w:color="auto" w:fill="DEEAF1"/>
          </w:tcPr>
          <w:p>
            <w:pPr>
              <w:jc w:val="center"/>
              <w:ind w:firstLine="0"/>
            </w:pPr>
            <w:r>
              <w:rPr>
                <w:b/>
              </w:rPr>
              <w:t xml:space="preserve">累积方差贡献率（%）</w:t>
            </w:r>
          </w:p>
        </w:tc>
      </w:tr>
      <w:tr>
        <w:tc>
          <w:tcPr>
            <w:tcW w:w="2125" w:type="dxa"/>
          </w:tcPr>
          <w:p>
            <w:pPr>
              <w:jc w:val="center"/>
              <w:ind w:firstLine="0"/>
            </w:pPr>
            <w:r>
              <w:t xml:space="preserve">1</w:t>
            </w:r>
          </w:p>
        </w:tc>
        <w:tc>
          <w:tcPr>
            <w:tcW w:w="2125" w:type="dxa"/>
          </w:tcPr>
          <w:p>
            <w:pPr>
              <w:jc w:val="center"/>
              <w:ind w:firstLine="0"/>
            </w:pPr>
            <w:r>
              <w:t xml:space="preserve">11.523</w:t>
            </w:r>
          </w:p>
        </w:tc>
        <w:tc>
          <w:tcPr>
            <w:tcW w:w="2125" w:type="dxa"/>
          </w:tcPr>
          <w:p>
            <w:pPr>
              <w:jc w:val="center"/>
              <w:ind w:firstLine="0"/>
            </w:pPr>
            <w:r>
              <w:t xml:space="preserve">64.02</w:t>
            </w:r>
          </w:p>
        </w:tc>
        <w:tc>
          <w:tcPr>
            <w:tcW w:w="2125" w:type="dxa"/>
          </w:tcPr>
          <w:p>
            <w:pPr>
              <w:jc w:val="center"/>
              <w:ind w:firstLine="0"/>
            </w:pPr>
            <w:r>
              <w:t xml:space="preserve">64.02</w:t>
            </w:r>
          </w:p>
        </w:tc>
      </w:tr>
      <w:tr>
        <w:tc>
          <w:tcPr>
            <w:tcW w:w="2125" w:type="dxa"/>
          </w:tcPr>
          <w:p>
            <w:pPr>
              <w:jc w:val="center"/>
              <w:ind w:firstLine="0"/>
            </w:pPr>
            <w:r>
              <w:t xml:space="preserve">2</w:t>
            </w:r>
          </w:p>
        </w:tc>
        <w:tc>
          <w:tcPr>
            <w:tcW w:w="2125" w:type="dxa"/>
          </w:tcPr>
          <w:p>
            <w:pPr>
              <w:jc w:val="center"/>
              <w:ind w:firstLine="0"/>
            </w:pPr>
            <w:r>
              <w:t xml:space="preserve">2.012</w:t>
            </w:r>
          </w:p>
        </w:tc>
        <w:tc>
          <w:tcPr>
            <w:tcW w:w="2125" w:type="dxa"/>
          </w:tcPr>
          <w:p>
            <w:pPr>
              <w:jc w:val="center"/>
              <w:ind w:firstLine="0"/>
            </w:pPr>
            <w:r>
              <w:t xml:space="preserve">11.18</w:t>
            </w:r>
          </w:p>
        </w:tc>
        <w:tc>
          <w:tcPr>
            <w:tcW w:w="2125" w:type="dxa"/>
          </w:tcPr>
          <w:p>
            <w:pPr>
              <w:jc w:val="center"/>
              <w:ind w:firstLine="0"/>
            </w:pPr>
            <w:r>
              <w:t xml:space="preserve">75.19</w:t>
            </w:r>
          </w:p>
        </w:tc>
      </w:tr>
      <w:tr>
        <w:tc>
          <w:tcPr>
            <w:tcW w:w="2125" w:type="dxa"/>
          </w:tcPr>
          <w:p>
            <w:pPr>
              <w:jc w:val="center"/>
              <w:ind w:firstLine="0"/>
            </w:pPr>
            <w:r>
              <w:t xml:space="preserve">3</w:t>
            </w:r>
          </w:p>
        </w:tc>
        <w:tc>
          <w:tcPr>
            <w:tcW w:w="2125" w:type="dxa"/>
          </w:tcPr>
          <w:p>
            <w:pPr>
              <w:jc w:val="center"/>
              <w:ind w:firstLine="0"/>
            </w:pPr>
            <w:r>
              <w:t xml:space="preserve">0.695</w:t>
            </w:r>
          </w:p>
        </w:tc>
        <w:tc>
          <w:tcPr>
            <w:tcW w:w="2125" w:type="dxa"/>
          </w:tcPr>
          <w:p>
            <w:pPr>
              <w:jc w:val="center"/>
              <w:ind w:firstLine="0"/>
            </w:pPr>
            <w:r>
              <w:t xml:space="preserve">3.86</w:t>
            </w:r>
          </w:p>
        </w:tc>
        <w:tc>
          <w:tcPr>
            <w:tcW w:w="2125" w:type="dxa"/>
          </w:tcPr>
          <w:p>
            <w:pPr>
              <w:jc w:val="center"/>
              <w:ind w:firstLine="0"/>
            </w:pPr>
            <w:r>
              <w:t xml:space="preserve">79.05</w:t>
            </w:r>
          </w:p>
        </w:tc>
      </w:tr>
      <w:tr>
        <w:tc>
          <w:tcPr>
            <w:tcW w:w="2125" w:type="dxa"/>
          </w:tcPr>
          <w:p>
            <w:pPr>
              <w:jc w:val="center"/>
              <w:ind w:firstLine="0"/>
            </w:pPr>
            <w:r>
              <w:t xml:space="preserve">4</w:t>
            </w:r>
          </w:p>
        </w:tc>
        <w:tc>
          <w:tcPr>
            <w:tcW w:w="2125" w:type="dxa"/>
          </w:tcPr>
          <w:p>
            <w:pPr>
              <w:jc w:val="center"/>
              <w:ind w:firstLine="0"/>
            </w:pPr>
            <w:r>
              <w:t xml:space="preserve">0.590</w:t>
            </w:r>
          </w:p>
        </w:tc>
        <w:tc>
          <w:tcPr>
            <w:tcW w:w="2125" w:type="dxa"/>
          </w:tcPr>
          <w:p>
            <w:pPr>
              <w:jc w:val="center"/>
              <w:ind w:firstLine="0"/>
            </w:pPr>
            <w:r>
              <w:t xml:space="preserve">3.28</w:t>
            </w:r>
          </w:p>
        </w:tc>
        <w:tc>
          <w:tcPr>
            <w:tcW w:w="2125" w:type="dxa"/>
          </w:tcPr>
          <w:p>
            <w:pPr>
              <w:jc w:val="center"/>
              <w:ind w:firstLine="0"/>
            </w:pPr>
            <w:r>
              <w:t xml:space="preserve">82.33</w:t>
            </w:r>
          </w:p>
        </w:tc>
      </w:tr>
      <w:tr>
        <w:tc>
          <w:tcPr>
            <w:tcW w:w="2125" w:type="dxa"/>
          </w:tcPr>
          <w:p>
            <w:pPr>
              <w:jc w:val="center"/>
              <w:ind w:firstLine="0"/>
            </w:pPr>
            <w:r>
              <w:t xml:space="preserve">5</w:t>
            </w:r>
          </w:p>
        </w:tc>
        <w:tc>
          <w:tcPr>
            <w:tcW w:w="2125" w:type="dxa"/>
          </w:tcPr>
          <w:p>
            <w:pPr>
              <w:jc w:val="center"/>
              <w:ind w:firstLine="0"/>
            </w:pPr>
            <w:r>
              <w:t xml:space="preserve">0.489</w:t>
            </w:r>
          </w:p>
        </w:tc>
        <w:tc>
          <w:tcPr>
            <w:tcW w:w="2125" w:type="dxa"/>
          </w:tcPr>
          <w:p>
            <w:pPr>
              <w:jc w:val="center"/>
              <w:ind w:firstLine="0"/>
            </w:pPr>
            <w:r>
              <w:t xml:space="preserve">2.72</w:t>
            </w:r>
          </w:p>
        </w:tc>
        <w:tc>
          <w:tcPr>
            <w:tcW w:w="2125" w:type="dxa"/>
          </w:tcPr>
          <w:p>
            <w:pPr>
              <w:jc w:val="center"/>
              <w:ind w:firstLine="0"/>
            </w:pPr>
            <w:r>
              <w:t xml:space="preserve">85.05</w:t>
            </w:r>
          </w:p>
        </w:tc>
      </w:tr>
      <w:tr>
        <w:tc>
          <w:tcPr>
            <w:tcW w:w="2125" w:type="dxa"/>
          </w:tcPr>
          <w:p>
            <w:pPr>
              <w:jc w:val="center"/>
              <w:ind w:firstLine="0"/>
            </w:pPr>
            <w:r>
              <w:t xml:space="preserve">6</w:t>
            </w:r>
          </w:p>
        </w:tc>
        <w:tc>
          <w:tcPr>
            <w:tcW w:w="2125" w:type="dxa"/>
          </w:tcPr>
          <w:p>
            <w:pPr>
              <w:jc w:val="center"/>
              <w:ind w:firstLine="0"/>
            </w:pPr>
            <w:r>
              <w:t xml:space="preserve">0.445</w:t>
            </w:r>
          </w:p>
        </w:tc>
        <w:tc>
          <w:tcPr>
            <w:tcW w:w="2125" w:type="dxa"/>
          </w:tcPr>
          <w:p>
            <w:pPr>
              <w:jc w:val="center"/>
              <w:ind w:firstLine="0"/>
            </w:pPr>
            <w:r>
              <w:t xml:space="preserve">2.47</w:t>
            </w:r>
          </w:p>
        </w:tc>
        <w:tc>
          <w:tcPr>
            <w:tcW w:w="2125" w:type="dxa"/>
          </w:tcPr>
          <w:p>
            <w:pPr>
              <w:jc w:val="center"/>
              <w:ind w:firstLine="0"/>
            </w:pPr>
            <w:r>
              <w:t xml:space="preserve">87.52</w:t>
            </w:r>
          </w:p>
        </w:tc>
      </w:tr>
      <w:tr>
        <w:tc>
          <w:tcPr>
            <w:tcW w:w="2125" w:type="dxa"/>
          </w:tcPr>
          <w:p>
            <w:pPr>
              <w:jc w:val="center"/>
              <w:ind w:firstLine="0"/>
            </w:pPr>
            <w:r>
              <w:t xml:space="preserve">7</w:t>
            </w:r>
          </w:p>
        </w:tc>
        <w:tc>
          <w:tcPr>
            <w:tcW w:w="2125" w:type="dxa"/>
          </w:tcPr>
          <w:p>
            <w:pPr>
              <w:jc w:val="center"/>
              <w:ind w:firstLine="0"/>
            </w:pPr>
            <w:r>
              <w:t xml:space="preserve">0.391</w:t>
            </w:r>
          </w:p>
        </w:tc>
        <w:tc>
          <w:tcPr>
            <w:tcW w:w="2125" w:type="dxa"/>
          </w:tcPr>
          <w:p>
            <w:pPr>
              <w:jc w:val="center"/>
              <w:ind w:firstLine="0"/>
            </w:pPr>
            <w:r>
              <w:t xml:space="preserve">2.17</w:t>
            </w:r>
          </w:p>
        </w:tc>
        <w:tc>
          <w:tcPr>
            <w:tcW w:w="2125" w:type="dxa"/>
          </w:tcPr>
          <w:p>
            <w:pPr>
              <w:jc w:val="center"/>
              <w:ind w:firstLine="0"/>
            </w:pPr>
            <w:r>
              <w:t xml:space="preserve">89.69</w:t>
            </w:r>
          </w:p>
        </w:tc>
      </w:tr>
      <w:tr>
        <w:tc>
          <w:tcPr>
            <w:tcW w:w="2125" w:type="dxa"/>
          </w:tcPr>
          <w:p>
            <w:pPr>
              <w:jc w:val="center"/>
              <w:ind w:firstLine="0"/>
            </w:pPr>
            <w:r>
              <w:t xml:space="preserve">8</w:t>
            </w:r>
          </w:p>
        </w:tc>
        <w:tc>
          <w:tcPr>
            <w:tcW w:w="2125" w:type="dxa"/>
          </w:tcPr>
          <w:p>
            <w:pPr>
              <w:jc w:val="center"/>
              <w:ind w:firstLine="0"/>
            </w:pPr>
            <w:r>
              <w:t xml:space="preserve">0.297</w:t>
            </w:r>
          </w:p>
        </w:tc>
        <w:tc>
          <w:tcPr>
            <w:tcW w:w="2125" w:type="dxa"/>
          </w:tcPr>
          <w:p>
            <w:pPr>
              <w:jc w:val="center"/>
              <w:ind w:firstLine="0"/>
            </w:pPr>
            <w:r>
              <w:t xml:space="preserve">1.65</w:t>
            </w:r>
          </w:p>
        </w:tc>
        <w:tc>
          <w:tcPr>
            <w:tcW w:w="2125" w:type="dxa"/>
          </w:tcPr>
          <w:p>
            <w:pPr>
              <w:jc w:val="center"/>
              <w:ind w:firstLine="0"/>
            </w:pPr>
            <w:r>
              <w:t xml:space="preserve">91.34</w:t>
            </w:r>
          </w:p>
        </w:tc>
      </w:tr>
    </w:tbl>
    <w:p>
      <w:pPr>
        <w:pStyle w:val="Normal"/>
      </w:pPr>
      <w:r>
        <w:t xml:space="preserve">由表3-3可知，提取的6个公因子累积方差贡献率达到87.52%，能够充分解释原始变量信息。旋转后各因子载荷矩阵如表3-4所示。</w:t>
      </w:r>
    </w:p>
    <w:p>
      <w:pPr>
        <w:pStyle w:val="12"/>
        <w:jc w:val="center"/>
      </w:pPr>
      <w:r>
        <w:t>表3-4 旋转后成分矩阵（6因子Varimax旋转）</w:t>
      </w:r>
    </w:p>
    <w:tbl>
      <w:tblPr>
        <w:tblStyle w:val="TableGrid"/>
        <w:tblW w:w="8500" w:type="dxa"/>
      </w:tblPr>
      <w:tblGrid>
        <w:gridCol w:w="1062"/>
        <w:gridCol w:w="1062"/>
        <w:gridCol w:w="1062"/>
        <w:gridCol w:w="1062"/>
        <w:gridCol w:w="1062"/>
        <w:gridCol w:w="1062"/>
        <w:gridCol w:w="1062"/>
        <w:gridCol w:w="1062"/>
      </w:tblGrid>
      <w:tr>
        <w:tc>
          <w:tcPr>
            <w:tcW w:w="1062" w:type="dxa"/>
            <w:shd w:val="clear" w:color="auto" w:fill="DEEAF1"/>
          </w:tcPr>
          <w:p>
            <w:pPr>
              <w:jc w:val="center"/>
              <w:ind w:firstLine="0"/>
            </w:pPr>
            <w:r>
              <w:rPr>
                <w:b/>
              </w:rPr>
              <w:t xml:space="preserve">题项</w:t>
            </w:r>
          </w:p>
        </w:tc>
        <w:tc>
          <w:tcPr>
            <w:tcW w:w="1062" w:type="dxa"/>
            <w:shd w:val="clear" w:color="auto" w:fill="DEEAF1"/>
          </w:tcPr>
          <w:p>
            <w:pPr>
              <w:jc w:val="center"/>
              <w:ind w:firstLine="0"/>
            </w:pPr>
            <w:r>
              <w:rPr>
                <w:b/>
              </w:rPr>
              <w:t xml:space="preserve">F1</w:t>
            </w:r>
          </w:p>
        </w:tc>
        <w:tc>
          <w:tcPr>
            <w:tcW w:w="1062" w:type="dxa"/>
            <w:shd w:val="clear" w:color="auto" w:fill="DEEAF1"/>
          </w:tcPr>
          <w:p>
            <w:pPr>
              <w:jc w:val="center"/>
              <w:ind w:firstLine="0"/>
            </w:pPr>
            <w:r>
              <w:rPr>
                <w:b/>
              </w:rPr>
              <w:t xml:space="preserve">F2</w:t>
            </w:r>
          </w:p>
        </w:tc>
        <w:tc>
          <w:tcPr>
            <w:tcW w:w="1062" w:type="dxa"/>
            <w:shd w:val="clear" w:color="auto" w:fill="DEEAF1"/>
          </w:tcPr>
          <w:p>
            <w:pPr>
              <w:jc w:val="center"/>
              <w:ind w:firstLine="0"/>
            </w:pPr>
            <w:r>
              <w:rPr>
                <w:b/>
              </w:rPr>
              <w:t xml:space="preserve">F3</w:t>
            </w:r>
          </w:p>
        </w:tc>
        <w:tc>
          <w:tcPr>
            <w:tcW w:w="1062" w:type="dxa"/>
            <w:shd w:val="clear" w:color="auto" w:fill="DEEAF1"/>
          </w:tcPr>
          <w:p>
            <w:pPr>
              <w:jc w:val="center"/>
              <w:ind w:firstLine="0"/>
            </w:pPr>
            <w:r>
              <w:rPr>
                <w:b/>
              </w:rPr>
              <w:t xml:space="preserve">F4</w:t>
            </w:r>
          </w:p>
        </w:tc>
        <w:tc>
          <w:tcPr>
            <w:tcW w:w="1062" w:type="dxa"/>
            <w:shd w:val="clear" w:color="auto" w:fill="DEEAF1"/>
          </w:tcPr>
          <w:p>
            <w:pPr>
              <w:jc w:val="center"/>
              <w:ind w:firstLine="0"/>
            </w:pPr>
            <w:r>
              <w:rPr>
                <w:b/>
              </w:rPr>
              <w:t xml:space="preserve">F5</w:t>
            </w:r>
          </w:p>
        </w:tc>
        <w:tc>
          <w:tcPr>
            <w:tcW w:w="1062" w:type="dxa"/>
            <w:shd w:val="clear" w:color="auto" w:fill="DEEAF1"/>
          </w:tcPr>
          <w:p>
            <w:pPr>
              <w:jc w:val="center"/>
              <w:ind w:firstLine="0"/>
            </w:pPr>
            <w:r>
              <w:rPr>
                <w:b/>
              </w:rPr>
              <w:t xml:space="preserve">F6</w:t>
            </w:r>
          </w:p>
        </w:tc>
        <w:tc>
          <w:tcPr>
            <w:tcW w:w="1062" w:type="dxa"/>
            <w:shd w:val="clear" w:color="auto" w:fill="DEEAF1"/>
          </w:tcPr>
          <w:p>
            <w:pPr>
              <w:jc w:val="center"/>
              <w:ind w:firstLine="0"/>
            </w:pPr>
            <w:r>
              <w:rPr>
                <w:b/>
              </w:rPr>
              <w:t xml:space="preserve">共同度（h²）</w:t>
            </w:r>
          </w:p>
        </w:tc>
      </w:tr>
      <w:tr>
        <w:tc>
          <w:tcPr>
            <w:tcW w:w="1062" w:type="dxa"/>
          </w:tcPr>
          <w:p>
            <w:pPr>
              <w:jc w:val="center"/>
              <w:ind w:firstLine="0"/>
            </w:pPr>
            <w:r>
              <w:t xml:space="preserve">GP1</w:t>
            </w:r>
          </w:p>
        </w:tc>
        <w:tc>
          <w:tcPr>
            <w:tcW w:w="1062" w:type="dxa"/>
          </w:tcPr>
          <w:p>
            <w:pPr>
              <w:jc w:val="center"/>
              <w:ind w:firstLine="0"/>
            </w:pPr>
            <w:r>
              <w:t xml:space="preserve">0.740</w:t>
            </w:r>
          </w:p>
        </w:tc>
        <w:tc>
          <w:tcPr>
            <w:tcW w:w="1062" w:type="dxa"/>
          </w:tcPr>
          <w:p>
            <w:pPr>
              <w:jc w:val="center"/>
              <w:ind w:firstLine="0"/>
            </w:pPr>
            <w:r>
              <w:t xml:space="preserve">0.313</w:t>
            </w:r>
          </w:p>
        </w:tc>
        <w:tc>
          <w:tcPr>
            <w:tcW w:w="1062" w:type="dxa"/>
          </w:tcPr>
          <w:p>
            <w:pPr>
              <w:jc w:val="center"/>
              <w:ind w:firstLine="0"/>
            </w:pPr>
            <w:r>
              <w:t xml:space="preserve">0.288</w:t>
            </w:r>
          </w:p>
        </w:tc>
        <w:tc>
          <w:tcPr>
            <w:tcW w:w="1062" w:type="dxa"/>
          </w:tcPr>
          <w:p>
            <w:pPr>
              <w:jc w:val="center"/>
              <w:ind w:firstLine="0"/>
            </w:pPr>
            <w:r>
              <w:t xml:space="preserve">0.403</w:t>
            </w:r>
          </w:p>
        </w:tc>
        <w:tc>
          <w:tcPr>
            <w:tcW w:w="1062" w:type="dxa"/>
          </w:tcPr>
          <w:p>
            <w:pPr>
              <w:jc w:val="center"/>
              <w:ind w:firstLine="0"/>
            </w:pPr>
            <w:r>
              <w:t xml:space="preserve">0.159</w:t>
            </w:r>
          </w:p>
        </w:tc>
        <w:tc>
          <w:tcPr>
            <w:tcW w:w="1062" w:type="dxa"/>
          </w:tcPr>
          <w:p>
            <w:pPr>
              <w:jc w:val="center"/>
              <w:ind w:firstLine="0"/>
            </w:pPr>
            <w:r>
              <w:t xml:space="preserve">0.057</w:t>
            </w:r>
          </w:p>
        </w:tc>
        <w:tc>
          <w:tcPr>
            <w:tcW w:w="1062" w:type="dxa"/>
          </w:tcPr>
          <w:p>
            <w:pPr>
              <w:jc w:val="center"/>
              <w:ind w:firstLine="0"/>
            </w:pPr>
            <w:r>
              <w:t xml:space="preserve">0.920</w:t>
            </w:r>
          </w:p>
        </w:tc>
      </w:tr>
      <w:tr>
        <w:tc>
          <w:tcPr>
            <w:tcW w:w="1062" w:type="dxa"/>
          </w:tcPr>
          <w:p>
            <w:pPr>
              <w:jc w:val="center"/>
              <w:ind w:firstLine="0"/>
            </w:pPr>
            <w:r>
              <w:t xml:space="preserve">GP2</w:t>
            </w:r>
          </w:p>
        </w:tc>
        <w:tc>
          <w:tcPr>
            <w:tcW w:w="1062" w:type="dxa"/>
          </w:tcPr>
          <w:p>
            <w:pPr>
              <w:jc w:val="center"/>
              <w:ind w:firstLine="0"/>
            </w:pPr>
            <w:r>
              <w:t xml:space="preserve">0.588</w:t>
            </w:r>
          </w:p>
        </w:tc>
        <w:tc>
          <w:tcPr>
            <w:tcW w:w="1062" w:type="dxa"/>
          </w:tcPr>
          <w:p>
            <w:pPr>
              <w:jc w:val="center"/>
              <w:ind w:firstLine="0"/>
            </w:pPr>
            <w:r>
              <w:t xml:space="preserve">0.083</w:t>
            </w:r>
          </w:p>
        </w:tc>
        <w:tc>
          <w:tcPr>
            <w:tcW w:w="1062" w:type="dxa"/>
          </w:tcPr>
          <w:p>
            <w:pPr>
              <w:jc w:val="center"/>
              <w:ind w:firstLine="0"/>
            </w:pPr>
            <w:r>
              <w:t xml:space="preserve">0.340</w:t>
            </w:r>
          </w:p>
        </w:tc>
        <w:tc>
          <w:tcPr>
            <w:tcW w:w="1062" w:type="dxa"/>
          </w:tcPr>
          <w:p>
            <w:pPr>
              <w:jc w:val="center"/>
              <w:ind w:firstLine="0"/>
            </w:pPr>
            <w:r>
              <w:t xml:space="preserve">0.596</w:t>
            </w:r>
          </w:p>
        </w:tc>
        <w:tc>
          <w:tcPr>
            <w:tcW w:w="1062" w:type="dxa"/>
          </w:tcPr>
          <w:p>
            <w:pPr>
              <w:jc w:val="center"/>
              <w:ind w:firstLine="0"/>
            </w:pPr>
            <w:r>
              <w:t xml:space="preserve">0.040</w:t>
            </w:r>
          </w:p>
        </w:tc>
        <w:tc>
          <w:tcPr>
            <w:tcW w:w="1062" w:type="dxa"/>
          </w:tcPr>
          <w:p>
            <w:pPr>
              <w:jc w:val="center"/>
              <w:ind w:firstLine="0"/>
            </w:pPr>
            <w:r>
              <w:t xml:space="preserve">0.161</w:t>
            </w:r>
          </w:p>
        </w:tc>
        <w:tc>
          <w:tcPr>
            <w:tcW w:w="1062" w:type="dxa"/>
          </w:tcPr>
          <w:p>
            <w:pPr>
              <w:jc w:val="center"/>
              <w:ind w:firstLine="0"/>
            </w:pPr>
            <w:r>
              <w:t xml:space="preserve">0.852</w:t>
            </w:r>
          </w:p>
        </w:tc>
      </w:tr>
      <w:tr>
        <w:tc>
          <w:tcPr>
            <w:tcW w:w="1062" w:type="dxa"/>
          </w:tcPr>
          <w:p>
            <w:pPr>
              <w:jc w:val="center"/>
              <w:ind w:firstLine="0"/>
            </w:pPr>
            <w:r>
              <w:t xml:space="preserve">GP3</w:t>
            </w:r>
          </w:p>
        </w:tc>
        <w:tc>
          <w:tcPr>
            <w:tcW w:w="1062" w:type="dxa"/>
          </w:tcPr>
          <w:p>
            <w:pPr>
              <w:jc w:val="center"/>
              <w:ind w:firstLine="0"/>
            </w:pPr>
            <w:r>
              <w:t xml:space="preserve">0.701</w:t>
            </w:r>
          </w:p>
        </w:tc>
        <w:tc>
          <w:tcPr>
            <w:tcW w:w="1062" w:type="dxa"/>
          </w:tcPr>
          <w:p>
            <w:pPr>
              <w:jc w:val="center"/>
              <w:ind w:firstLine="0"/>
            </w:pPr>
            <w:r>
              <w:t xml:space="preserve">0.206</w:t>
            </w:r>
          </w:p>
        </w:tc>
        <w:tc>
          <w:tcPr>
            <w:tcW w:w="1062" w:type="dxa"/>
          </w:tcPr>
          <w:p>
            <w:pPr>
              <w:jc w:val="center"/>
              <w:ind w:firstLine="0"/>
            </w:pPr>
            <w:r>
              <w:t xml:space="preserve">0.225</w:t>
            </w:r>
          </w:p>
        </w:tc>
        <w:tc>
          <w:tcPr>
            <w:tcW w:w="1062" w:type="dxa"/>
          </w:tcPr>
          <w:p>
            <w:pPr>
              <w:jc w:val="center"/>
              <w:ind w:firstLine="0"/>
            </w:pPr>
            <w:r>
              <w:t xml:space="preserve">0.474</w:t>
            </w:r>
          </w:p>
        </w:tc>
        <w:tc>
          <w:tcPr>
            <w:tcW w:w="1062" w:type="dxa"/>
          </w:tcPr>
          <w:p>
            <w:pPr>
              <w:jc w:val="center"/>
              <w:ind w:firstLine="0"/>
            </w:pPr>
            <w:r>
              <w:t xml:space="preserve">0.065</w:t>
            </w:r>
          </w:p>
        </w:tc>
        <w:tc>
          <w:tcPr>
            <w:tcW w:w="1062" w:type="dxa"/>
          </w:tcPr>
          <w:p>
            <w:pPr>
              <w:jc w:val="center"/>
              <w:ind w:firstLine="0"/>
            </w:pPr>
            <w:r>
              <w:t xml:space="preserve">0.308</w:t>
            </w:r>
          </w:p>
        </w:tc>
        <w:tc>
          <w:tcPr>
            <w:tcW w:w="1062" w:type="dxa"/>
          </w:tcPr>
          <w:p>
            <w:pPr>
              <w:jc w:val="center"/>
              <w:ind w:firstLine="0"/>
            </w:pPr>
            <w:r>
              <w:t xml:space="preserve">0.908</w:t>
            </w:r>
          </w:p>
        </w:tc>
      </w:tr>
      <w:tr>
        <w:tc>
          <w:tcPr>
            <w:tcW w:w="1062" w:type="dxa"/>
          </w:tcPr>
          <w:p>
            <w:pPr>
              <w:jc w:val="center"/>
              <w:ind w:firstLine="0"/>
            </w:pPr>
            <w:r>
              <w:t xml:space="preserve">TS1</w:t>
            </w:r>
          </w:p>
        </w:tc>
        <w:tc>
          <w:tcPr>
            <w:tcW w:w="1062" w:type="dxa"/>
          </w:tcPr>
          <w:p>
            <w:pPr>
              <w:jc w:val="center"/>
              <w:ind w:firstLine="0"/>
            </w:pPr>
            <w:r>
              <w:t xml:space="preserve">0.634</w:t>
            </w:r>
          </w:p>
        </w:tc>
        <w:tc>
          <w:tcPr>
            <w:tcW w:w="1062" w:type="dxa"/>
          </w:tcPr>
          <w:p>
            <w:pPr>
              <w:jc w:val="center"/>
              <w:ind w:firstLine="0"/>
            </w:pPr>
            <w:r>
              <w:t xml:space="preserve">0.144</w:t>
            </w:r>
          </w:p>
        </w:tc>
        <w:tc>
          <w:tcPr>
            <w:tcW w:w="1062" w:type="dxa"/>
          </w:tcPr>
          <w:p>
            <w:pPr>
              <w:jc w:val="center"/>
              <w:ind w:firstLine="0"/>
            </w:pPr>
            <w:r>
              <w:t xml:space="preserve">0.027</w:t>
            </w:r>
          </w:p>
        </w:tc>
        <w:tc>
          <w:tcPr>
            <w:tcW w:w="1062" w:type="dxa"/>
          </w:tcPr>
          <w:p>
            <w:pPr>
              <w:jc w:val="center"/>
              <w:ind w:firstLine="0"/>
            </w:pPr>
            <w:r>
              <w:t xml:space="preserve">0.524</w:t>
            </w:r>
          </w:p>
        </w:tc>
        <w:tc>
          <w:tcPr>
            <w:tcW w:w="1062" w:type="dxa"/>
          </w:tcPr>
          <w:p>
            <w:pPr>
              <w:jc w:val="center"/>
              <w:ind w:firstLine="0"/>
            </w:pPr>
            <w:r>
              <w:t xml:space="preserve">0.376</w:t>
            </w:r>
          </w:p>
        </w:tc>
        <w:tc>
          <w:tcPr>
            <w:tcW w:w="1062" w:type="dxa"/>
          </w:tcPr>
          <w:p>
            <w:pPr>
              <w:jc w:val="center"/>
              <w:ind w:firstLine="0"/>
            </w:pPr>
            <w:r>
              <w:t xml:space="preserve">0.024</w:t>
            </w:r>
          </w:p>
        </w:tc>
        <w:tc>
          <w:tcPr>
            <w:tcW w:w="1062" w:type="dxa"/>
          </w:tcPr>
          <w:p>
            <w:pPr>
              <w:jc w:val="center"/>
              <w:ind w:firstLine="0"/>
            </w:pPr>
            <w:r>
              <w:t xml:space="preserve">0.839</w:t>
            </w:r>
          </w:p>
        </w:tc>
      </w:tr>
      <w:tr>
        <w:tc>
          <w:tcPr>
            <w:tcW w:w="1062" w:type="dxa"/>
          </w:tcPr>
          <w:p>
            <w:pPr>
              <w:jc w:val="center"/>
              <w:ind w:firstLine="0"/>
            </w:pPr>
            <w:r>
              <w:t xml:space="preserve">TS2</w:t>
            </w:r>
          </w:p>
        </w:tc>
        <w:tc>
          <w:tcPr>
            <w:tcW w:w="1062" w:type="dxa"/>
          </w:tcPr>
          <w:p>
            <w:pPr>
              <w:jc w:val="center"/>
              <w:ind w:firstLine="0"/>
            </w:pPr>
            <w:r>
              <w:t xml:space="preserve">0.381</w:t>
            </w:r>
          </w:p>
        </w:tc>
        <w:tc>
          <w:tcPr>
            <w:tcW w:w="1062" w:type="dxa"/>
          </w:tcPr>
          <w:p>
            <w:pPr>
              <w:jc w:val="center"/>
              <w:ind w:firstLine="0"/>
            </w:pPr>
            <w:r>
              <w:t xml:space="preserve">0.218</w:t>
            </w:r>
          </w:p>
        </w:tc>
        <w:tc>
          <w:tcPr>
            <w:tcW w:w="1062" w:type="dxa"/>
          </w:tcPr>
          <w:p>
            <w:pPr>
              <w:jc w:val="center"/>
              <w:ind w:firstLine="0"/>
            </w:pPr>
            <w:r>
              <w:t xml:space="preserve">0.179</w:t>
            </w:r>
          </w:p>
        </w:tc>
        <w:tc>
          <w:tcPr>
            <w:tcW w:w="1062" w:type="dxa"/>
          </w:tcPr>
          <w:p>
            <w:pPr>
              <w:jc w:val="center"/>
              <w:ind w:firstLine="0"/>
            </w:pPr>
            <w:r>
              <w:t xml:space="preserve">0.838</w:t>
            </w:r>
          </w:p>
        </w:tc>
        <w:tc>
          <w:tcPr>
            <w:tcW w:w="1062" w:type="dxa"/>
          </w:tcPr>
          <w:p>
            <w:pPr>
              <w:jc w:val="center"/>
              <w:ind w:firstLine="0"/>
            </w:pPr>
            <w:r>
              <w:t xml:space="preserve">0.063</w:t>
            </w:r>
          </w:p>
        </w:tc>
        <w:tc>
          <w:tcPr>
            <w:tcW w:w="1062" w:type="dxa"/>
          </w:tcPr>
          <w:p>
            <w:pPr>
              <w:jc w:val="center"/>
              <w:ind w:firstLine="0"/>
            </w:pPr>
            <w:r>
              <w:t xml:space="preserve">0.045</w:t>
            </w:r>
          </w:p>
        </w:tc>
        <w:tc>
          <w:tcPr>
            <w:tcW w:w="1062" w:type="dxa"/>
          </w:tcPr>
          <w:p>
            <w:pPr>
              <w:jc w:val="center"/>
              <w:ind w:firstLine="0"/>
            </w:pPr>
            <w:r>
              <w:t xml:space="preserve">0.933</w:t>
            </w:r>
          </w:p>
        </w:tc>
      </w:tr>
      <w:tr>
        <w:tc>
          <w:tcPr>
            <w:tcW w:w="1062" w:type="dxa"/>
          </w:tcPr>
          <w:p>
            <w:pPr>
              <w:jc w:val="center"/>
              <w:ind w:firstLine="0"/>
            </w:pPr>
            <w:r>
              <w:t xml:space="preserve">TS3</w:t>
            </w:r>
          </w:p>
        </w:tc>
        <w:tc>
          <w:tcPr>
            <w:tcW w:w="1062" w:type="dxa"/>
          </w:tcPr>
          <w:p>
            <w:pPr>
              <w:jc w:val="center"/>
              <w:ind w:firstLine="0"/>
            </w:pPr>
            <w:r>
              <w:t xml:space="preserve">0.753</w:t>
            </w:r>
          </w:p>
        </w:tc>
        <w:tc>
          <w:tcPr>
            <w:tcW w:w="1062" w:type="dxa"/>
          </w:tcPr>
          <w:p>
            <w:pPr>
              <w:jc w:val="center"/>
              <w:ind w:firstLine="0"/>
            </w:pPr>
            <w:r>
              <w:t xml:space="preserve">0.105</w:t>
            </w:r>
          </w:p>
        </w:tc>
        <w:tc>
          <w:tcPr>
            <w:tcW w:w="1062" w:type="dxa"/>
          </w:tcPr>
          <w:p>
            <w:pPr>
              <w:jc w:val="center"/>
              <w:ind w:firstLine="0"/>
            </w:pPr>
            <w:r>
              <w:t xml:space="preserve">0.420</w:t>
            </w:r>
          </w:p>
        </w:tc>
        <w:tc>
          <w:tcPr>
            <w:tcW w:w="1062" w:type="dxa"/>
          </w:tcPr>
          <w:p>
            <w:pPr>
              <w:jc w:val="center"/>
              <w:ind w:firstLine="0"/>
            </w:pPr>
            <w:r>
              <w:t xml:space="preserve">0.329</w:t>
            </w:r>
          </w:p>
        </w:tc>
        <w:tc>
          <w:tcPr>
            <w:tcW w:w="1062" w:type="dxa"/>
          </w:tcPr>
          <w:p>
            <w:pPr>
              <w:jc w:val="center"/>
              <w:ind w:firstLine="0"/>
            </w:pPr>
            <w:r>
              <w:t xml:space="preserve">0.063</w:t>
            </w:r>
          </w:p>
        </w:tc>
        <w:tc>
          <w:tcPr>
            <w:tcW w:w="1062" w:type="dxa"/>
          </w:tcPr>
          <w:p>
            <w:pPr>
              <w:jc w:val="center"/>
              <w:ind w:firstLine="0"/>
            </w:pPr>
            <w:r>
              <w:t xml:space="preserve">0.061</w:t>
            </w:r>
          </w:p>
        </w:tc>
        <w:tc>
          <w:tcPr>
            <w:tcW w:w="1062" w:type="dxa"/>
          </w:tcPr>
          <w:p>
            <w:pPr>
              <w:jc w:val="center"/>
              <w:ind w:firstLine="0"/>
            </w:pPr>
            <w:r>
              <w:t xml:space="preserve">0.870</w:t>
            </w:r>
          </w:p>
        </w:tc>
      </w:tr>
      <w:tr>
        <w:tc>
          <w:tcPr>
            <w:tcW w:w="1062" w:type="dxa"/>
          </w:tcPr>
          <w:p>
            <w:pPr>
              <w:jc w:val="center"/>
              <w:ind w:firstLine="0"/>
            </w:pPr>
            <w:r>
              <w:t xml:space="preserve">IF1</w:t>
            </w:r>
          </w:p>
        </w:tc>
        <w:tc>
          <w:tcPr>
            <w:tcW w:w="1062" w:type="dxa"/>
          </w:tcPr>
          <w:p>
            <w:pPr>
              <w:jc w:val="center"/>
              <w:ind w:firstLine="0"/>
            </w:pPr>
            <w:r>
              <w:t xml:space="preserve">0.744</w:t>
            </w:r>
          </w:p>
        </w:tc>
        <w:tc>
          <w:tcPr>
            <w:tcW w:w="1062" w:type="dxa"/>
          </w:tcPr>
          <w:p>
            <w:pPr>
              <w:jc w:val="center"/>
              <w:ind w:firstLine="0"/>
            </w:pPr>
            <w:r>
              <w:t xml:space="preserve">0.099</w:t>
            </w:r>
          </w:p>
        </w:tc>
        <w:tc>
          <w:tcPr>
            <w:tcW w:w="1062" w:type="dxa"/>
          </w:tcPr>
          <w:p>
            <w:pPr>
              <w:jc w:val="center"/>
              <w:ind w:firstLine="0"/>
            </w:pPr>
            <w:r>
              <w:t xml:space="preserve">0.177</w:t>
            </w:r>
          </w:p>
        </w:tc>
        <w:tc>
          <w:tcPr>
            <w:tcW w:w="1062" w:type="dxa"/>
          </w:tcPr>
          <w:p>
            <w:pPr>
              <w:jc w:val="center"/>
              <w:ind w:firstLine="0"/>
            </w:pPr>
            <w:r>
              <w:t xml:space="preserve">0.339</w:t>
            </w:r>
          </w:p>
        </w:tc>
        <w:tc>
          <w:tcPr>
            <w:tcW w:w="1062" w:type="dxa"/>
          </w:tcPr>
          <w:p>
            <w:pPr>
              <w:jc w:val="center"/>
              <w:ind w:firstLine="0"/>
            </w:pPr>
            <w:r>
              <w:t xml:space="preserve">0.217</w:t>
            </w:r>
          </w:p>
        </w:tc>
        <w:tc>
          <w:tcPr>
            <w:tcW w:w="1062" w:type="dxa"/>
          </w:tcPr>
          <w:p>
            <w:pPr>
              <w:jc w:val="center"/>
              <w:ind w:firstLine="0"/>
            </w:pPr>
            <w:r>
              <w:t xml:space="preserve">0.224</w:t>
            </w:r>
          </w:p>
        </w:tc>
        <w:tc>
          <w:tcPr>
            <w:tcW w:w="1062" w:type="dxa"/>
          </w:tcPr>
          <w:p>
            <w:pPr>
              <w:jc w:val="center"/>
              <w:ind w:firstLine="0"/>
            </w:pPr>
            <w:r>
              <w:t xml:space="preserve">0.808</w:t>
            </w:r>
          </w:p>
        </w:tc>
      </w:tr>
      <w:tr>
        <w:tc>
          <w:tcPr>
            <w:tcW w:w="1062" w:type="dxa"/>
          </w:tcPr>
          <w:p>
            <w:pPr>
              <w:jc w:val="center"/>
              <w:ind w:firstLine="0"/>
            </w:pPr>
            <w:r>
              <w:t xml:space="preserve">IF2</w:t>
            </w:r>
          </w:p>
        </w:tc>
        <w:tc>
          <w:tcPr>
            <w:tcW w:w="1062" w:type="dxa"/>
          </w:tcPr>
          <w:p>
            <w:pPr>
              <w:jc w:val="center"/>
              <w:ind w:firstLine="0"/>
            </w:pPr>
            <w:r>
              <w:t xml:space="preserve">0.877</w:t>
            </w:r>
          </w:p>
        </w:tc>
        <w:tc>
          <w:tcPr>
            <w:tcW w:w="1062" w:type="dxa"/>
          </w:tcPr>
          <w:p>
            <w:pPr>
              <w:jc w:val="center"/>
              <w:ind w:firstLine="0"/>
            </w:pPr>
            <w:r>
              <w:t xml:space="preserve">0.245</w:t>
            </w:r>
          </w:p>
        </w:tc>
        <w:tc>
          <w:tcPr>
            <w:tcW w:w="1062" w:type="dxa"/>
          </w:tcPr>
          <w:p>
            <w:pPr>
              <w:jc w:val="center"/>
              <w:ind w:firstLine="0"/>
            </w:pPr>
            <w:r>
              <w:t xml:space="preserve">0.143</w:t>
            </w:r>
          </w:p>
        </w:tc>
        <w:tc>
          <w:tcPr>
            <w:tcW w:w="1062" w:type="dxa"/>
          </w:tcPr>
          <w:p>
            <w:pPr>
              <w:jc w:val="center"/>
              <w:ind w:firstLine="0"/>
            </w:pPr>
            <w:r>
              <w:t xml:space="preserve">0.116</w:t>
            </w:r>
          </w:p>
        </w:tc>
        <w:tc>
          <w:tcPr>
            <w:tcW w:w="1062" w:type="dxa"/>
          </w:tcPr>
          <w:p>
            <w:pPr>
              <w:jc w:val="center"/>
              <w:ind w:firstLine="0"/>
            </w:pPr>
            <w:r>
              <w:t xml:space="preserve">0.070</w:t>
            </w:r>
          </w:p>
        </w:tc>
        <w:tc>
          <w:tcPr>
            <w:tcW w:w="1062" w:type="dxa"/>
          </w:tcPr>
          <w:p>
            <w:pPr>
              <w:jc w:val="center"/>
              <w:ind w:firstLine="0"/>
            </w:pPr>
            <w:r>
              <w:t xml:space="preserve">0.116</w:t>
            </w:r>
          </w:p>
        </w:tc>
        <w:tc>
          <w:tcPr>
            <w:tcW w:w="1062" w:type="dxa"/>
          </w:tcPr>
          <w:p>
            <w:pPr>
              <w:jc w:val="center"/>
              <w:ind w:firstLine="0"/>
            </w:pPr>
            <w:r>
              <w:t xml:space="preserve">0.882</w:t>
            </w:r>
          </w:p>
        </w:tc>
      </w:tr>
      <w:tr>
        <w:tc>
          <w:tcPr>
            <w:tcW w:w="1062" w:type="dxa"/>
          </w:tcPr>
          <w:p>
            <w:pPr>
              <w:jc w:val="center"/>
              <w:ind w:firstLine="0"/>
            </w:pPr>
            <w:r>
              <w:t xml:space="preserve">IF3</w:t>
            </w:r>
          </w:p>
        </w:tc>
        <w:tc>
          <w:tcPr>
            <w:tcW w:w="1062" w:type="dxa"/>
          </w:tcPr>
          <w:p>
            <w:pPr>
              <w:jc w:val="center"/>
              <w:ind w:firstLine="0"/>
            </w:pPr>
            <w:r>
              <w:t xml:space="preserve">0.682</w:t>
            </w:r>
          </w:p>
        </w:tc>
        <w:tc>
          <w:tcPr>
            <w:tcW w:w="1062" w:type="dxa"/>
          </w:tcPr>
          <w:p>
            <w:pPr>
              <w:jc w:val="center"/>
              <w:ind w:firstLine="0"/>
            </w:pPr>
            <w:r>
              <w:t xml:space="preserve">0.187</w:t>
            </w:r>
          </w:p>
        </w:tc>
        <w:tc>
          <w:tcPr>
            <w:tcW w:w="1062" w:type="dxa"/>
          </w:tcPr>
          <w:p>
            <w:pPr>
              <w:jc w:val="center"/>
              <w:ind w:firstLine="0"/>
            </w:pPr>
            <w:r>
              <w:t xml:space="preserve">0.180</w:t>
            </w:r>
          </w:p>
        </w:tc>
        <w:tc>
          <w:tcPr>
            <w:tcW w:w="1062" w:type="dxa"/>
          </w:tcPr>
          <w:p>
            <w:pPr>
              <w:jc w:val="center"/>
              <w:ind w:firstLine="0"/>
            </w:pPr>
            <w:r>
              <w:t xml:space="preserve">0.416</w:t>
            </w:r>
          </w:p>
        </w:tc>
        <w:tc>
          <w:tcPr>
            <w:tcW w:w="1062" w:type="dxa"/>
          </w:tcPr>
          <w:p>
            <w:pPr>
              <w:jc w:val="center"/>
              <w:ind w:firstLine="0"/>
            </w:pPr>
            <w:r>
              <w:t xml:space="preserve">0.360</w:t>
            </w:r>
          </w:p>
        </w:tc>
        <w:tc>
          <w:tcPr>
            <w:tcW w:w="1062" w:type="dxa"/>
          </w:tcPr>
          <w:p>
            <w:pPr>
              <w:jc w:val="center"/>
              <w:ind w:firstLine="0"/>
            </w:pPr>
            <w:r>
              <w:t xml:space="preserve">0.080</w:t>
            </w:r>
          </w:p>
        </w:tc>
        <w:tc>
          <w:tcPr>
            <w:tcW w:w="1062" w:type="dxa"/>
          </w:tcPr>
          <w:p>
            <w:pPr>
              <w:jc w:val="center"/>
              <w:ind w:firstLine="0"/>
            </w:pPr>
            <w:r>
              <w:t xml:space="preserve">0.842</w:t>
            </w:r>
          </w:p>
        </w:tc>
      </w:tr>
      <w:tr>
        <w:tc>
          <w:tcPr>
            <w:tcW w:w="1062" w:type="dxa"/>
          </w:tcPr>
          <w:p>
            <w:pPr>
              <w:jc w:val="center"/>
              <w:ind w:firstLine="0"/>
            </w:pPr>
            <w:r>
              <w:t xml:space="preserve">TI1</w:t>
            </w:r>
          </w:p>
        </w:tc>
        <w:tc>
          <w:tcPr>
            <w:tcW w:w="1062" w:type="dxa"/>
          </w:tcPr>
          <w:p>
            <w:pPr>
              <w:jc w:val="center"/>
              <w:ind w:firstLine="0"/>
            </w:pPr>
            <w:r>
              <w:t xml:space="preserve">0.672</w:t>
            </w:r>
          </w:p>
        </w:tc>
        <w:tc>
          <w:tcPr>
            <w:tcW w:w="1062" w:type="dxa"/>
          </w:tcPr>
          <w:p>
            <w:pPr>
              <w:jc w:val="center"/>
              <w:ind w:firstLine="0"/>
            </w:pPr>
            <w:r>
              <w:t xml:space="preserve">0.389</w:t>
            </w:r>
          </w:p>
        </w:tc>
        <w:tc>
          <w:tcPr>
            <w:tcW w:w="1062" w:type="dxa"/>
          </w:tcPr>
          <w:p>
            <w:pPr>
              <w:jc w:val="center"/>
              <w:ind w:firstLine="0"/>
            </w:pPr>
            <w:r>
              <w:t xml:space="preserve">0.135</w:t>
            </w:r>
          </w:p>
        </w:tc>
        <w:tc>
          <w:tcPr>
            <w:tcW w:w="1062" w:type="dxa"/>
          </w:tcPr>
          <w:p>
            <w:pPr>
              <w:jc w:val="center"/>
              <w:ind w:firstLine="0"/>
            </w:pPr>
            <w:r>
              <w:t xml:space="preserve">0.314</w:t>
            </w:r>
          </w:p>
        </w:tc>
        <w:tc>
          <w:tcPr>
            <w:tcW w:w="1062" w:type="dxa"/>
          </w:tcPr>
          <w:p>
            <w:pPr>
              <w:jc w:val="center"/>
              <w:ind w:firstLine="0"/>
            </w:pPr>
            <w:r>
              <w:t xml:space="preserve">0.180</w:t>
            </w:r>
          </w:p>
        </w:tc>
        <w:tc>
          <w:tcPr>
            <w:tcW w:w="1062" w:type="dxa"/>
          </w:tcPr>
          <w:p>
            <w:pPr>
              <w:jc w:val="center"/>
              <w:ind w:firstLine="0"/>
            </w:pPr>
            <w:r>
              <w:t xml:space="preserve">0.332</w:t>
            </w:r>
          </w:p>
        </w:tc>
        <w:tc>
          <w:tcPr>
            <w:tcW w:w="1062" w:type="dxa"/>
          </w:tcPr>
          <w:p>
            <w:pPr>
              <w:jc w:val="center"/>
              <w:ind w:firstLine="0"/>
            </w:pPr>
            <w:r>
              <w:t xml:space="preserve">0.861</w:t>
            </w:r>
          </w:p>
        </w:tc>
      </w:tr>
      <w:tr>
        <w:tc>
          <w:tcPr>
            <w:tcW w:w="1062" w:type="dxa"/>
          </w:tcPr>
          <w:p>
            <w:pPr>
              <w:jc w:val="center"/>
              <w:ind w:firstLine="0"/>
            </w:pPr>
            <w:r>
              <w:t xml:space="preserve">TI2</w:t>
            </w:r>
          </w:p>
        </w:tc>
        <w:tc>
          <w:tcPr>
            <w:tcW w:w="1062" w:type="dxa"/>
          </w:tcPr>
          <w:p>
            <w:pPr>
              <w:jc w:val="center"/>
              <w:ind w:firstLine="0"/>
            </w:pPr>
            <w:r>
              <w:t xml:space="preserve">0.476</w:t>
            </w:r>
          </w:p>
        </w:tc>
        <w:tc>
          <w:tcPr>
            <w:tcW w:w="1062" w:type="dxa"/>
          </w:tcPr>
          <w:p>
            <w:pPr>
              <w:jc w:val="center"/>
              <w:ind w:firstLine="0"/>
            </w:pPr>
            <w:r>
              <w:t xml:space="preserve">0.207</w:t>
            </w:r>
          </w:p>
        </w:tc>
        <w:tc>
          <w:tcPr>
            <w:tcW w:w="1062" w:type="dxa"/>
          </w:tcPr>
          <w:p>
            <w:pPr>
              <w:jc w:val="center"/>
              <w:ind w:firstLine="0"/>
            </w:pPr>
            <w:r>
              <w:t xml:space="preserve">0.272</w:t>
            </w:r>
          </w:p>
        </w:tc>
        <w:tc>
          <w:tcPr>
            <w:tcW w:w="1062" w:type="dxa"/>
          </w:tcPr>
          <w:p>
            <w:pPr>
              <w:jc w:val="center"/>
              <w:ind w:firstLine="0"/>
            </w:pPr>
            <w:r>
              <w:t xml:space="preserve">0.651</w:t>
            </w:r>
          </w:p>
        </w:tc>
        <w:tc>
          <w:tcPr>
            <w:tcW w:w="1062" w:type="dxa"/>
          </w:tcPr>
          <w:p>
            <w:pPr>
              <w:jc w:val="center"/>
              <w:ind w:firstLine="0"/>
            </w:pPr>
            <w:r>
              <w:t xml:space="preserve">0.218</w:t>
            </w:r>
          </w:p>
        </w:tc>
        <w:tc>
          <w:tcPr>
            <w:tcW w:w="1062" w:type="dxa"/>
          </w:tcPr>
          <w:p>
            <w:pPr>
              <w:jc w:val="center"/>
              <w:ind w:firstLine="0"/>
            </w:pPr>
            <w:r>
              <w:t xml:space="preserve">0.261</w:t>
            </w:r>
          </w:p>
        </w:tc>
        <w:tc>
          <w:tcPr>
            <w:tcW w:w="1062" w:type="dxa"/>
          </w:tcPr>
          <w:p>
            <w:pPr>
              <w:jc w:val="center"/>
              <w:ind w:firstLine="0"/>
            </w:pPr>
            <w:r>
              <w:t xml:space="preserve">0.883</w:t>
            </w:r>
          </w:p>
        </w:tc>
      </w:tr>
      <w:tr>
        <w:tc>
          <w:tcPr>
            <w:tcW w:w="1062" w:type="dxa"/>
          </w:tcPr>
          <w:p>
            <w:pPr>
              <w:jc w:val="center"/>
              <w:ind w:firstLine="0"/>
            </w:pPr>
            <w:r>
              <w:t xml:space="preserve">TI3</w:t>
            </w:r>
          </w:p>
        </w:tc>
        <w:tc>
          <w:tcPr>
            <w:tcW w:w="1062" w:type="dxa"/>
          </w:tcPr>
          <w:p>
            <w:pPr>
              <w:jc w:val="center"/>
              <w:ind w:firstLine="0"/>
            </w:pPr>
            <w:r>
              <w:t xml:space="preserve">0.643</w:t>
            </w:r>
          </w:p>
        </w:tc>
        <w:tc>
          <w:tcPr>
            <w:tcW w:w="1062" w:type="dxa"/>
          </w:tcPr>
          <w:p>
            <w:pPr>
              <w:jc w:val="center"/>
              <w:ind w:firstLine="0"/>
            </w:pPr>
            <w:r>
              <w:t xml:space="preserve">0.128</w:t>
            </w:r>
          </w:p>
        </w:tc>
        <w:tc>
          <w:tcPr>
            <w:tcW w:w="1062" w:type="dxa"/>
          </w:tcPr>
          <w:p>
            <w:pPr>
              <w:jc w:val="center"/>
              <w:ind w:firstLine="0"/>
            </w:pPr>
            <w:r>
              <w:t xml:space="preserve">0.292</w:t>
            </w:r>
          </w:p>
        </w:tc>
        <w:tc>
          <w:tcPr>
            <w:tcW w:w="1062" w:type="dxa"/>
          </w:tcPr>
          <w:p>
            <w:pPr>
              <w:jc w:val="center"/>
              <w:ind w:firstLine="0"/>
            </w:pPr>
            <w:r>
              <w:t xml:space="preserve">0.455</w:t>
            </w:r>
          </w:p>
        </w:tc>
        <w:tc>
          <w:tcPr>
            <w:tcW w:w="1062" w:type="dxa"/>
          </w:tcPr>
          <w:p>
            <w:pPr>
              <w:jc w:val="center"/>
              <w:ind w:firstLine="0"/>
            </w:pPr>
            <w:r>
              <w:t xml:space="preserve">0.363</w:t>
            </w:r>
          </w:p>
        </w:tc>
        <w:tc>
          <w:tcPr>
            <w:tcW w:w="1062" w:type="dxa"/>
          </w:tcPr>
          <w:p>
            <w:pPr>
              <w:jc w:val="center"/>
              <w:ind w:firstLine="0"/>
            </w:pPr>
            <w:r>
              <w:t xml:space="preserve">0.182</w:t>
            </w:r>
          </w:p>
        </w:tc>
        <w:tc>
          <w:tcPr>
            <w:tcW w:w="1062" w:type="dxa"/>
          </w:tcPr>
          <w:p>
            <w:pPr>
              <w:jc w:val="center"/>
              <w:ind w:firstLine="0"/>
            </w:pPr>
            <w:r>
              <w:t xml:space="preserve">0.887</w:t>
            </w:r>
          </w:p>
        </w:tc>
      </w:tr>
      <w:tr>
        <w:tc>
          <w:tcPr>
            <w:tcW w:w="1062" w:type="dxa"/>
          </w:tcPr>
          <w:p>
            <w:pPr>
              <w:jc w:val="center"/>
              <w:ind w:firstLine="0"/>
            </w:pPr>
            <w:r>
              <w:t xml:space="preserve">DS1</w:t>
            </w:r>
          </w:p>
        </w:tc>
        <w:tc>
          <w:tcPr>
            <w:tcW w:w="1062" w:type="dxa"/>
          </w:tcPr>
          <w:p>
            <w:pPr>
              <w:jc w:val="center"/>
              <w:ind w:firstLine="0"/>
            </w:pPr>
            <w:r>
              <w:t xml:space="preserve">0.246</w:t>
            </w:r>
          </w:p>
        </w:tc>
        <w:tc>
          <w:tcPr>
            <w:tcW w:w="1062" w:type="dxa"/>
          </w:tcPr>
          <w:p>
            <w:pPr>
              <w:jc w:val="center"/>
              <w:ind w:firstLine="0"/>
            </w:pPr>
            <w:r>
              <w:t xml:space="preserve">0.374</w:t>
            </w:r>
          </w:p>
        </w:tc>
        <w:tc>
          <w:tcPr>
            <w:tcW w:w="1062" w:type="dxa"/>
          </w:tcPr>
          <w:p>
            <w:pPr>
              <w:jc w:val="center"/>
              <w:ind w:firstLine="0"/>
            </w:pPr>
            <w:r>
              <w:t xml:space="preserve">0.766</w:t>
            </w:r>
          </w:p>
        </w:tc>
        <w:tc>
          <w:tcPr>
            <w:tcW w:w="1062" w:type="dxa"/>
          </w:tcPr>
          <w:p>
            <w:pPr>
              <w:jc w:val="center"/>
              <w:ind w:firstLine="0"/>
            </w:pPr>
            <w:r>
              <w:t xml:space="preserve">0.131</w:t>
            </w:r>
          </w:p>
        </w:tc>
        <w:tc>
          <w:tcPr>
            <w:tcW w:w="1062" w:type="dxa"/>
          </w:tcPr>
          <w:p>
            <w:pPr>
              <w:jc w:val="center"/>
              <w:ind w:firstLine="0"/>
            </w:pPr>
            <w:r>
              <w:t xml:space="preserve">0.164</w:t>
            </w:r>
          </w:p>
        </w:tc>
        <w:tc>
          <w:tcPr>
            <w:tcW w:w="1062" w:type="dxa"/>
          </w:tcPr>
          <w:p>
            <w:pPr>
              <w:jc w:val="center"/>
              <w:ind w:firstLine="0"/>
            </w:pPr>
            <w:r>
              <w:t xml:space="preserve">0.131</w:t>
            </w:r>
          </w:p>
        </w:tc>
        <w:tc>
          <w:tcPr>
            <w:tcW w:w="1062" w:type="dxa"/>
          </w:tcPr>
          <w:p>
            <w:pPr>
              <w:jc w:val="center"/>
              <w:ind w:firstLine="0"/>
            </w:pPr>
            <w:r>
              <w:t xml:space="preserve">0.849</w:t>
            </w:r>
          </w:p>
        </w:tc>
      </w:tr>
      <w:tr>
        <w:tc>
          <w:tcPr>
            <w:tcW w:w="1062" w:type="dxa"/>
          </w:tcPr>
          <w:p>
            <w:pPr>
              <w:jc w:val="center"/>
              <w:ind w:firstLine="0"/>
            </w:pPr>
            <w:r>
              <w:t xml:space="preserve">DS2</w:t>
            </w:r>
          </w:p>
        </w:tc>
        <w:tc>
          <w:tcPr>
            <w:tcW w:w="1062" w:type="dxa"/>
          </w:tcPr>
          <w:p>
            <w:pPr>
              <w:jc w:val="center"/>
              <w:ind w:firstLine="0"/>
            </w:pPr>
            <w:r>
              <w:t xml:space="preserve">0.188</w:t>
            </w:r>
          </w:p>
        </w:tc>
        <w:tc>
          <w:tcPr>
            <w:tcW w:w="1062" w:type="dxa"/>
          </w:tcPr>
          <w:p>
            <w:pPr>
              <w:jc w:val="center"/>
              <w:ind w:firstLine="0"/>
            </w:pPr>
            <w:r>
              <w:t xml:space="preserve">0.827</w:t>
            </w:r>
          </w:p>
        </w:tc>
        <w:tc>
          <w:tcPr>
            <w:tcW w:w="1062" w:type="dxa"/>
          </w:tcPr>
          <w:p>
            <w:pPr>
              <w:jc w:val="center"/>
              <w:ind w:firstLine="0"/>
            </w:pPr>
            <w:r>
              <w:t xml:space="preserve">0.343</w:t>
            </w:r>
          </w:p>
        </w:tc>
        <w:tc>
          <w:tcPr>
            <w:tcW w:w="1062" w:type="dxa"/>
          </w:tcPr>
          <w:p>
            <w:pPr>
              <w:jc w:val="center"/>
              <w:ind w:firstLine="0"/>
            </w:pPr>
            <w:r>
              <w:t xml:space="preserve">0.213</w:t>
            </w:r>
          </w:p>
        </w:tc>
        <w:tc>
          <w:tcPr>
            <w:tcW w:w="1062" w:type="dxa"/>
          </w:tcPr>
          <w:p>
            <w:pPr>
              <w:jc w:val="center"/>
              <w:ind w:firstLine="0"/>
            </w:pPr>
            <w:r>
              <w:t xml:space="preserve">0.067</w:t>
            </w:r>
          </w:p>
        </w:tc>
        <w:tc>
          <w:tcPr>
            <w:tcW w:w="1062" w:type="dxa"/>
          </w:tcPr>
          <w:p>
            <w:pPr>
              <w:jc w:val="center"/>
              <w:ind w:firstLine="0"/>
            </w:pPr>
            <w:r>
              <w:t xml:space="preserve">0.089</w:t>
            </w:r>
          </w:p>
        </w:tc>
        <w:tc>
          <w:tcPr>
            <w:tcW w:w="1062" w:type="dxa"/>
          </w:tcPr>
          <w:p>
            <w:pPr>
              <w:jc w:val="center"/>
              <w:ind w:firstLine="0"/>
            </w:pPr>
            <w:r>
              <w:t xml:space="preserve">0.895</w:t>
            </w:r>
          </w:p>
        </w:tc>
      </w:tr>
      <w:tr>
        <w:tc>
          <w:tcPr>
            <w:tcW w:w="1062" w:type="dxa"/>
          </w:tcPr>
          <w:p>
            <w:pPr>
              <w:jc w:val="center"/>
              <w:ind w:firstLine="0"/>
            </w:pPr>
            <w:r>
              <w:t xml:space="preserve">DS3</w:t>
            </w:r>
          </w:p>
        </w:tc>
        <w:tc>
          <w:tcPr>
            <w:tcW w:w="1062" w:type="dxa"/>
          </w:tcPr>
          <w:p>
            <w:pPr>
              <w:jc w:val="center"/>
              <w:ind w:firstLine="0"/>
            </w:pPr>
            <w:r>
              <w:t xml:space="preserve">0.136</w:t>
            </w:r>
          </w:p>
        </w:tc>
        <w:tc>
          <w:tcPr>
            <w:tcW w:w="1062" w:type="dxa"/>
          </w:tcPr>
          <w:p>
            <w:pPr>
              <w:jc w:val="center"/>
              <w:ind w:firstLine="0"/>
            </w:pPr>
            <w:r>
              <w:t xml:space="preserve">0.380</w:t>
            </w:r>
          </w:p>
        </w:tc>
        <w:tc>
          <w:tcPr>
            <w:tcW w:w="1062" w:type="dxa"/>
          </w:tcPr>
          <w:p>
            <w:pPr>
              <w:jc w:val="center"/>
              <w:ind w:firstLine="0"/>
            </w:pPr>
            <w:r>
              <w:t xml:space="preserve">0.584</w:t>
            </w:r>
          </w:p>
        </w:tc>
        <w:tc>
          <w:tcPr>
            <w:tcW w:w="1062" w:type="dxa"/>
          </w:tcPr>
          <w:p>
            <w:pPr>
              <w:jc w:val="center"/>
              <w:ind w:firstLine="0"/>
            </w:pPr>
            <w:r>
              <w:t xml:space="preserve">0.172</w:t>
            </w:r>
          </w:p>
        </w:tc>
        <w:tc>
          <w:tcPr>
            <w:tcW w:w="1062" w:type="dxa"/>
          </w:tcPr>
          <w:p>
            <w:pPr>
              <w:jc w:val="center"/>
              <w:ind w:firstLine="0"/>
            </w:pPr>
            <w:r>
              <w:t xml:space="preserve">0.336</w:t>
            </w:r>
          </w:p>
        </w:tc>
        <w:tc>
          <w:tcPr>
            <w:tcW w:w="1062" w:type="dxa"/>
          </w:tcPr>
          <w:p>
            <w:pPr>
              <w:jc w:val="center"/>
              <w:ind w:firstLine="0"/>
            </w:pPr>
            <w:r>
              <w:t xml:space="preserve">0.450</w:t>
            </w:r>
          </w:p>
        </w:tc>
        <w:tc>
          <w:tcPr>
            <w:tcW w:w="1062" w:type="dxa"/>
          </w:tcPr>
          <w:p>
            <w:pPr>
              <w:jc w:val="center"/>
              <w:ind w:firstLine="0"/>
            </w:pPr>
            <w:r>
              <w:t xml:space="preserve">0.850</w:t>
            </w:r>
          </w:p>
        </w:tc>
      </w:tr>
      <w:tr>
        <w:tc>
          <w:tcPr>
            <w:tcW w:w="1062" w:type="dxa"/>
          </w:tcPr>
          <w:p>
            <w:pPr>
              <w:jc w:val="center"/>
              <w:ind w:firstLine="0"/>
            </w:pPr>
            <w:r>
              <w:t xml:space="preserve">EN1</w:t>
            </w:r>
          </w:p>
        </w:tc>
        <w:tc>
          <w:tcPr>
            <w:tcW w:w="1062" w:type="dxa"/>
          </w:tcPr>
          <w:p>
            <w:pPr>
              <w:jc w:val="center"/>
              <w:ind w:firstLine="0"/>
            </w:pPr>
            <w:r>
              <w:t xml:space="preserve">0.322</w:t>
            </w:r>
          </w:p>
        </w:tc>
        <w:tc>
          <w:tcPr>
            <w:tcW w:w="1062" w:type="dxa"/>
          </w:tcPr>
          <w:p>
            <w:pPr>
              <w:jc w:val="center"/>
              <w:ind w:firstLine="0"/>
            </w:pPr>
            <w:r>
              <w:t xml:space="preserve">0.449</w:t>
            </w:r>
          </w:p>
        </w:tc>
        <w:tc>
          <w:tcPr>
            <w:tcW w:w="1062" w:type="dxa"/>
          </w:tcPr>
          <w:p>
            <w:pPr>
              <w:jc w:val="center"/>
              <w:ind w:firstLine="0"/>
            </w:pPr>
            <w:r>
              <w:t xml:space="preserve">0.414</w:t>
            </w:r>
          </w:p>
        </w:tc>
        <w:tc>
          <w:tcPr>
            <w:tcW w:w="1062" w:type="dxa"/>
          </w:tcPr>
          <w:p>
            <w:pPr>
              <w:jc w:val="center"/>
              <w:ind w:firstLine="0"/>
            </w:pPr>
            <w:r>
              <w:t xml:space="preserve">0.149</w:t>
            </w:r>
          </w:p>
        </w:tc>
        <w:tc>
          <w:tcPr>
            <w:tcW w:w="1062" w:type="dxa"/>
          </w:tcPr>
          <w:p>
            <w:pPr>
              <w:jc w:val="center"/>
              <w:ind w:firstLine="0"/>
            </w:pPr>
            <w:r>
              <w:t xml:space="preserve">0.612</w:t>
            </w:r>
          </w:p>
        </w:tc>
        <w:tc>
          <w:tcPr>
            <w:tcW w:w="1062" w:type="dxa"/>
          </w:tcPr>
          <w:p>
            <w:pPr>
              <w:jc w:val="center"/>
              <w:ind w:firstLine="0"/>
            </w:pPr>
            <w:r>
              <w:t xml:space="preserve">0.104</w:t>
            </w:r>
          </w:p>
        </w:tc>
        <w:tc>
          <w:tcPr>
            <w:tcW w:w="1062" w:type="dxa"/>
          </w:tcPr>
          <w:p>
            <w:pPr>
              <w:jc w:val="center"/>
              <w:ind w:firstLine="0"/>
            </w:pPr>
            <w:r>
              <w:t xml:space="preserve">0.884</w:t>
            </w:r>
          </w:p>
        </w:tc>
      </w:tr>
      <w:tr>
        <w:tc>
          <w:tcPr>
            <w:tcW w:w="1062" w:type="dxa"/>
          </w:tcPr>
          <w:p>
            <w:pPr>
              <w:jc w:val="center"/>
              <w:ind w:firstLine="0"/>
            </w:pPr>
            <w:r>
              <w:t xml:space="preserve">EN2</w:t>
            </w:r>
          </w:p>
        </w:tc>
        <w:tc>
          <w:tcPr>
            <w:tcW w:w="1062" w:type="dxa"/>
          </w:tcPr>
          <w:p>
            <w:pPr>
              <w:jc w:val="center"/>
              <w:ind w:firstLine="0"/>
            </w:pPr>
            <w:r>
              <w:t xml:space="preserve">0.188</w:t>
            </w:r>
          </w:p>
        </w:tc>
        <w:tc>
          <w:tcPr>
            <w:tcW w:w="1062" w:type="dxa"/>
          </w:tcPr>
          <w:p>
            <w:pPr>
              <w:jc w:val="center"/>
              <w:ind w:firstLine="0"/>
            </w:pPr>
            <w:r>
              <w:t xml:space="preserve">0.143</w:t>
            </w:r>
          </w:p>
        </w:tc>
        <w:tc>
          <w:tcPr>
            <w:tcW w:w="1062" w:type="dxa"/>
          </w:tcPr>
          <w:p>
            <w:pPr>
              <w:jc w:val="center"/>
              <w:ind w:firstLine="0"/>
            </w:pPr>
            <w:r>
              <w:t xml:space="preserve">0.889</w:t>
            </w:r>
          </w:p>
        </w:tc>
        <w:tc>
          <w:tcPr>
            <w:tcW w:w="1062" w:type="dxa"/>
          </w:tcPr>
          <w:p>
            <w:pPr>
              <w:jc w:val="center"/>
              <w:ind w:firstLine="0"/>
            </w:pPr>
            <w:r>
              <w:t xml:space="preserve">0.224</w:t>
            </w:r>
          </w:p>
        </w:tc>
        <w:tc>
          <w:tcPr>
            <w:tcW w:w="1062" w:type="dxa"/>
          </w:tcPr>
          <w:p>
            <w:pPr>
              <w:jc w:val="center"/>
              <w:ind w:firstLine="0"/>
            </w:pPr>
            <w:r>
              <w:t xml:space="preserve">0.025</w:t>
            </w:r>
          </w:p>
        </w:tc>
        <w:tc>
          <w:tcPr>
            <w:tcW w:w="1062" w:type="dxa"/>
          </w:tcPr>
          <w:p>
            <w:pPr>
              <w:jc w:val="center"/>
              <w:ind w:firstLine="0"/>
            </w:pPr>
            <w:r>
              <w:t xml:space="preserve">0.000</w:t>
            </w:r>
          </w:p>
        </w:tc>
        <w:tc>
          <w:tcPr>
            <w:tcW w:w="1062" w:type="dxa"/>
          </w:tcPr>
          <w:p>
            <w:pPr>
              <w:jc w:val="center"/>
              <w:ind w:firstLine="0"/>
            </w:pPr>
            <w:r>
              <w:t xml:space="preserve">0.897</w:t>
            </w:r>
          </w:p>
        </w:tc>
      </w:tr>
      <w:tr>
        <w:tc>
          <w:tcPr>
            <w:tcW w:w="1062" w:type="dxa"/>
          </w:tcPr>
          <w:p>
            <w:pPr>
              <w:jc w:val="center"/>
              <w:ind w:firstLine="0"/>
            </w:pPr>
            <w:r>
              <w:t xml:space="preserve">EN3</w:t>
            </w:r>
          </w:p>
        </w:tc>
        <w:tc>
          <w:tcPr>
            <w:tcW w:w="1062" w:type="dxa"/>
          </w:tcPr>
          <w:p>
            <w:pPr>
              <w:jc w:val="center"/>
              <w:ind w:firstLine="0"/>
            </w:pPr>
            <w:r>
              <w:t xml:space="preserve">0.291</w:t>
            </w:r>
          </w:p>
        </w:tc>
        <w:tc>
          <w:tcPr>
            <w:tcW w:w="1062" w:type="dxa"/>
          </w:tcPr>
          <w:p>
            <w:pPr>
              <w:jc w:val="center"/>
              <w:ind w:firstLine="0"/>
            </w:pPr>
            <w:r>
              <w:t xml:space="preserve">0.605</w:t>
            </w:r>
          </w:p>
        </w:tc>
        <w:tc>
          <w:tcPr>
            <w:tcW w:w="1062" w:type="dxa"/>
          </w:tcPr>
          <w:p>
            <w:pPr>
              <w:jc w:val="center"/>
              <w:ind w:firstLine="0"/>
            </w:pPr>
            <w:r>
              <w:t xml:space="preserve">0.609</w:t>
            </w:r>
          </w:p>
        </w:tc>
        <w:tc>
          <w:tcPr>
            <w:tcW w:w="1062" w:type="dxa"/>
          </w:tcPr>
          <w:p>
            <w:pPr>
              <w:jc w:val="center"/>
              <w:ind w:firstLine="0"/>
            </w:pPr>
            <w:r>
              <w:t xml:space="preserve">0.111</w:t>
            </w:r>
          </w:p>
        </w:tc>
        <w:tc>
          <w:tcPr>
            <w:tcW w:w="1062" w:type="dxa"/>
          </w:tcPr>
          <w:p>
            <w:pPr>
              <w:jc w:val="center"/>
              <w:ind w:firstLine="0"/>
            </w:pPr>
            <w:r>
              <w:t xml:space="preserve">0.237</w:t>
            </w:r>
          </w:p>
        </w:tc>
        <w:tc>
          <w:tcPr>
            <w:tcW w:w="1062" w:type="dxa"/>
          </w:tcPr>
          <w:p>
            <w:pPr>
              <w:jc w:val="center"/>
              <w:ind w:firstLine="0"/>
            </w:pPr>
            <w:r>
              <w:t xml:space="preserve">0.073</w:t>
            </w:r>
          </w:p>
        </w:tc>
        <w:tc>
          <w:tcPr>
            <w:tcW w:w="1062" w:type="dxa"/>
          </w:tcPr>
          <w:p>
            <w:pPr>
              <w:jc w:val="center"/>
              <w:ind w:firstLine="0"/>
            </w:pPr>
            <w:r>
              <w:t xml:space="preserve">0.895</w:t>
            </w:r>
          </w:p>
        </w:tc>
      </w:tr>
      <w:tr>
        <w:tc>
          <w:tcPr>
            <w:tcW w:w="1062" w:type="dxa"/>
          </w:tcPr>
          <w:p>
            <w:pPr>
              <w:jc w:val="center"/>
              <w:ind w:firstLine="0"/>
            </w:pPr>
            <w:r>
              <w:t xml:space="preserve">SS Loadings</w:t>
            </w:r>
          </w:p>
        </w:tc>
        <w:tc>
          <w:tcPr>
            <w:tcW w:w="1062" w:type="dxa"/>
          </w:tcPr>
          <w:p>
            <w:pPr>
              <w:jc w:val="center"/>
              <w:ind w:firstLine="0"/>
            </w:pPr>
            <w:r>
              <w:t xml:space="preserve">5.715</w:t>
            </w:r>
          </w:p>
        </w:tc>
        <w:tc>
          <w:tcPr>
            <w:tcW w:w="1062" w:type="dxa"/>
          </w:tcPr>
          <w:p>
            <w:pPr>
              <w:jc w:val="center"/>
              <w:ind w:firstLine="0"/>
            </w:pPr>
            <w:r>
              <w:t xml:space="preserve">2.099</w:t>
            </w:r>
          </w:p>
        </w:tc>
        <w:tc>
          <w:tcPr>
            <w:tcW w:w="1062" w:type="dxa"/>
          </w:tcPr>
          <w:p>
            <w:pPr>
              <w:jc w:val="center"/>
              <w:ind w:firstLine="0"/>
            </w:pPr>
            <w:r>
              <w:t xml:space="preserve">3.099</w:t>
            </w:r>
          </w:p>
        </w:tc>
        <w:tc>
          <w:tcPr>
            <w:tcW w:w="1062" w:type="dxa"/>
          </w:tcPr>
          <w:p>
            <w:pPr>
              <w:jc w:val="center"/>
              <w:ind w:firstLine="0"/>
            </w:pPr>
            <w:r>
              <w:t xml:space="preserve">3.036</w:t>
            </w:r>
          </w:p>
        </w:tc>
        <w:tc>
          <w:tcPr>
            <w:tcW w:w="1062" w:type="dxa"/>
          </w:tcPr>
          <w:p>
            <w:pPr>
              <w:jc w:val="center"/>
              <w:ind w:firstLine="0"/>
            </w:pPr>
            <w:r>
              <w:t xml:space="preserve">1.149</w:t>
            </w:r>
          </w:p>
        </w:tc>
        <w:tc>
          <w:tcPr>
            <w:tcW w:w="1062" w:type="dxa"/>
          </w:tcPr>
          <w:p>
            <w:pPr>
              <w:jc w:val="center"/>
              <w:ind w:firstLine="0"/>
            </w:pPr>
            <w:r>
              <w:t xml:space="preserve">0.656</w:t>
            </w:r>
          </w:p>
        </w:tc>
        <w:tc>
          <w:tcPr>
            <w:tcW w:w="1062" w:type="dxa"/>
          </w:tcPr>
          <w:p>
            <w:pPr>
              <w:jc w:val="center"/>
              <w:ind w:firstLine="0"/>
            </w:pPr>
            <w:r>
              <w:t xml:space="preserve">—</w:t>
            </w:r>
          </w:p>
        </w:tc>
      </w:tr>
      <w:tr>
        <w:tc>
          <w:tcPr>
            <w:tcW w:w="1062" w:type="dxa"/>
          </w:tcPr>
          <w:p>
            <w:pPr>
              <w:jc w:val="center"/>
              <w:ind w:firstLine="0"/>
            </w:pPr>
            <w:r>
              <w:t xml:space="preserve">方差贡献%</w:t>
            </w:r>
          </w:p>
        </w:tc>
        <w:tc>
          <w:tcPr>
            <w:tcW w:w="1062" w:type="dxa"/>
          </w:tcPr>
          <w:p>
            <w:pPr>
              <w:jc w:val="center"/>
              <w:ind w:firstLine="0"/>
            </w:pPr>
            <w:r>
              <w:t xml:space="preserve">31.75</w:t>
            </w:r>
          </w:p>
        </w:tc>
        <w:tc>
          <w:tcPr>
            <w:tcW w:w="1062" w:type="dxa"/>
          </w:tcPr>
          <w:p>
            <w:pPr>
              <w:jc w:val="center"/>
              <w:ind w:firstLine="0"/>
            </w:pPr>
            <w:r>
              <w:t xml:space="preserve">11.66</w:t>
            </w:r>
          </w:p>
        </w:tc>
        <w:tc>
          <w:tcPr>
            <w:tcW w:w="1062" w:type="dxa"/>
          </w:tcPr>
          <w:p>
            <w:pPr>
              <w:jc w:val="center"/>
              <w:ind w:firstLine="0"/>
            </w:pPr>
            <w:r>
              <w:t xml:space="preserve">17.22</w:t>
            </w:r>
          </w:p>
        </w:tc>
        <w:tc>
          <w:tcPr>
            <w:tcW w:w="1062" w:type="dxa"/>
          </w:tcPr>
          <w:p>
            <w:pPr>
              <w:jc w:val="center"/>
              <w:ind w:firstLine="0"/>
            </w:pPr>
            <w:r>
              <w:t xml:space="preserve">16.87</w:t>
            </w:r>
          </w:p>
        </w:tc>
        <w:tc>
          <w:tcPr>
            <w:tcW w:w="1062" w:type="dxa"/>
          </w:tcPr>
          <w:p>
            <w:pPr>
              <w:jc w:val="center"/>
              <w:ind w:firstLine="0"/>
            </w:pPr>
            <w:r>
              <w:t xml:space="preserve">6.38</w:t>
            </w:r>
          </w:p>
        </w:tc>
        <w:tc>
          <w:tcPr>
            <w:tcW w:w="1062" w:type="dxa"/>
          </w:tcPr>
          <w:p>
            <w:pPr>
              <w:jc w:val="center"/>
              <w:ind w:firstLine="0"/>
            </w:pPr>
            <w:r>
              <w:t xml:space="preserve">3.65</w:t>
            </w:r>
          </w:p>
        </w:tc>
        <w:tc>
          <w:tcPr>
            <w:tcW w:w="1062" w:type="dxa"/>
          </w:tcPr>
          <w:p>
            <w:pPr>
              <w:jc w:val="center"/>
              <w:ind w:firstLine="0"/>
            </w:pPr>
            <w:r>
              <w:t xml:space="preserve">—</w:t>
            </w:r>
          </w:p>
        </w:tc>
      </w:tr>
      <w:tr>
        <w:tc>
          <w:tcPr>
            <w:tcW w:w="1062" w:type="dxa"/>
          </w:tcPr>
          <w:p>
            <w:pPr>
              <w:jc w:val="center"/>
              <w:ind w:firstLine="0"/>
            </w:pPr>
            <w:r>
              <w:t xml:space="preserve">累积贡献%</w:t>
            </w:r>
          </w:p>
        </w:tc>
        <w:tc>
          <w:tcPr>
            <w:tcW w:w="1062" w:type="dxa"/>
          </w:tcPr>
          <w:p>
            <w:pPr>
              <w:jc w:val="center"/>
              <w:ind w:firstLine="0"/>
            </w:pPr>
            <w:r>
              <w:t xml:space="preserve">31.75</w:t>
            </w:r>
          </w:p>
        </w:tc>
        <w:tc>
          <w:tcPr>
            <w:tcW w:w="1062" w:type="dxa"/>
          </w:tcPr>
          <w:p>
            <w:pPr>
              <w:jc w:val="center"/>
              <w:ind w:firstLine="0"/>
            </w:pPr>
            <w:r>
              <w:t xml:space="preserve">43.41</w:t>
            </w:r>
          </w:p>
        </w:tc>
        <w:tc>
          <w:tcPr>
            <w:tcW w:w="1062" w:type="dxa"/>
          </w:tcPr>
          <w:p>
            <w:pPr>
              <w:jc w:val="center"/>
              <w:ind w:firstLine="0"/>
            </w:pPr>
            <w:r>
              <w:t xml:space="preserve">60.63</w:t>
            </w:r>
          </w:p>
        </w:tc>
        <w:tc>
          <w:tcPr>
            <w:tcW w:w="1062" w:type="dxa"/>
          </w:tcPr>
          <w:p>
            <w:pPr>
              <w:jc w:val="center"/>
              <w:ind w:firstLine="0"/>
            </w:pPr>
            <w:r>
              <w:t xml:space="preserve">77.49</w:t>
            </w:r>
          </w:p>
        </w:tc>
        <w:tc>
          <w:tcPr>
            <w:tcW w:w="1062" w:type="dxa"/>
          </w:tcPr>
          <w:p>
            <w:pPr>
              <w:jc w:val="center"/>
              <w:ind w:firstLine="0"/>
            </w:pPr>
            <w:r>
              <w:t xml:space="preserve">83.87</w:t>
            </w:r>
          </w:p>
        </w:tc>
        <w:tc>
          <w:tcPr>
            <w:tcW w:w="1062" w:type="dxa"/>
          </w:tcPr>
          <w:p>
            <w:pPr>
              <w:jc w:val="center"/>
              <w:ind w:firstLine="0"/>
            </w:pPr>
            <w:r>
              <w:t xml:space="preserve">87.52</w:t>
            </w:r>
          </w:p>
        </w:tc>
        <w:tc>
          <w:tcPr>
            <w:tcW w:w="1062" w:type="dxa"/>
          </w:tcPr>
          <w:p>
            <w:pPr>
              <w:jc w:val="center"/>
              <w:ind w:firstLine="0"/>
            </w:pPr>
            <w:r>
              <w:t xml:space="preserve">—</w:t>
            </w:r>
          </w:p>
        </w:tc>
      </w:tr>
    </w:tbl>
    <w:p>
      <w:pPr>
        <w:pStyle w:val="Normal"/>
      </w:pPr>
      <w:r>
        <w:t xml:space="preserve">由表3-4可知，18个题项的共同度均超过0.80，因子载荷绝对值整体较高，各题项与其理论维度的关联性良好，量表结构效度通过检验。综合信度与效度检验结果，本问卷满足正式调研要求，可据此开展正式大规模问卷调研。</w:t>
      </w:r>
    </w:p>
    <w:sectPr>
      <w:headerReference r:id="rId26" w:type="default"/>
      <w:headerReference r:id="rId27" w:type="even"/>
      <w:footerReference r:id="rId28" w:type="even"/>
      <w:pgSz w:w="11906" w:h="16838"/>
      <w:pgMar w:top="1701" w:right="1418" w:bottom="1418" w:left="1701" w:header="1304" w:footer="1021"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