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74223"/>
      <w:bookmarkStart w:id="1" w:name="_Toc355807471"/>
      <w:bookmarkStart w:id="2" w:name="_Toc355361237"/>
      <w:bookmarkStart w:id="3" w:name="_Toc355614273"/>
      <w:bookmarkStart w:id="4" w:name="_Toc355204232"/>
      <w:bookmarkStart w:id="5" w:name="_Toc355274957"/>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29" r:href="rId30"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0" w:beforeLines="100" w:after="120" w:afterLines="100" w:line="400" w:lineRule="exact"/>
        <w:ind w:firstLineChars="0"/>
        <w:jc w:val="center"/>
        <w:rPr>
          <w:sz w:val="36"/>
        </w:rPr>
      </w:pPr>
      <w:r>
        <w:rPr>
          <w:rFonts w:hint="eastAsia" w:eastAsia="黑体" w:ascii="Times New Roman" w:hAnsi="Times New Roman" w:cs="黑体"/>
          <w:b/>
          <w:color w:val="000000"/>
          <w:sz w:val="36"/>
          <w:szCs w:val="36"/>
        </w:rPr>
        <w:t>本科生毕业论文（设计）</w:t>
      </w:r>
    </w:p>
    <w:p w14:paraId="77BD80CC">
      <w:pPr>
        <w:spacing w:line="240" w:lineRule="auto"/>
        <w:ind w:firstLine="0" w:firstLineChars="0"/>
        <w:jc w:val="center"/>
      </w:pPr>
    </w:p>
    <w:p w14:paraId="3EE18055">
      <w:pPr>
        <w:spacing w:before="0" w:beforeLines="100" w:after="120" w:afterLines="100" w:line="400" w:lineRule="exact"/>
        <w:ind w:firstLineChars="0"/>
        <w:jc w:val="center"/>
        <w:rPr>
          <w:rFonts w:hint="default" w:eastAsia="黑体"/>
          <w:sz w:val="44"/>
          <w:szCs w:val="44"/>
          <w:lang w:val="en-US" w:eastAsia="zh-CN"/>
        </w:rPr>
      </w:pPr>
      <w:bookmarkStart w:id="6" w:name="OLE_LINK1"/>
      <w:bookmarkStart w:id="7" w:name="OLE_LINK2"/>
      <w:r>
        <w:rPr>
          <w:b/>
          <w:rFonts w:hint="eastAsia" w:eastAsia="宋体" w:ascii="Times New Roman" w:hAnsi="Times New Roman" w:cs="宋体"/>
          <w:sz w:val="28"/>
          <w:szCs w:val="28"/>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宋体"/>
          <w:b/>
          <w:bCs/>
          <w:color w:val="000000"/>
          <w:kern w:val="0"/>
          <w:sz w:val="28"/>
          <w:szCs w:val="28"/>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exact" w:before="0" w:after="0"/>
        <w:ind w:left="839" w:firstLineChars="0"/>
        <w:jc w:val="both"/>
        <w:rPr>
          <w:rFonts w:hint="default" w:eastAsia="宋体"/>
          <w:position w:val="-6"/>
          <w:sz w:val="28"/>
          <w:u w:val="single"/>
          <w:lang w:val="en-US" w:eastAsia="zh-CN"/>
        </w:rPr>
      </w:pPr>
      <w:r>
        <w:rPr>
          <w:rFonts w:hint="eastAsia" w:eastAsia="宋体" w:ascii="Times New Roman" w:hAnsi="Times New Roman" w:cs="宋体"/>
          <w:spacing w:val="233"/>
          <w:kern w:val="0"/>
          <w:sz w:val="28"/>
          <w:szCs w:val="28"/>
        </w:rPr>
        <w:t>学生姓</w:t>
      </w:r>
      <w:r>
        <w:rPr>
          <w:rFonts w:hint="eastAsia" w:eastAsia="宋体" w:ascii="Times New Roman" w:hAnsi="Times New Roman" w:cs="宋体"/>
          <w:color w:val="000000"/>
          <w:sz w:val="28"/>
          <w:szCs w:val="28"/>
        </w:rPr>
        <w:t>名</w:t>
      </w:r>
      <w:r>
        <w:rPr>
          <w:rFonts w:eastAsia="宋体" w:ascii="Times New Roman" w:hAnsi="Times New Roman" w:cs="宋体"/>
          <w:color w:val="000000"/>
          <w:sz w:val="28"/>
          <w:szCs w:val="28"/>
        </w:rPr>
        <w:t>：</w:t>
      </w:r>
      <w:r>
        <w:rPr>
          <w:rFonts w:hint="eastAsia"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张纵宇              </w:t>
      </w:r>
    </w:p>
    <w:p w14:paraId="386907CD">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sz w:val="28"/>
          <w:szCs w:val="28"/>
        </w:rPr>
        <w:t>指导教</w:t>
      </w:r>
      <w:r>
        <w:rPr>
          <w:rFonts w:eastAsia="宋体" w:ascii="Times New Roman" w:hAnsi="Times New Roman" w:cs="宋体"/>
          <w:spacing w:val="1"/>
          <w:kern w:val="0"/>
          <w:sz w:val="28"/>
          <w:szCs w:val="28"/>
        </w:rPr>
        <w:t>师</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王伟</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A3FE384">
      <w:pPr>
        <w:spacing w:line="480" w:lineRule="exact" w:before="0" w:after="0"/>
        <w:ind w:left="839" w:firstLineChars="0"/>
        <w:rPr>
          <w:rFonts w:hint="default" w:eastAsia="宋体"/>
          <w:position w:val="-6"/>
          <w:sz w:val="28"/>
          <w:u w:val="single"/>
          <w:lang w:val="en-US" w:eastAsia="zh-CN"/>
        </w:rPr>
        <w:jc w:val="both"/>
      </w:pPr>
      <w:r>
        <w:rPr>
          <w:rFonts w:eastAsia="宋体" w:ascii="Times New Roman" w:hAnsi="Times New Roman" w:cs="宋体"/>
          <w:spacing w:val="233"/>
          <w:kern w:val="0"/>
          <w:position w:val="-6"/>
          <w:sz w:val="28"/>
          <w:fitText w:val="2520" w:id="3"/>
          <w:szCs w:val="28"/>
        </w:rPr>
        <w:t>专业名</w:t>
      </w:r>
      <w:r>
        <w:rPr>
          <w:rFonts w:eastAsia="宋体" w:ascii="Times New Roman" w:hAnsi="Times New Roman" w:cs="宋体"/>
          <w:spacing w:val="1"/>
          <w:kern w:val="0"/>
          <w:position w:val="-6"/>
          <w:sz w:val="28"/>
          <w:fitText w:val="2520" w:id="3"/>
          <w:szCs w:val="28"/>
        </w:rPr>
        <w:t>称</w:t>
      </w:r>
      <w:r>
        <w:rPr>
          <w:rFonts w:eastAsia="宋体" w:ascii="Times New Roman" w:hAnsi="Times New Roman" w:cs="宋体"/>
          <w:position w:val="-6"/>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电子商务</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 xml:space="preserve">      </w:t>
      </w:r>
    </w:p>
    <w:p w14:paraId="33F4E76E">
      <w:pPr>
        <w:spacing w:line="480" w:lineRule="exact" w:before="0" w:after="0"/>
        <w:ind w:left="839" w:firstLineChars="0"/>
        <w:jc w:val="both"/>
      </w:pPr>
      <w:r>
        <w:rPr>
          <w:rFonts w:eastAsia="宋体" w:ascii="Times New Roman" w:hAnsi="Times New Roman" w:cs="宋体"/>
          <w:spacing w:val="233"/>
          <w:kern w:val="0"/>
          <w:sz w:val="28"/>
          <w:fitText w:val="2520" w:id="5"/>
          <w:szCs w:val="28"/>
        </w:rPr>
        <w:t>所在学</w:t>
      </w:r>
      <w:r>
        <w:rPr>
          <w:rFonts w:eastAsia="宋体" w:ascii="Times New Roman" w:hAnsi="Times New Roman" w:cs="宋体"/>
          <w:spacing w:val="1"/>
          <w:kern w:val="0"/>
          <w:sz w:val="28"/>
          <w:fitText w:val="2520" w:id="5"/>
          <w:szCs w:val="28"/>
        </w:rPr>
        <w:t>院</w:t>
      </w:r>
      <w:r>
        <w:rPr>
          <w:rFonts w:eastAsia="宋体" w:ascii="Times New Roman" w:hAnsi="Times New Roman" w:cs="宋体"/>
          <w:sz w:val="28"/>
          <w:szCs w:val="28"/>
        </w:rPr>
        <w:t>：</w:t>
      </w:r>
      <w:r>
        <w:rPr>
          <w:rFonts w:eastAsia="宋体" w:ascii="Times New Roman" w:hAnsi="Times New Roman" w:cs="宋体"/>
          <w:position w:val="-6"/>
          <w:sz w:val="28"/>
          <w:u w:val="single"/>
          <w:szCs w:val="28"/>
        </w:rPr>
        <w:t xml:space="preserve">      </w:t>
      </w:r>
      <w:r>
        <w:rPr>
          <w:rFonts w:hint="eastAsia" w:eastAsia="宋体" w:ascii="Times New Roman" w:hAnsi="Times New Roman" w:cs="宋体"/>
          <w:position w:val="-6"/>
          <w:sz w:val="28"/>
          <w:u w:val="single"/>
          <w:lang w:val="en-US" w:eastAsia="zh-CN"/>
          <w:szCs w:val="28"/>
        </w:rPr>
        <w:t>人文与经济管理学院</w:t>
      </w:r>
      <w:r>
        <w:rPr>
          <w:rFonts w:eastAsia="宋体" w:ascii="Times New Roman" w:hAnsi="Times New Roman" w:cs="宋体"/>
          <w:position w:val="-6"/>
          <w:sz w:val="28"/>
          <w:u w:val="single"/>
          <w:szCs w:val="28"/>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400" w:lineRule="exact" w:before="0" w:after="120"/>
        <w:ind w:firstLineChars="0"/>
        <w:jc w:val="center"/>
        <w:rPr>
          <w:sz w:val="28"/>
        </w:rPr>
      </w:pPr>
      <w:r>
        <w:rPr>
          <w:rFonts w:hint="eastAsia" w:eastAsia="宋体" w:ascii="Times New Roman" w:hAnsi="Times New Roman" w:cs="宋体"/>
          <w:sz w:val="28"/>
          <w:lang w:val="en-US" w:eastAsia="zh-CN"/>
          <w:szCs w:val="28"/>
        </w:rPr>
        <w:t>2026</w:t>
      </w:r>
      <w:r>
        <w:rPr>
          <w:rFonts w:eastAsia="宋体" w:ascii="Times New Roman" w:hAnsi="Times New Roman" w:cs="宋体"/>
          <w:sz w:val="28"/>
          <w:szCs w:val="28"/>
        </w:rPr>
        <w:t xml:space="preserve">年 </w:t>
      </w:r>
      <w:r>
        <w:rPr>
          <w:rFonts w:hint="eastAsia" w:eastAsia="宋体" w:ascii="Times New Roman" w:hAnsi="Times New Roman" w:cs="宋体"/>
          <w:sz w:val="28"/>
          <w:lang w:val="en-US" w:eastAsia="zh-CN"/>
          <w:szCs w:val="28"/>
        </w:rPr>
        <w:t>4</w:t>
      </w:r>
      <w:r>
        <w:rPr>
          <w:rFonts w:eastAsia="宋体" w:ascii="Times New Roman" w:hAnsi="Times New Roman" w:cs="宋体"/>
          <w:sz w:val="28"/>
          <w:szCs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2"/>
          <w:cols w:space="425" w:num="1"/>
          <w:docGrid w:linePitch="312" w:charSpace="0"/>
        </w:sectPr>
      </w:pPr>
    </w:p>
    <w:bookmarkEnd w:id="0"/>
    <w:bookmarkEnd w:id="1"/>
    <w:bookmarkEnd w:id="2"/>
    <w:bookmarkEnd w:id="3"/>
    <w:bookmarkEnd w:id="4"/>
    <w:bookmarkEnd w:id="5"/>
    <w:p w14:paraId="61C3EE4B">
      <w:pPr>
        <w:spacing w:before="0" w:beforeLines="50" w:after="120" w:afterLines="100" w:line="400" w:lineRule="exact"/>
        <w:ind w:left="482" w:firstLineChars="0"/>
        <w:jc w:val="center"/>
      </w:pPr>
      <w:bookmarkStart w:id="8" w:name="_Toc485048978"/>
      <w:bookmarkStart w:id="9" w:name="_Toc523697193"/>
      <w:bookmarkStart w:id="10" w:name="_Toc479346319"/>
      <w:bookmarkStart w:id="11" w:name="_Toc520240576"/>
      <w:bookmarkStart w:id="12" w:name="_Toc484182509"/>
      <w:bookmarkStart w:id="13" w:name="_Toc421635058"/>
      <w:bookmarkStart w:id="14" w:name="_Toc485389065"/>
      <w:r>
        <w:rPr>
          <w:rFonts w:ascii="Times New Roman" w:hAnsi="Times New Roman" w:eastAsia="宋体" w:cs="宋体"/>
          <w:sz w:val="28"/>
          <w:szCs w:val="28"/>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rPr>
          <w:color w:val="000000"/>
          <w:sz w:val="24"/>
          <w:szCs w:val="24"/>
        </w:rPr>
      </w:pPr>
      <w:r>
        <w:rPr>
          <w:rFonts w:ascii="Times New Roman" w:hAnsi="Times New Roman" w:eastAsia="宋体" w:cs="宋体"/>
          <w:color w:val="000000"/>
          <w:kern w:val="0"/>
          <w:sz w:val="28"/>
          <w:szCs w:val="28"/>
          <w:lang w:val="en-US" w:eastAsia="zh-CN" w:bidi="ar"/>
        </w:rPr>
        <w:t>在数字经济与乡村振兴战略深度融合的背景下，</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电商集群已成为烟台地区特色产业转型升级、带动区域经济发展的核心载体。当前烟台</w:t>
      </w:r>
      <w:r>
        <w:rPr>
          <w:rFonts w:hint="eastAsia" w:ascii="Times New Roman" w:hAnsi="Times New Roman" w:cs="宋体" w:eastAsia="宋体"/>
          <w:color w:val="000000"/>
          <w:kern w:val="0"/>
          <w:sz w:val="28"/>
          <w:szCs w:val="28"/>
          <w:lang w:val="en-US" w:eastAsia="zh-CN" w:bidi="ar"/>
        </w:rPr>
        <w:t>农村</w:t>
      </w:r>
      <w:r>
        <w:rPr>
          <w:rFonts w:ascii="Times New Roman" w:hAnsi="Times New Roman" w:eastAsia="宋体" w:cs="宋体"/>
          <w:color w:val="000000"/>
          <w:kern w:val="0"/>
          <w:sz w:val="28"/>
          <w:szCs w:val="28"/>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0" w:afterAutospacing="0" w:line="400" w:lineRule="exact"/>
        <w:ind w:left="0" w:right="0"/>
        <w:jc w:val="center"/>
      </w:pPr>
      <w:r>
        <w:rPr>
          <w:rFonts w:ascii="Times New Roman" w:hAnsi="Times New Roman" w:eastAsia="宋体" w:cs="宋体"/>
          <w:color w:val="000000"/>
          <w:kern w:val="0"/>
          <w:sz w:val="28"/>
          <w:szCs w:val="28"/>
          <w:lang w:val="en-US" w:eastAsia="zh-CN" w:bidi="ar"/>
        </w:rPr>
        <w:t>本文以烟台农村地区集群电商为研究对象，以资源编排理论（ROT）为核心理论框架、TOE框架为变量分类参照，确定政策治理、人才支撑、基础设施建设、技术创新水平、数字化能力、资源禀赋六大核心影响维度，构建“资源基底—中介转化—绩效产出”三层次整合分析模型，采用SEM与fsQCA混合研究方法，系统探究集群电商发展的影响机制与高绩效组态路径。实证结果表明，基础设施建设与数字技能分别在两组影响链中发挥显著的部分中介作用；fsQCA识别出政策—基建协同型、人才—技术—基建三元型、技术—数字内生型与资源—数字整合型四条等效发展路径。</w:t>
      </w:r>
    </w:p>
    <w:p w14:paraId="1B80624D">
      <w:pPr>
        <w:spacing w:before="0" w:beforeLines="50" w:line="400" w:lineRule="exact" w:after="0"/>
        <w:ind w:firstLineChars="0"/>
        <w:rPr>
          <w:szCs w:val="28"/>
        </w:rPr>
        <w:sectPr>
          <w:headerReference r:id="rId11" w:type="default"/>
          <w:footerReference r:id="rId13" w:type="default"/>
          <w:headerReference r:id="rId12"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jc w:val="left"/>
      </w:pPr>
      <w:r>
        <w:rPr>
          <w:rFonts w:eastAsia="宋体" w:ascii="Times New Roman" w:hAnsi="Times New Roman" w:cs="宋体"/>
          <w:sz w:val="24"/>
          <w:szCs w:val="24"/>
        </w:rPr>
        <w:tab/>
      </w:r>
      <w:r>
        <w:rPr>
          <w:rFonts w:eastAsia="宋体" w:ascii="Times New Roman" w:hAnsi="Times New Roman" w:cs="宋体"/>
          <w:sz w:val="24"/>
          <w:szCs w:val="24"/>
        </w:rPr>
        <w:t>关键词：农村电商集群，资源编排理论，SEM，fsQCA</w:t>
      </w:r>
      <w:bookmarkStart w:id="15" w:name="_Toc355807472"/>
      <w:bookmarkStart w:id="16" w:name="_Toc355614274"/>
      <w:bookmarkStart w:id="17" w:name="_Toc355204233"/>
      <w:bookmarkStart w:id="18" w:name="_Toc355274958"/>
      <w:bookmarkStart w:id="19" w:name="_Toc355361238"/>
      <w:bookmarkStart w:id="20" w:name="_Toc355274224"/>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7" w:bottom="1417" w:left="1701" w:header="850" w:footer="992" w:gutter="0"/>
          <w:pgBorders>
            <w:top w:val="none" w:sz="0" w:space="0"/>
            <w:left w:val="none" w:sz="0" w:space="0"/>
            <w:bottom w:val="none" w:sz="0" w:space="0"/>
            <w:right w:val="none" w:sz="0" w:space="0"/>
          </w:pgBorders>
          <w:pgNumType w:fmt="upperRoman" w:start="1"/>
          <w:cols w:space="425" w:num="1"/>
          <w:docGrid w:linePitch="312" w:charSpace="0"/>
        </w:sectPr>
      </w:pPr>
    </w:p>
    <w:p w14:paraId="589AD8AB">
      <w:pPr>
        <w:spacing w:before="0" w:beforeLines="50" w:after="120" w:afterLines="100" w:line="400" w:lineRule="exact"/>
        <w:ind w:left="482" w:firstLineChars="0"/>
        <w:jc w:val="center"/>
        <w:rPr>
          <w:b/>
          <w:sz w:val="32"/>
          <w:szCs w:val="32"/>
        </w:rPr>
      </w:pPr>
      <w:bookmarkStart w:id="21" w:name="_Toc485048979"/>
      <w:bookmarkStart w:id="22" w:name="_Toc485389066"/>
      <w:bookmarkStart w:id="23" w:name="_Toc520240577"/>
      <w:bookmarkStart w:id="24" w:name="_Toc484182510"/>
      <w:bookmarkStart w:id="25" w:name="_Toc523697194"/>
      <w:r>
        <w:rPr>
          <w:rFonts w:eastAsia="黑体" w:ascii="Times New Roman" w:hAnsi="Times New Roman" w:cs="黑体"/>
          <w:b/>
          <w:sz w:val="28"/>
          <w:szCs w:val="28"/>
        </w:rPr>
        <w:t>Abstract</w:t>
      </w:r>
      <w:bookmarkEnd w:id="15"/>
      <w:bookmarkEnd w:id="16"/>
      <w:bookmarkEnd w:id="17"/>
      <w:bookmarkEnd w:id="18"/>
      <w:bookmarkEnd w:id="19"/>
      <w:bookmarkEnd w:id="20"/>
      <w:bookmarkEnd w:id="21"/>
      <w:bookmarkEnd w:id="22"/>
      <w:bookmarkEnd w:id="23"/>
      <w:bookmarkEnd w:id="24"/>
      <w:bookmarkEnd w:id="25"/>
    </w:p>
    <w:p w14:paraId="504D529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bookmarkStart w:id="26" w:name="OLE_LINK8"/>
      <w:r>
        <w:rPr>
          <w:rFonts w:ascii="Times New Roman" w:hAnsi="Times New Roman" w:eastAsia="宋体" w:cs="宋体"/>
          <w:color w:val="000000"/>
          <w:kern w:val="0"/>
          <w:sz w:val="24"/>
          <w:szCs w:val="24"/>
          <w:lang w:val="en-US" w:eastAsia="zh-CN" w:bidi="ar"/>
        </w:rPr>
        <w:t>Against the backdrop of in-depth integration between the digital economy and rural revitalization strategy, rural e-commerce clusters have become a core carrier for the transformation and upgrading of characteristic industries as well as regional economic growth in Yantai. At present, relying on local characteristic agricultural products, marine fisheries and other resources, rural e-commerce clusters in Yantai have achieved rapid development. Nevertheless, they still confront practical bottlenecks including uneven policy implementation, insufficient supply of professional talents, and inadequate application of digital technologies. Existing literature lacks localized empirical studies on Yantai’s e-commerce clusters, and most research only focuses on linear impacts of single factors, with insufficient exploration into the complex causal mechanisms driven by multi-factor interactions.</w:t>
      </w:r>
    </w:p>
    <w:p w14:paraId="32598A6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Taking rural e-commerce clusters in Yantai as the research object, this paper adopts</w:t>
      </w:r>
      <w:r>
        <w:rPr>
          <w:rFonts w:ascii="Times New Roman" w:hAnsi="Times New Roman" w:eastAsia="宋体" w:cs="宋体"/>
          <w:bCs w:val="0"/>
          <w:color w:val="000000"/>
          <w:kern w:val="0"/>
          <w:sz w:val="24"/>
          <w:szCs w:val="24"/>
          <w:lang w:val="en-US" w:eastAsia="zh-CN" w:bidi="ar"/>
        </w:rPr>
        <w:t xml:space="preserve"> </w:t>
      </w:r>
      <w:r>
        <w:rPr>
          <w:rStyle w:val="36"/>
          <w:rFonts w:ascii="Times New Roman" w:hAnsi="Times New Roman" w:eastAsia="宋体" w:cs="宋体"/>
          <w:bCs w:val="0"/>
          <w:color w:val="000000"/>
          <w:kern w:val="0"/>
          <w:sz w:val="24"/>
          <w:szCs w:val="24"/>
          <w:lang w:val="en-US" w:eastAsia="zh-CN" w:bidi="ar"/>
        </w:rPr>
        <w:t>Resource Orchestration Theory (ROT)</w:t>
      </w:r>
      <w:r>
        <w:rPr>
          <w:rFonts w:ascii="Times New Roman" w:hAnsi="Times New Roman" w:eastAsia="宋体" w:cs="宋体"/>
          <w:bCs w:val="0"/>
          <w:color w:val="000000"/>
          <w:kern w:val="0"/>
          <w:sz w:val="24"/>
          <w:szCs w:val="24"/>
          <w:lang w:val="en-US" w:eastAsia="zh-CN" w:bidi="ar"/>
        </w:rPr>
        <w:t xml:space="preserve"> </w:t>
      </w:r>
      <w:r>
        <w:rPr>
          <w:rFonts w:ascii="Times New Roman" w:hAnsi="Times New Roman" w:eastAsia="宋体" w:cs="宋体"/>
          <w:color w:val="000000"/>
          <w:kern w:val="0"/>
          <w:sz w:val="24"/>
          <w:szCs w:val="24"/>
          <w:lang w:val="en-US" w:eastAsia="zh-CN" w:bidi="ar"/>
        </w:rPr>
        <w:t xml:space="preserve">as the core theoretical framework and the TOE framework for variable classification. It identifies six core influencing dimensions: government policy and cluster governance, talent support, infrastructure construction, technological innovation capability, local e-commerce platforms and digital skills, as well as natural environment and resource endowment. A three-level integrated analytical model of </w:t>
      </w:r>
      <w:r>
        <w:rPr>
          <w:rStyle w:val="39"/>
          <w:rFonts w:ascii="Times New Roman" w:hAnsi="Times New Roman" w:eastAsia="宋体" w:cs="宋体"/>
          <w:color w:val="000000"/>
          <w:kern w:val="0"/>
          <w:sz w:val="24"/>
          <w:szCs w:val="24"/>
          <w:lang w:val="en-US" w:eastAsia="zh-CN" w:bidi="ar"/>
        </w:rPr>
        <w:t>resource foundation – intermediary transformation – performance output</w:t>
      </w:r>
      <w:r>
        <w:rPr>
          <w:rFonts w:ascii="Times New Roman" w:hAnsi="Times New Roman" w:eastAsia="宋体" w:cs="宋体"/>
          <w:color w:val="000000"/>
          <w:kern w:val="0"/>
          <w:sz w:val="24"/>
          <w:szCs w:val="24"/>
          <w:lang w:val="en-US" w:eastAsia="zh-CN" w:bidi="ar"/>
        </w:rPr>
        <w:t xml:space="preserve"> is constructed. By employing the mixed research methods of Structural Equation Modeling (SEM) and fuzzy-set Qualitative Comparative Analysis (fsQCA), this study systematically explores the influencing mechanism and high-performance configuration paths of e-commerce cluster development.</w:t>
      </w:r>
    </w:p>
    <w:p w14:paraId="6C8CA9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Empirical results reveal that infrastructure construction and digital skills exert significant full mediating effects in two distinct influence chains respectively. Four equivalent development paths are identified via fsQCA: policy-infrastructure synergy path, talent-technology-infrastructure ternary path, technology-digital endogenous path, and resource-digital integration path.</w:t>
      </w:r>
    </w:p>
    <w:p w14:paraId="2ED62FD9">
      <w:pPr>
        <w:spacing w:line="400" w:lineRule="exact"/>
        <w:ind w:firstLine="480"/>
        <w:rPr>
          <w:rFonts w:ascii="宋体" w:hAnsi="宋体" w:eastAsia="宋体" w:cs="宋体"/>
          <w:sz w:val="24"/>
          <w:szCs w:val="24"/>
        </w:rPr>
      </w:pPr>
    </w:p>
    <w:bookmarkEnd w:id="26"/>
    <w:p w14:paraId="09860A86">
      <w:pPr>
        <w:spacing w:before="0" w:beforeLines="50" w:line="400" w:lineRule="exact" w:after="0"/>
        <w:ind/>
        <w:rPr>
          <w:color w:val="000000" w:themeColor="text1"/>
          <w:sz w:val="28"/>
          <w:szCs w:val="28"/>
          <w14:textFill>
            <w14:solidFill>
              <w14:schemeClr w14:val="tx1"/>
            </w14:solidFill>
          </w14:textFill>
        </w:rPr>
        <w:jc w:val="left"/>
      </w:pPr>
      <w:r>
        <w:rPr>
          <w:rFonts w:eastAsia="宋体" w:ascii="Times New Roman" w:hAnsi="Times New Roman" w:cs="宋体"/>
          <w:sz w:val="24"/>
          <w:szCs w:val="24"/>
        </w:rPr>
        <w:t xml:space="preserve">Key words: </w:t>
      </w:r>
      <w:r>
        <w:rPr>
          <w:rFonts w:hint="eastAsia" w:eastAsia="宋体" w:ascii="Times New Roman" w:hAnsi="Times New Roman" w:cs="宋体"/>
          <w:sz w:val="24"/>
          <w:szCs w:val="24"/>
          <w:lang w:val="en-US" w:eastAsia="zh-CN"/>
        </w:rPr>
        <w:t xml:space="preserve">Rural </w:t>
      </w:r>
      <w:r>
        <w:rPr>
          <w:rFonts w:eastAsia="宋体" w:ascii="Times New Roman" w:hAnsi="Times New Roman" w:cs="宋体"/>
          <w:sz w:val="24"/>
          <w:szCs w:val="24"/>
        </w:rPr>
        <w:t xml:space="preserve">Cluster E-commerce，Resource Orchestration Theory，Structural Equation Model，fsQCA </w:t>
      </w:r>
      <w:bookmarkStart w:id="27" w:name="OLE_LINK7"/>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012D2F4">
      <w:pPr>
        <w:spacing w:before="0" w:beforeLines="50" w:after="0" w:afterLines="100" w:line="400" w:lineRule="exact"/>
        <w:ind w:left="482" w:firstLine="480" w:firstLineChars="0"/>
        <w:jc w:val="both"/>
        <w:rPr>
          <w:rFonts w:ascii="Times New Roman" w:hAnsi="Times New Roman" w:eastAsia="宋体" w:cs="Times New Roman"/>
          <w:color w:val="000000"/>
          <w:kern w:val="2"/>
          <w:sz w:val="28"/>
          <w:szCs w:val="28"/>
          <w:lang w:val="en-US" w:eastAsia="zh-CN" w:bidi="ar-SA"/>
        </w:rPr>
      </w:pPr>
      <w:bookmarkStart w:id="28" w:name="_Toc523697195"/>
      <w:bookmarkStart w:id="29" w:name="_Toc485048980"/>
      <w:bookmarkStart w:id="30" w:name="_Toc355807473"/>
      <w:bookmarkStart w:id="31" w:name="_Toc520240578"/>
      <w:bookmarkStart w:id="32" w:name="_Toc355614275"/>
      <w:bookmarkStart w:id="33" w:name="_Toc485389067"/>
      <w:bookmarkStart w:id="34" w:name="_Toc484182511"/>
      <w:r>
        <w:rPr>
          <w:rFonts w:ascii="Times New Roman" w:hAnsi="Times New Roman" w:eastAsia="宋体" w:cs="宋体"/>
          <w:sz w:val="24"/>
          <w:szCs w:val="24"/>
        </w:rPr>
        <w:t>目   录</w:t>
      </w:r>
      <w:bookmarkEnd w:id="28"/>
      <w:bookmarkEnd w:id="29"/>
      <w:bookmarkEnd w:id="30"/>
      <w:bookmarkEnd w:id="31"/>
      <w:bookmarkEnd w:id="32"/>
      <w:bookmarkEnd w:id="33"/>
      <w:bookmarkEnd w:id="34"/>
      <w:r>
        <w:rPr>
          <w:rFonts w:eastAsia="宋体" w:ascii="Times New Roman" w:hAnsi="Times New Roman" w:cs="宋体"/>
          <w:color w:val="000000"/>
          <w:sz w:val="24"/>
          <w:szCs w:val="24"/>
        </w:rPr>
        <w:fldChar w:fldCharType="begin"/>
      </w:r>
      <w:r>
        <w:rPr>
          <w:rFonts w:eastAsia="宋体" w:ascii="Times New Roman" w:hAnsi="Times New Roman" w:cs="宋体"/>
          <w:color w:val="000000"/>
          <w:sz w:val="24"/>
          <w:szCs w:val="24"/>
        </w:rPr>
        <w:instrText xml:space="preserve"> TOC \o "1-2" \h \z \u </w:instrText>
      </w:r>
      <w:r>
        <w:rPr>
          <w:rFonts w:eastAsia="宋体" w:ascii="Times New Roman" w:hAnsi="Times New Roman" w:cs="宋体"/>
          <w:color w:val="000000"/>
          <w:sz w:val="24"/>
          <w:szCs w:val="24"/>
        </w:rPr>
        <w:fldChar w:fldCharType="separate"/>
      </w:r>
    </w:p>
    <w:p>
      <w:pPr>
        <w:pStyle w:val="24"/>
      </w:pPr>
      <w:r>
        <w:t xml:space="preserve">第一章 绪论</w:t>
      </w:r>
      <w:r>
        <w:tab/>
      </w:r>
      <w:r>
        <w:t>1</w:t>
      </w:r>
    </w:p>
    <w:p>
      <w:pPr>
        <w:pStyle w:val="26"/>
      </w:pPr>
      <w:r>
        <w:t xml:space="preserve">1.1研究背景及意义</w:t>
      </w:r>
      <w:r>
        <w:tab/>
      </w:r>
      <w:r>
        <w:t>1</w:t>
      </w:r>
    </w:p>
    <w:p>
      <w:pPr>
        <w:pStyle w:val="26"/>
      </w:pPr>
      <w:r>
        <w:t xml:space="preserve">1.2国内外研究现状</w:t>
      </w:r>
      <w:r>
        <w:tab/>
      </w:r>
      <w:r>
        <w:t>2</w:t>
      </w:r>
    </w:p>
    <w:p>
      <w:pPr>
        <w:pStyle w:val="26"/>
      </w:pPr>
      <w:r>
        <w:t xml:space="preserve">1.3研究内容</w:t>
      </w:r>
      <w:r>
        <w:tab/>
      </w:r>
      <w:r>
        <w:t>5</w:t>
      </w:r>
    </w:p>
    <w:p>
      <w:pPr>
        <w:pStyle w:val="26"/>
      </w:pPr>
      <w:r>
        <w:t xml:space="preserve">1.4研究创新点</w:t>
      </w:r>
      <w:r>
        <w:tab/>
      </w:r>
      <w:r>
        <w:t>6</w:t>
      </w:r>
    </w:p>
    <w:p>
      <w:pPr>
        <w:pStyle w:val="26"/>
      </w:pPr>
      <w:r>
        <w:t xml:space="preserve">1.5研究方法与技术路线</w:t>
      </w:r>
      <w:r>
        <w:tab/>
      </w:r>
      <w:r>
        <w:t>7</w:t>
      </w:r>
    </w:p>
    <w:p>
      <w:pPr>
        <w:pStyle w:val="24"/>
      </w:pPr>
      <w:r>
        <w:t xml:space="preserve">第二章 理论基础</w:t>
      </w:r>
      <w:r>
        <w:tab/>
      </w:r>
      <w:r>
        <w:t>8</w:t>
      </w:r>
    </w:p>
    <w:p>
      <w:pPr>
        <w:pStyle w:val="26"/>
      </w:pPr>
      <w:r>
        <w:t xml:space="preserve">2.1核心概念界定</w:t>
      </w:r>
      <w:r>
        <w:tab/>
      </w:r>
      <w:r>
        <w:t>8</w:t>
      </w:r>
    </w:p>
    <w:p>
      <w:pPr>
        <w:pStyle w:val="26"/>
      </w:pPr>
      <w:r>
        <w:t xml:space="preserve">2.2理论基础</w:t>
      </w:r>
      <w:r>
        <w:tab/>
      </w:r>
      <w:r>
        <w:t>9</w:t>
      </w:r>
    </w:p>
    <w:p>
      <w:pPr>
        <w:pStyle w:val="24"/>
      </w:pPr>
      <w:r>
        <w:t xml:space="preserve">第三章 研究设计</w:t>
      </w:r>
      <w:r>
        <w:tab/>
      </w:r>
      <w:r>
        <w:t>11</w:t>
      </w:r>
    </w:p>
    <w:p>
      <w:pPr>
        <w:pStyle w:val="26"/>
      </w:pPr>
      <w:r>
        <w:t xml:space="preserve">3.1理论模型构建</w:t>
      </w:r>
      <w:r>
        <w:tab/>
      </w:r>
      <w:r>
        <w:t>11</w:t>
      </w:r>
    </w:p>
    <w:p>
      <w:pPr>
        <w:pStyle w:val="26"/>
      </w:pPr>
      <w:r>
        <w:t xml:space="preserve">3.2研究假设提出</w:t>
      </w:r>
      <w:r>
        <w:tab/>
      </w:r>
      <w:r>
        <w:t>12</w:t>
      </w:r>
    </w:p>
    <w:p>
      <w:pPr>
        <w:pStyle w:val="26"/>
      </w:pPr>
      <w:r>
        <w:t xml:space="preserve">3.3问卷设计与变量测量</w:t>
      </w:r>
      <w:r>
        <w:tab/>
      </w:r>
      <w:r>
        <w:t>14</w:t>
      </w:r>
    </w:p>
    <w:p>
      <w:pPr>
        <w:pStyle w:val="26"/>
      </w:pPr>
      <w:r>
        <w:t xml:space="preserve">3.4数据收集方案</w:t>
      </w:r>
      <w:r>
        <w:tab/>
      </w:r>
      <w:r>
        <w:t>16</w:t>
      </w:r>
    </w:p>
    <w:p>
      <w:pPr>
        <w:pStyle w:val="26"/>
      </w:pPr>
      <w:r>
        <w:t xml:space="preserve">3.5数据分析方法设计</w:t>
      </w:r>
      <w:r>
        <w:tab/>
      </w:r>
      <w:r>
        <w:t>17</w:t>
      </w:r>
    </w:p>
    <w:p>
      <w:pPr>
        <w:pStyle w:val="26"/>
      </w:pPr>
      <w:r>
        <w:t xml:space="preserve">3.6预调研结果分析</w:t>
      </w:r>
      <w:r>
        <w:tab/>
      </w:r>
      <w:r>
        <w:t>20</w:t>
      </w:r>
    </w:p>
    <w:p>
      <w:pPr>
        <w:pStyle w:val="24"/>
      </w:pPr>
      <w:r>
        <w:t xml:space="preserve">第四章 结构方程模型（SEM）分析</w:t>
      </w:r>
      <w:r>
        <w:tab/>
      </w:r>
      <w:r>
        <w:t>24</w:t>
      </w:r>
    </w:p>
    <w:p>
      <w:pPr>
        <w:pStyle w:val="26"/>
      </w:pPr>
      <w:r>
        <w:t xml:space="preserve">4.1描述性统计分析</w:t>
      </w:r>
      <w:r>
        <w:tab/>
      </w:r>
      <w:r>
        <w:t>24</w:t>
      </w:r>
    </w:p>
    <w:p>
      <w:pPr>
        <w:pStyle w:val="26"/>
      </w:pPr>
      <w:r>
        <w:t xml:space="preserve">4.2信度与效度检验</w:t>
      </w:r>
      <w:r>
        <w:tab/>
      </w:r>
      <w:r>
        <w:t>26</w:t>
      </w:r>
    </w:p>
    <w:p>
      <w:pPr>
        <w:pStyle w:val="26"/>
      </w:pPr>
      <w:r>
        <w:t xml:space="preserve">4.3结构方程模型分析</w:t>
      </w:r>
      <w:r>
        <w:tab/>
      </w:r>
      <w:r>
        <w:t>29</w:t>
      </w:r>
    </w:p>
    <w:p>
      <w:pPr>
        <w:pStyle w:val="26"/>
      </w:pPr>
      <w:r>
        <w:t xml:space="preserve">4.4 Bootstrap中介效应检验</w:t>
      </w:r>
      <w:r>
        <w:tab/>
      </w:r>
      <w:r>
        <w:t>33</w:t>
      </w:r>
    </w:p>
    <w:p>
      <w:pPr>
        <w:pStyle w:val="26"/>
      </w:pPr>
      <w:r>
        <w:t xml:space="preserve">4.5本章小结</w:t>
      </w:r>
      <w:r>
        <w:tab/>
      </w:r>
      <w:r>
        <w:t>35</w:t>
      </w:r>
    </w:p>
    <w:p>
      <w:pPr>
        <w:pStyle w:val="24"/>
      </w:pPr>
      <w:r>
        <w:t xml:space="preserve">第五章 模糊集定性比较分析（fsQCA）</w:t>
      </w:r>
      <w:r>
        <w:tab/>
      </w:r>
      <w:r>
        <w:t>37</w:t>
      </w:r>
    </w:p>
    <w:p>
      <w:pPr>
        <w:pStyle w:val="26"/>
      </w:pPr>
      <w:r>
        <w:t xml:space="preserve">5.1 fsQCA方法说明</w:t>
      </w:r>
      <w:r>
        <w:tab/>
      </w:r>
      <w:r>
        <w:t>37</w:t>
      </w:r>
    </w:p>
    <w:p>
      <w:pPr>
        <w:pStyle w:val="26"/>
      </w:pPr>
      <w:r>
        <w:t xml:space="preserve">5.2数据校准</w:t>
      </w:r>
      <w:r>
        <w:tab/>
      </w:r>
      <w:r>
        <w:t>38</w:t>
      </w:r>
    </w:p>
    <w:p>
      <w:pPr>
        <w:pStyle w:val="26"/>
      </w:pPr>
      <w:r>
        <w:t xml:space="preserve">5.3单变量必要性分析</w:t>
      </w:r>
      <w:r>
        <w:tab/>
      </w:r>
      <w:r>
        <w:t>40</w:t>
      </w:r>
    </w:p>
    <w:p>
      <w:pPr>
        <w:pStyle w:val="26"/>
      </w:pPr>
      <w:r>
        <w:t xml:space="preserve">5.4充分性分析与组态结果</w:t>
      </w:r>
      <w:r>
        <w:tab/>
      </w:r>
      <w:r>
        <w:t>41</w:t>
      </w:r>
    </w:p>
    <w:p>
      <w:pPr>
        <w:pStyle w:val="26"/>
      </w:pPr>
      <w:r>
        <w:t xml:space="preserve">5.5稳健性检验</w:t>
      </w:r>
      <w:r>
        <w:tab/>
      </w:r>
      <w:r>
        <w:t>45</w:t>
      </w:r>
    </w:p>
    <w:p>
      <w:pPr>
        <w:pStyle w:val="26"/>
      </w:pPr>
      <w:r>
        <w:t xml:space="preserve">5.6本章小结</w:t>
      </w:r>
      <w:r>
        <w:tab/>
      </w:r>
      <w:r>
        <w:t>47</w:t>
      </w:r>
    </w:p>
    <w:p>
      <w:pPr>
        <w:pStyle w:val="24"/>
      </w:pPr>
      <w:r>
        <w:t xml:space="preserve">第六章 研究结论与对策建议</w:t>
      </w:r>
      <w:r>
        <w:tab/>
      </w:r>
      <w:r>
        <w:t>49</w:t>
      </w:r>
    </w:p>
    <w:p>
      <w:pPr>
        <w:pStyle w:val="26"/>
      </w:pPr>
      <w:r>
        <w:t xml:space="preserve">6.1研究结论</w:t>
      </w:r>
      <w:r>
        <w:tab/>
      </w:r>
      <w:r>
        <w:t>49</w:t>
      </w:r>
    </w:p>
    <w:p>
      <w:pPr>
        <w:pStyle w:val="26"/>
      </w:pPr>
      <w:r>
        <w:t xml:space="preserve">6.2发展对策建议</w:t>
      </w:r>
      <w:r>
        <w:tab/>
      </w:r>
      <w:r>
        <w:t>52</w:t>
      </w:r>
    </w:p>
    <w:p>
      <w:pPr>
        <w:pStyle w:val="26"/>
      </w:pPr>
      <w:r>
        <w:t xml:space="preserve">6.3研究不足与未来展望</w:t>
      </w:r>
      <w:r>
        <w:tab/>
      </w:r>
      <w:r>
        <w:t>54</w:t>
      </w:r>
    </w:p>
    <w:p>
      <w:pPr>
        <w:pStyle w:val="24"/>
      </w:pPr>
      <w:r>
        <w:t xml:space="preserve">参考文献</w:t>
      </w:r>
      <w:r>
        <w:tab/>
      </w:r>
      <w:r>
        <w:t>57</w:t>
      </w:r>
    </w:p>
    <w:p>
      <w:pPr>
        <w:pStyle w:val="24"/>
      </w:pPr>
      <w:r>
        <w:t xml:space="preserve">致谢</w:t>
      </w:r>
      <w:r>
        <w:tab/>
      </w:r>
      <w:r>
        <w:t>60</w:t>
      </w:r>
    </w:p>
    <w:p w14:paraId="69530E30">
      <w:pPr>
        <w:ind w:firstLine="0" w:firstLineChars="0"/>
      </w:pPr>
    </w:p>
    <w:p w14:paraId="62EC1C83">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38BD0E06">
      <w:pPr>
        <w:spacing w:before="0" w:beforeLines="50" w:after="120" w:afterLines="100" w:line="400" w:lineRule="exact"/>
        <w:ind w:left="482" w:firstLineChars="0"/>
        <w:jc w:val="center"/>
        <w:rPr>
          <w:rFonts w:ascii="黑体" w:hAnsi="黑体" w:eastAsia="黑体"/>
          <w:b/>
          <w:sz w:val="32"/>
          <w:szCs w:val="32"/>
        </w:rPr>
      </w:pPr>
      <w:bookmarkStart w:id="35" w:name="_Toc523697196"/>
      <w:r>
        <w:rPr>
          <w:rFonts w:hint="eastAsia" w:ascii="Times New Roman" w:hAnsi="Times New Roman" w:eastAsia="黑体" w:cs="黑体"/>
          <w:b/>
          <w:sz w:val="28"/>
          <w:szCs w:val="28"/>
        </w:rPr>
        <w:t>插图</w:t>
      </w:r>
      <w:r>
        <w:rPr>
          <w:rFonts w:ascii="Times New Roman" w:hAnsi="Times New Roman" w:eastAsia="黑体" w:cs="黑体"/>
          <w:b/>
          <w:sz w:val="28"/>
          <w:szCs w:val="28"/>
        </w:rPr>
        <w:t>和附表清单</w:t>
      </w:r>
      <w:bookmarkEnd w:id="35"/>
    </w:p>
    <w:p w14:paraId="6CCA001B">
      <w:pPr>
        <w:ind w:firstLine="0" w:firstLineChars="0"/>
      </w:pPr>
    </w:p>
    <w:p w14:paraId="38D1A2C2">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0FA496C6">
      <w:pPr>
        <w:spacing w:before="0" w:beforeLines="50" w:after="120" w:afterLines="100" w:line="400" w:lineRule="exact"/>
        <w:ind w:left="482" w:firstLineChars="0"/>
        <w:jc w:val="center"/>
        <w:rPr>
          <w:rFonts w:ascii="黑体" w:hAnsi="黑体" w:eastAsia="黑体"/>
          <w:b/>
          <w:sz w:val="32"/>
          <w:szCs w:val="32"/>
        </w:rPr>
      </w:pPr>
      <w:bookmarkStart w:id="36" w:name="_Toc523697197"/>
      <w:r>
        <w:rPr>
          <w:rFonts w:hint="eastAsia" w:ascii="Times New Roman" w:hAnsi="Times New Roman" w:eastAsia="黑体" w:cs="黑体"/>
          <w:b/>
          <w:sz w:val="28"/>
          <w:szCs w:val="28"/>
        </w:rPr>
        <w:t>主要</w:t>
      </w:r>
      <w:r>
        <w:rPr>
          <w:rFonts w:ascii="Times New Roman" w:hAnsi="Times New Roman" w:eastAsia="黑体" w:cs="黑体"/>
          <w:b/>
          <w:sz w:val="28"/>
          <w:szCs w:val="28"/>
        </w:rPr>
        <w:t>符号</w:t>
      </w:r>
      <w:r>
        <w:rPr>
          <w:rFonts w:hint="eastAsia" w:ascii="Times New Roman" w:hAnsi="Times New Roman" w:eastAsia="黑体" w:cs="黑体"/>
          <w:b/>
          <w:sz w:val="28"/>
          <w:szCs w:val="28"/>
        </w:rPr>
        <w:t>和术语</w:t>
      </w:r>
      <w:r>
        <w:rPr>
          <w:rFonts w:ascii="Times New Roman" w:hAnsi="Times New Roman" w:eastAsia="黑体" w:cs="黑体"/>
          <w:b/>
          <w:sz w:val="28"/>
          <w:szCs w:val="28"/>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7" w:bottom="1417" w:left="1701" w:header="850" w:footer="992" w:gutter="0"/>
          <w:pgBorders>
            <w:top w:val="none" w:sz="0" w:space="0"/>
            <w:left w:val="none" w:sz="0" w:space="0"/>
            <w:bottom w:val="none" w:sz="0" w:space="0"/>
            <w:right w:val="none" w:sz="0" w:space="0"/>
          </w:pgBorders>
          <w:pgNumType w:fmt="upperRoman"/>
          <w:cols w:space="425" w:num="1"/>
          <w:docGrid w:linePitch="312" w:charSpace="0"/>
        </w:sectPr>
      </w:pPr>
    </w:p>
    <w:p w14:paraId="556CD14C">
      <w:pPr>
        <w:pStyle w:val="2"/>
        <w:spacing w:line="400" w:lineRule="exact" w:before="0" w:after="0"/>
        <w:rPr>
          <w:rFonts w:hint="eastAsia" w:eastAsia="黑体"/>
          <w:lang w:eastAsia="zh-CN"/>
        </w:rPr>
        <w:jc w:val="both"/>
      </w:pPr>
      <w:bookmarkStart w:id="37" w:name="_Toc25734"/>
      <w:r>
        <w:rPr>
          <w:b/>
          <w:rFonts w:hint="eastAsia" w:eastAsia="黑体" w:ascii="Times New Roman" w:hAnsi="Times New Roman" w:cs="黑体"/>
          <w:lang w:val="en-US" w:eastAsia="zh-CN"/>
          <w:sz w:val="32"/>
          <w:szCs w:val="32"/>
        </w:rPr>
        <w:t>第一章 绪论</w:t>
      </w:r>
      <w:bookmarkEnd w:id="37"/>
    </w:p>
    <w:p w14:paraId="0E4E258C">
      <w:pPr>
        <w:pStyle w:val="3"/>
        <w:spacing w:before="240" w:after="240" w:line="400" w:lineRule="exact"/>
        <w:ind w:firstLine="0" w:firstLineChars="0"/>
        <w:rPr>
          <w:rFonts w:hint="eastAsia"/>
          <w:szCs w:val="21"/>
          <w:lang w:val="en-US" w:eastAsia="zh-CN"/>
        </w:rPr>
        <w:jc w:val="both"/>
      </w:pPr>
      <w:bookmarkStart w:id="38" w:name="_Toc21158"/>
      <w:r>
        <w:rPr>
          <w:b/>
          <w:rFonts w:eastAsia="黑体" w:ascii="Times New Roman" w:hAnsi="Times New Roman" w:cs="黑体"/>
          <w:szCs w:val="28"/>
          <w:lang w:val="en-US"/>
          <w:sz w:val="28"/>
        </w:rPr>
        <w:t>1.1研究背景及意义</w:t>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当前，数字经济已成为驱动我国经济高质量发展的重要引擎。《中华人民共和国国民经济和社会发展第十</w:t>
      </w:r>
      <w:r>
        <w:rPr>
          <w:rFonts w:hint="eastAsia" w:ascii="Times New Roman" w:hAnsi="Times New Roman" w:cs="宋体" w:eastAsia="宋体"/>
          <w:color w:val="000000"/>
          <w:kern w:val="0"/>
          <w:sz w:val="24"/>
          <w:szCs w:val="24"/>
          <w:lang w:val="en-US" w:eastAsia="zh-CN" w:bidi="ar"/>
        </w:rPr>
        <w:t>五</w:t>
      </w:r>
      <w:r>
        <w:rPr>
          <w:rFonts w:ascii="Times New Roman" w:hAnsi="Times New Roman" w:eastAsia="宋体" w:cs="宋体"/>
          <w:color w:val="000000"/>
          <w:kern w:val="0"/>
          <w:sz w:val="24"/>
          <w:szCs w:val="24"/>
          <w:lang w:val="en-US" w:eastAsia="zh-CN" w:bidi="ar"/>
        </w:rPr>
        <w:t>个五年规划》明确提出</w:t>
      </w:r>
      <w:r>
        <w:rPr>
          <w:rFonts w:hint="eastAsia" w:ascii="Times New Roman" w:hAnsi="Times New Roman" w:cs="宋体" w:eastAsia="宋体"/>
          <w:color w:val="000000"/>
          <w:kern w:val="0"/>
          <w:sz w:val="24"/>
          <w:szCs w:val="24"/>
          <w:lang w:val="en-US" w:eastAsia="zh-CN" w:bidi="ar"/>
        </w:rPr>
        <w:t>“壮大</w:t>
      </w:r>
      <w:r>
        <w:rPr>
          <w:rFonts w:ascii="Times New Roman" w:hAnsi="Times New Roman" w:eastAsia="宋体" w:cs="宋体"/>
          <w:color w:val="000000"/>
          <w:kern w:val="0"/>
          <w:sz w:val="24"/>
          <w:szCs w:val="24"/>
          <w:lang w:val="en-US" w:eastAsia="zh-CN" w:bidi="ar"/>
        </w:rPr>
        <w:t>数字</w:t>
      </w:r>
      <w:r>
        <w:rPr>
          <w:rFonts w:hint="eastAsia" w:ascii="Times New Roman" w:hAnsi="Times New Roman" w:cs="宋体" w:eastAsia="宋体"/>
          <w:color w:val="000000"/>
          <w:kern w:val="0"/>
          <w:sz w:val="24"/>
          <w:szCs w:val="24"/>
          <w:lang w:val="en-US" w:eastAsia="zh-CN" w:bidi="ar"/>
        </w:rPr>
        <w:t>经济核心产业”“深入推进数字中国建设”</w:t>
      </w:r>
      <w:r>
        <w:rPr>
          <w:rFonts w:ascii="Times New Roman" w:hAnsi="Times New Roman" w:eastAsia="宋体" w:cs="宋体"/>
          <w:color w:val="000000"/>
          <w:kern w:val="0"/>
          <w:sz w:val="24"/>
          <w:szCs w:val="24"/>
          <w:lang w:val="en-US" w:eastAsia="zh-CN" w:bidi="ar"/>
        </w:rPr>
        <w:t>，数字经济与实体产业的深度融合已成为国家战略方向。电子商务作为数字经济的核心业态，正从分散化经营向集群化、生态化方向加速演进，农村电商集群已成为激活县域经济、推动乡村产业振兴的重要抓手。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2026年促进经济“稳中求进、提质增效”政策清单》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烟台作为胶东半岛经济圈的核心城市，拥有栖霞苹果、蓬莱葡萄酒、长岛海产等具有全国影响力的特色产业资源，为农村电商集群的形成与发展奠定了坚实的物质基础。然而，烟台农村电商集群发展面临三方面突出问题：</w:t>
      </w:r>
      <w:r>
        <w:rPr>
          <w:rFonts w:ascii="Times New Roman" w:hAnsi="Times New Roman" w:eastAsia="宋体" w:cs="宋体"/>
          <w:color w:val="auto"/>
          <w:kern w:val="0"/>
          <w:sz w:val="24"/>
          <w:szCs w:val="24"/>
          <w:highlight w:val="yellow"/>
          <w:lang w:val="en-US" w:eastAsia="zh-CN" w:bidi="ar"/>
        </w:rPr>
        <w:t>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w:t>
      </w:r>
      <w:r>
        <w:rPr>
          <w:rFonts w:ascii="Times New Roman" w:hAnsi="Times New Roman" w:eastAsia="宋体" w:cs="宋体"/>
          <w:color w:val="000000"/>
          <w:kern w:val="0"/>
          <w:sz w:val="24"/>
          <w:szCs w:val="24"/>
          <w:lang w:val="en-US" w:eastAsia="zh-CN" w:bidi="ar"/>
        </w:rPr>
        <w:t>上述问题的存在，制约了烟台农村电商集群的高质量、可持续发展，亟需通过系统性的实证研究加以解答。本文的研究，正是回应这一现实需求的具体尝试。</w:t>
      </w:r>
    </w:p>
    <w:p w14:paraId="52284011">
      <w:pPr>
        <w:spacing w:before="0" w:after="0" w:line="400" w:lineRule="exact"/>
        <w:jc w:val="both"/>
        <w:ind w:firstLine="480"/>
      </w:pPr>
      <w:r>
        <w:rPr>
          <w:rFonts w:eastAsia="宋体" w:ascii="Times New Roman" w:hAnsi="Times New Roman" w:cs="宋体"/>
          <w:sz w:val="24"/>
          <w:szCs w:val="24"/>
        </w:rPr>
        <w:t>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14:paraId="6541A19C">
      <w:pPr>
        <w:spacing w:before="0" w:after="0" w:line="400" w:lineRule="exact"/>
        <w:jc w:val="both"/>
        <w:ind w:firstLine="480"/>
      </w:pPr>
      <w:r>
        <w:rPr>
          <w:rFonts w:eastAsia="宋体" w:ascii="Times New Roman" w:hAnsi="Times New Roman" w:cs="宋体"/>
          <w:sz w:val="24"/>
          <w:szCs w:val="24"/>
        </w:rPr>
        <w:t>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jc w:val="both"/>
      </w:pPr>
      <w:bookmarkStart w:id="39" w:name="_Toc2208"/>
      <w:r>
        <w:rPr>
          <w:b/>
          <w:rFonts w:eastAsia="黑体" w:ascii="Times New Roman" w:hAnsi="Times New Roman" w:cs="黑体"/>
          <w:szCs w:val="28"/>
          <w:lang w:val="en-US"/>
          <w:sz w:val="28"/>
        </w:rPr>
        <w:t>1.2国内外研究现状</w:t>
      </w:r>
    </w:p>
    <w:p w14:paraId="2E1321F4">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1.2.1集群电商发展相关研究</w:t>
      </w:r>
    </w:p>
    <w:p w14:paraId="0CA002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sz w:val="24"/>
          <w:szCs w:val="24"/>
        </w:rPr>
        <w:t>国外关于集群电商的研究，最早可追溯至产业集群理论在数字经济领域的延伸应用，研究视角涵盖集群概念建构、竞争优势形成、生态系统演化及政策驱动效应等多个维度。在概念建构层面，</w:t>
      </w:r>
      <w:r>
        <w:rPr>
          <w:rFonts w:eastAsia="宋体" w:ascii="Times New Roman" w:hAnsi="Times New Roman" w:cs="宋体"/>
          <w:highlight w:val="yellow"/>
          <w:sz w:val="24"/>
          <w:szCs w:val="24"/>
        </w:rPr>
        <w:t>Porto等（2021）通过对巴西农村电商集聚区域的田野调查，将集群电商界定为“依托数字平台、在特定地域范围内以特色产业为核心、由相互关联的电商经营主体与配套机构共同构成的空间集聚体”，并指出其核心价值在于降低中小经营主体的市场准入门槛，推动小生产与大市场的有效对接。在集群竞争优势层面，Tan等（2022）的研究表明，电商集群内部的专业化分工与协作网络能够显著提升集群整体的市场响应能力与规模效益，形成单一主体难以复制的集群竞争优势；Boix-Domenech与Galletto（2009）基于欧洲工业区数据进一步指出，集群内部的知识溢出效应是持续提升集群整体创新能力的重要机制，这一逻辑对于理解农村电商集群的技术扩散与能力提升具有参照价值。在集群生态系统层面，Spigel与Harrison（2018）从创业生态系统视角指出，制度环境、社会资本与知识溢出是集群形成与维持竞争优势的核心驱动机制；Nuccio与Guerzoni（2019）研究了数字平台对传统产业集群的重构效应，指出平台经济通过降低交易成本、聚合分散资源，有效加速农村产业集群向“线上线下融合”的数字化新形态演进。在政策驱动型集群发展层面，Li等（2021）基于中国农村电商综合示范县的准自然实验，发现政府主导的电商推广政策能够有效促进农村集群电商的规模扩张与农户收入增长；Tregear等（2023）基于欧洲农产品电商集群的比较研究指出，地理标志特色产品与数字平台的协同赋能是欧洲农村电商集群竞争力的核心来源，与烟台特色农产品电商集群的发展逻辑存在高度相似性。</w:t>
      </w:r>
    </w:p>
    <w:p w14:paraId="746C42A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关于集群电商的研究，伴随淘宝村、电商产业带等集群化现象的快速兴起而持续深化，在集群分类、演化阶段、高质量发展与政策效应等维度积累了丰富的实证成果。在集群分类与形成机理层面，史修松等（2017）基于江苏淘宝村调研，将农村电商集群划分为资源基础型、产业带动型与能人驱动型三类，系统阐析了不同模式的形成机理，奠定了国内集群电商分类研究的基础框架；张夏恒（2021）从产业集群演化视角梳理了县域电商成长路径，指出供应链整合与品牌化运营是县域电商集群实现价值链攀升的核心机制。在集群发展阶段与演化动力层面，郭承龙（2019）将集群电商发展划分为萌芽期、成长期与成熟期三阶段，指出政策推动与市场选择是集群演化的双重驱动力；孙炜琳等（2022）基于电商进农村综合示范项目的政策评估发现，示范政策能够有效激活县域集群电商发展潜力，并对周边地区产生显著的空间溢出效应。在高质量发展与增收效应层面，李想等（2023）指出，集群电商的可持续发展依赖于地方特色资源与数字化能力的协同整合，单纯的规模扩张难以形成持续竞争优势；仇焕广等（2020）基于大规模行政数据与农户调查，实证发现电商集群发展有效提升了农村家庭收入并优化了劳动力就业结构，揭示了集群电商对区域经济的多维溢出效应；汪三贵等（2023）则从数字包容视角探讨了电商集群发展对农村弱势群体的带动机制，发现数字技能获得与集群参与对低收入农户具有显著的增收效应。</w:t>
      </w:r>
    </w:p>
    <w:p w14:paraId="0ED1AECF">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1.2.2电商发展影响因素相关研究</w:t>
      </w:r>
    </w:p>
    <w:p w14:paraId="51FCE08E">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国内外学者围绕电商发展影响因素开展了大量实证研究，研究维度涵盖政府政策与治理、人才支撑、基础设施、技术创新、数字技能与资源禀赋等核心层面，为本文研究模型的构建提供了坚实的文献基础。在政策治理方面，梁强等（2016）基于广东军埔电商集群案例，指出政府的政策扶持、产业规划与公共服务供给是集群电商形成与发展的关键制度性要素；Cui等（2019）强调，完善的集群内部治理机制是集群电商实现可持续发展的核心组织保障，治理结构的有效性直接影响集群的协同效率与竞争优势维持；Song等（2023）基于跨地区面板数据证实，地方政府电商支持政策强度与集群电商规模扩张之间存在显著正相关关系，且该效应在资源禀赋较弱的地区尤为突出；Wang等（2022）则从制度适配视角指出，政策落地的情境匹配程度对集群电商发展效果具有显著调节作用，政策设计须与本地电商发展实际深度契合。</w:t>
      </w:r>
    </w:p>
    <w:p w14:paraId="530846DD">
      <w:pPr>
        <w:spacing w:before="0" w:after="0" w:line="400" w:lineRule="exact"/>
        <w:ind w:firstLine="480" w:firstLineChars="0"/>
        <w:rPr>
          <w:rFonts w:hint="eastAsia"/>
          <w:szCs w:val="21"/>
          <w:highlight w:val="yellow"/>
          <w:lang w:val="en-US" w:eastAsia="zh-CN"/>
        </w:rPr>
        <w:jc w:val="both"/>
      </w:pPr>
      <w:r>
        <w:rPr>
          <w:rFonts w:eastAsia="宋体" w:ascii="Times New Roman" w:hAnsi="Times New Roman" w:cs="宋体"/>
          <w:highlight w:val="yellow"/>
          <w:sz w:val="24"/>
          <w:szCs w:val="24"/>
        </w:rPr>
        <w:t>在人才支撑方面，邱泽奇等（2021）指出，电商专业人才的供给不足是制约县域电商发展的核心瓶颈，从业者的数字技能与运营能力直接决定集群整体发展水平；Van Deursen与Van Dijk（2014）提出“多层次数字技能框架”，区分操作技能、信息技能与策略技能三个层次，为衡量电商从业者差异化数字能力提供了重要的理论工具；曹玲等（2022）的研究表明，电商从业者数字素养水平与平台运营效益之间存在显著正相关，技能培训的干预效果因针对性不同而呈现显著异质性。在基础设施建设方面，董坤祥等（2016）证明交通物流、仓储冷链、网络通信等基础设施是集群电商发展的核心硬件保障；Urpelainen与Yoon（2015）基于发展中国家农村地区数据发现，数字基础设施普及率与农村电商规模之间呈现显著的正向非线性关系，在基础设施覆盖率较低阶段其边际效应尤为突出；张晓山等（2021）的研究表明，冷链物流体系的完善程度对生鲜农产品电商集群的发展质量具有决定性影响。在技术创新水平方面，易法敏等（2022）指出，大数据、人工智能、直播技术等数字化技术的规模化应用能够显著提升集群电商的转型升级能力与运营效率；Premkumar与Roberts（1999）在信息技术采纳领域的经典研究指出，农村地区技术采纳障碍的突破须依赖外部政策与内部能力的协同推进；孟天广等（2023）基于中国数字经济数据表明，数字技术本地化应用深度对产业集群数字化转型效能具有显著调节效应。在数字化能力方面，张伟（2024）的SEM实证研究表明，本地特色电商平台的功能完善度与从业者数字技能均对集群发展水平具有显著正向影响，且二者存在协同增强效应；吴晓明等（2023）进一步指出，数字平台的本地化适配程度是决定平台赋能效应强弱的关键因素。在资源禀赋方面，唐艺等（2021）以江苏沭阳花木电商集群为例，指出本地特色资源是集群电商形成的核心前提，资源整合利用效率直接决定集群核心竞争力；吴比等（2023）基于资源禀赋理论进一步揭示，特色农产品资源的稀缺性与差异化程度对集群电商品牌溢价能力具有显著正向影响，强调了资源禀赋不可复制性对竞争优势的基础性作用。</w:t>
      </w:r>
    </w:p>
    <w:p w14:paraId="73FF5E6E">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1.2.3 SEM与fsQCA混合方法的应用研究</w:t>
      </w:r>
    </w:p>
    <w:p w14:paraId="6DB3C788">
      <w:pPr>
        <w:spacing w:before="0" w:after="0" w:line="400" w:lineRule="exact"/>
        <w:ind w:firstLine="480" w:firstLineChars="0"/>
        <w:jc w:val="both"/>
      </w:pPr>
      <w:r>
        <w:rPr>
          <w:rFonts w:eastAsia="宋体" w:ascii="Times New Roman" w:hAnsi="Times New Roman" w:cs="宋体"/>
          <w:sz w:val="24"/>
          <w:szCs w:val="24"/>
        </w:rPr>
        <w:t>SEM与fsQCA混合研究范式能够同步实现变量间线性因果验证与条件组合的组态效应分析，在复杂因果关系的探究中具有独特的方法论价值，近年来在管理学、经济学与社会学等领域获得广泛应用。在方法论基础层面，Ragin（2008）系统构建了fsQCA方法的理论框架与操作规范，Fiss（2011）在</w:t>
      </w:r>
      <w:r>
        <w:rPr>
          <w:rFonts w:eastAsia="宋体" w:ascii="Times New Roman" w:hAnsi="Times New Roman" w:cs="宋体"/>
          <w:i/>
          <w:iCs/>
          <w:sz w:val="24"/>
          <w:szCs w:val="24"/>
        </w:rPr>
        <w:t>Academy of Management Journal</w:t>
      </w:r>
      <w:r>
        <w:rPr>
          <w:rFonts w:eastAsia="宋体" w:ascii="Times New Roman" w:hAnsi="Times New Roman" w:cs="宋体"/>
          <w:sz w:val="24"/>
          <w:szCs w:val="24"/>
        </w:rPr>
        <w:t>发表的研究进一步确立了以中间解结合简约解划分核心条件与边缘条件的操作标准，成为后续研究的方法基准；Woodside（2013）在消费者行为领域系统论证了fsQCA相对于传统回归分析的方法优势，指出其在处理“小样本、多条件、非对称因果”问题上的独特适用性。</w:t>
      </w:r>
    </w:p>
    <w:p w14:paraId="15D11AFA">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在国内研究中，易明等（2018）较早采用SEM与fsQCA混合方法研究员工沉默行为，首次在管理学领域验证了混合方法在揭示复杂因果机制中的价值；毕达天等（2021）将该方法应用于科研人员数据素养影响因素分析，进一步拓展了其在信息行为领域的适用范围；马静等（2023）采用SEM-fsQCA混合设计探究数字普惠金融对农户收入的影响路径，发现不同金融基础条件下影响路径存在显著的组态异质性；赵婷婷等（2024）在农村电商研究中应用该混合方法，识别出政策、技术与资源组合的多元等效发展路径，为本文方法选择提供了直接参照。在国外研究中，Um等（2023）采用SEM与fsQCA混合方法研究旅游移动商务中消费者冲动购买意愿，发现不同条件组合下消费者行为具有显著的“殊途同归”特征；Zheng等（2023）基于该混合方法研究在线学习质量对大学生持续学习意愿的影响，进一步拓展了混合方法的应用边界；Du等（2022）将其应用于企业数字化转型研究，发现技术能力与组织管理的不同条件组合均可驱动转型绩效的实现，揭示了组态效应的“等效性”特征。上述研究表明，SEM与fsQCA的协同应用能够有效弥补单一方法的不足，既实现因果效应的精确估计，又揭示条件组合的复杂非线性效应，是探究农村电商集群发展机制的适宜方法框架。</w:t>
      </w:r>
    </w:p>
    <w:p w14:paraId="7AEB8F7A">
      <w:pPr>
        <w:pStyle w:val="4"/>
        <w:spacing w:before="0" w:after="0" w:line="400" w:lineRule="exact"/>
        <w:ind w:firstLine="0" w:firstLineChars="0"/>
        <w:rPr>
          <w:rFonts w:hint="eastAsia"/>
          <w:szCs w:val="21"/>
          <w:lang w:val="en-US" w:eastAsia="zh-CN"/>
        </w:rPr>
        <w:jc w:val="both"/>
      </w:pPr>
      <w:r>
        <w:rPr>
          <w:b/>
          <w:rFonts w:eastAsia="黑体" w:ascii="Times New Roman" w:hAnsi="Times New Roman" w:cs="黑体"/>
          <w:sz w:val="24"/>
          <w:szCs w:val="24"/>
        </w:rPr>
        <w:t>1.2.4研究述评与研究切入点</w:t>
      </w:r>
    </w:p>
    <w:p w14:paraId="6E0E698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综上所述，国内外关于集群电商的研究已取得丰硕成果，为本文奠定了坚实的理论基础，但现有研究仍存在三方面不足：</w:t>
      </w:r>
    </w:p>
    <w:p w14:paraId="32FA8138">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第一，研究情境存在区域空白。现有研究多以浙江、江苏等南方电商发达地区为样本，针对烟台北方沿海特色产业产区的本土化实证研究极为匮乏，现有结论的本土化适配性不足。</w:t>
      </w:r>
    </w:p>
    <w:p w14:paraId="30D9DB9F">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第二，研究维度存在同质化局限。现有研究多聚焦政策、基建、技术等通用维度，鲜有研究将本地资源禀赋、特色平台建设等区域特色变量纳入整合分析框架，难以精准解释烟台集群电商的独特发展逻辑。</w:t>
      </w:r>
    </w:p>
    <w:bookmarkEnd w:id="39"/>
    <w:p w14:paraId="1BC2D9FC">
      <w:pPr>
        <w:spacing w:before="0" w:after="0" w:line="400" w:lineRule="exact"/>
        <w:ind w:firstLine="480" w:firstLineChars="0"/>
        <w:rPr>
          <w:rFonts w:hint="eastAsia"/>
          <w:szCs w:val="21"/>
          <w:lang w:val="en-US" w:eastAsia="zh-CN"/>
        </w:rPr>
        <w:jc w:val="both"/>
      </w:pPr>
      <w:r>
        <w:rPr>
          <w:rFonts w:eastAsia="宋体" w:ascii="Times New Roman" w:hAnsi="Times New Roman" w:cs="宋体"/>
          <w:sz w:val="24"/>
          <w:szCs w:val="24"/>
        </w:rPr>
        <w:t>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jc w:val="both"/>
      </w:pPr>
      <w:bookmarkStart w:id="40" w:name="_Toc1812"/>
      <w:r>
        <w:rPr>
          <w:b/>
          <w:rFonts w:eastAsia="黑体" w:ascii="Times New Roman" w:hAnsi="Times New Roman" w:cs="黑体"/>
          <w:szCs w:val="28"/>
          <w:lang w:val="en-US"/>
          <w:sz w:val="28"/>
        </w:rPr>
        <w:t>1.3研究内容</w:t>
      </w:r>
      <w:bookmarkEnd w:id="40"/>
    </w:p>
    <w:p w14:paraId="46BFB19B">
      <w:pPr>
        <w:pStyle w:val="4"/>
        <w:spacing w:line="400" w:lineRule="exact" w:before="0" w:after="0"/>
        <w:rPr>
          <w:rFonts w:hint="eastAsia" w:ascii="Times New Roman" w:hAnsi="Times New Roman"/>
          <w:lang w:val="en-US" w:eastAsia="zh-CN"/>
        </w:rPr>
        <w:jc w:val="both"/>
      </w:pPr>
      <w:r>
        <w:rPr>
          <w:b/>
          <w:rFonts w:ascii="Times New Roman" w:hAnsi="Times New Roman" w:eastAsia="黑体" w:cs="黑体"/>
          <w:lang w:val="en-US"/>
          <w:sz w:val="24"/>
          <w:szCs w:val="24"/>
        </w:rPr>
        <w:t>1.3.1研究内容概述</w:t>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本文共分为五个章节，各章主要内容如下：</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三章为研究设计，是全文的方法支撑。本章基于资源编排理论与TOE框架，构建包含六大核心变量的整合分析模型，提出SEM直接效应研究假设与fsQCA组态路径研究猜想；阐述问卷设计原则与核心变量的测量方案；介绍数据收集对象、方式与数量方案；设计SEM与fsQCA的完整分析流程，为后续实证分析奠定基础。</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r>
      <w:r>
        <w:rPr>
          <w:rFonts w:ascii="Times New Roman" w:hAnsi="Times New Roman" w:eastAsia="宋体" w:cs="宋体"/>
          <w:color w:val="000000"/>
          <w:kern w:val="0"/>
          <w:sz w:val="24"/>
          <w:szCs w:val="24"/>
          <w:lang w:val="en-US" w:eastAsia="zh-CN" w:bidi="ar"/>
        </w:rPr>
        <w:br w:type="textWrapping"/>
      </w:r>
      <w:r>
        <w:rPr>
          <w:rFonts w:hint="eastAsia" w:ascii="Times New Roman" w:hAnsi="Times New Roman" w:cs="宋体" w:eastAsia="宋体"/>
          <w:color w:val="000000"/>
          <w:kern w:val="0"/>
          <w:sz w:val="24"/>
          <w:szCs w:val="24"/>
          <w:lang w:val="en-US" w:eastAsia="zh-CN" w:bidi="ar"/>
        </w:rPr>
        <w:tab/>
      </w:r>
      <w:r>
        <w:rPr>
          <w:rFonts w:ascii="Times New Roman" w:hAnsi="Times New Roman" w:eastAsia="宋体" w:cs="宋体"/>
          <w:color w:val="000000"/>
          <w:kern w:val="0"/>
          <w:sz w:val="24"/>
          <w:szCs w:val="24"/>
          <w:lang w:val="en-US" w:eastAsia="zh-CN" w:bidi="ar"/>
        </w:rP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jc w:val="both"/>
      </w:pPr>
      <w:bookmarkStart w:id="41" w:name="_Toc17945"/>
      <w:r>
        <w:rPr>
          <w:b/>
          <w:rFonts w:eastAsia="黑体" w:ascii="Times New Roman" w:hAnsi="Times New Roman" w:cs="黑体"/>
          <w:szCs w:val="28"/>
          <w:lang w:val="en-US"/>
          <w:sz w:val="28"/>
        </w:rPr>
        <w:t>1.4研究创新点</w:t>
      </w:r>
      <w:bookmarkEnd w:id="41"/>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color w:val="000000"/>
          <w:sz w:val="24"/>
          <w:szCs w:val="24"/>
        </w:rPr>
        <w:jc w:val="both"/>
      </w:pPr>
      <w:r>
        <w:rPr>
          <w:rStyle w:val="36"/>
          <w:rFonts w:eastAsia="宋体" w:ascii="Times New Roman" w:hAnsi="Times New Roman" w:cs="宋体"/>
          <w:bCs/>
          <w:color w:val="000000"/>
          <w:sz w:val="24"/>
          <w:szCs w:val="24"/>
        </w:rPr>
        <w:t>研究维度的本土化创新</w:t>
      </w:r>
      <w:r>
        <w:rPr>
          <w:rFonts w:eastAsia="宋体" w:ascii="Times New Roman" w:hAnsi="Times New Roman" w:cs="宋体"/>
          <w:color w:val="000000"/>
          <w:sz w:val="24"/>
          <w:szCs w:val="24"/>
        </w:rPr>
        <w:t>：本文结合烟台集群电商发展的实际特征，构建了包含政策治理、人才支撑、基础设施建设、技术创新水平、数字化能力、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研究方法的融合创新：本文以资源编排理论（Resource Orchestration Theory，ROT）为统一理论底座，有机整合结构方程模型（SEM）与模糊集定性比较分析（fsQCA）两种研究范式，构建“ROT理论驱动的SEM-fsQCA协同研究设计”。在理论层面，ROT强调多维资源要素的整合编排而非单一资源的独立作用，其多资源组合驱动竞争优势、不同资源组合产生等效绩效的核心逻辑，为SEM验证中介机制与fsQCA识别组态路径提供了统一的理论框架；在方法层面，SEM用于精确估计各因素的线性净效应与完全中介机制，fsQCA则专注于揭示多因素联动的非线性组态效应与多元等效路径，二者构成线性与非线性、净效应与组合效应的双维度互补。三者在本文中形成层次递进的有机整合：ROT理论指导模型建构，SEM验证变量净效应，fsQCA识别组态路径，研究结论兼具理论严谨性与实践适配性。以ROT为统一理论基础的SEM-fsQCA协同设计，在农村电商集群研究领域尚属较少见的方法论尝试，具有一定的创新价值。</w:t>
      </w:r>
    </w:p>
    <w:p w14:paraId="7D0309C2">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研究场景的精准化创新：本文聚焦烟台地区集群电商这一具体研究情境，兼具显著的区域适配性与方法论匹配性优势。从区域情境而言，烟台地区农村电商集群具备多维度资源异质性与多元发展路径并存的典型特征——栖霞苹果、蓬莱葡萄酒、长岛海产等地理标志产品构成差异化的资源禀赋基底，不同区县的集群发展路径各有侧重，样本内部存在显著的条件配置多样性，为fsQCA组态分析所要求的案例异质性提供了天然的数据条件。从方法匹配性而言，烟台集群电商发展受政策、技术、人才、资源等多维因素联动影响，且不同区县呈现出迥异的发展路径，这种复杂因果与多路径等效的现实特征恰好契合fsQCA非对称因果、等效路径、多条件并发的核心适用情景；同时，N=508的有效样本量亦满足</w:t>
      </w:r>
      <w:r>
        <w:rPr>
          <w:rStyle w:val="36"/>
          <w:rFonts w:eastAsia="宋体" w:ascii="Times New Roman" w:hAnsi="Times New Roman" w:cs="宋体"/>
          <w:bCs w:val="0"/>
          <w:color w:val="000000"/>
          <w:sz w:val="24"/>
          <w:szCs w:val="24"/>
          <w:highlight w:val="yellow"/>
        </w:rPr>
        <w:t>SEM建模对样本规模的基本需求（Hair等，2010）。</w:t>
      </w:r>
      <w:r>
        <w:rPr>
          <w:rStyle w:val="36"/>
          <w:rFonts w:eastAsia="宋体" w:ascii="Times New Roman" w:hAnsi="Times New Roman" w:cs="宋体"/>
          <w:bCs w:val="0"/>
          <w:color w:val="000000"/>
          <w:sz w:val="24"/>
          <w:szCs w:val="24"/>
        </w:rPr>
        <w:t>现有研究多以江浙等南方电商发达地区为样本，针对烟台北方沿海特色产业集群的本土化实证研究极为匮乏；选取烟台为研究对象并采用SEM-fsQCA混合方法，既填补了现有研究的区域空白，也体现了研究方法与研究情境的高度适配性，所提对策建议兼具地区针对性与政策可落地性。</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7" w:bottom="1417" w:left="1701" w:header="850" w:footer="992" w:gutter="0"/>
          <w:pgBorders>
            <w:top w:val="none" w:sz="0" w:space="0"/>
            <w:left w:val="none" w:sz="0" w:space="0"/>
            <w:bottom w:val="none" w:sz="0" w:space="0"/>
            <w:right w:val="none" w:sz="0" w:space="0"/>
          </w:pgBorders>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jc w:val="both"/>
      </w:pPr>
      <w:bookmarkStart w:id="42" w:name="_Toc1599"/>
      <w:r>
        <w:rPr>
          <w:b/>
          <w:rFonts w:eastAsia="黑体" w:ascii="Times New Roman" w:hAnsi="Times New Roman" w:cs="黑体"/>
          <w:szCs w:val="28"/>
          <w:lang w:val="en-US"/>
          <w:sz w:val="28"/>
        </w:rPr>
        <w:t>1.5研究方法与技术路线</w:t>
      </w:r>
      <w:bookmarkEnd w:id="42"/>
    </w:p>
    <w:p w14:paraId="2DF3A845">
      <w:pPr>
        <w:pStyle w:val="4"/>
        <w:spacing w:before="0" w:after="0" w:line="400" w:lineRule="exact"/>
        <w:jc w:val="both"/>
      </w:pPr>
      <w:r>
        <w:rPr>
          <w:b/>
          <w:rFonts w:eastAsia="黑体" w:ascii="Times New Roman" w:hAnsi="Times New Roman" w:cs="黑体"/>
          <w:sz w:val="24"/>
          <w:szCs w:val="24"/>
        </w:rP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b w:val="0"/>
          <w:bCs w:val="0"/>
          <w:color w:val="000000"/>
          <w:sz w:val="24"/>
          <w:szCs w:val="24"/>
        </w:rPr>
      </w:pPr>
      <w:r>
        <w:rPr>
          <w:rFonts w:ascii="Times New Roman" w:hAnsi="Times New Roman" w:eastAsia="宋体" w:cs="宋体"/>
          <w:bCs w:val="0"/>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文献研究法</w:t>
      </w:r>
      <w:r>
        <w:rPr>
          <w:rFonts w:eastAsia="宋体" w:ascii="Times New Roman" w:hAnsi="Times New Roman" w:cs="宋体"/>
          <w:bCs w:val="0"/>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问卷调查法</w:t>
      </w:r>
      <w:r>
        <w:rPr>
          <w:rFonts w:eastAsia="宋体" w:ascii="Times New Roman" w:hAnsi="Times New Roman" w:cs="宋体"/>
          <w:bCs w:val="0"/>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b w:val="0"/>
          <w:bCs w:val="0"/>
          <w:color w:val="000000"/>
          <w:sz w:val="24"/>
          <w:szCs w:val="24"/>
        </w:rPr>
        <w:jc w:val="both"/>
      </w:pPr>
      <w:r>
        <w:rPr>
          <w:rStyle w:val="36"/>
          <w:rFonts w:eastAsia="宋体" w:ascii="Times New Roman" w:hAnsi="Times New Roman" w:cs="宋体"/>
          <w:bCs w:val="0"/>
          <w:color w:val="000000"/>
          <w:sz w:val="24"/>
          <w:szCs w:val="24"/>
        </w:rPr>
        <w:t>结构方程模型（SEM）：采用AMOS软件开展SEM分析</w:t>
      </w:r>
      <w:r>
        <w:rPr>
          <w:rStyle w:val="FootnoteReference"/>
        </w:rPr>
        <w:endnoteReference w:id="3"/>
      </w:r>
      <w:r>
        <w:rPr>
          <w:rStyle w:val="36"/>
          <w:rFonts w:eastAsia="宋体" w:ascii="Times New Roman" w:hAnsi="Times New Roman" w:cs="宋体"/>
          <w:bCs w:val="0"/>
          <w:color w:val="000000"/>
          <w:sz w:val="24"/>
          <w:szCs w:val="24"/>
        </w:rPr>
        <w:t>，用于检验六大维度潜变量之间的因果关系，以基础设施建设与数字化能力为双中介变量，验证各维度变量对烟台集群电商发展的间接影响路径，明确各因素的作用强度与显著性。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rPr>
          <w:rFonts w:hint="eastAsia"/>
          <w:b w:val="0"/>
          <w:bCs w:val="0"/>
        </w:rPr>
        <w:jc w:val="both"/>
      </w:pPr>
      <w:r>
        <w:rPr>
          <w:rStyle w:val="36"/>
          <w:rFonts w:eastAsia="宋体" w:ascii="Times New Roman" w:hAnsi="Times New Roman" w:cs="宋体"/>
          <w:bCs w:val="0"/>
          <w:color w:val="000000"/>
          <w:sz w:val="24"/>
          <w:szCs w:val="24"/>
        </w:rPr>
        <w:t>模糊集定性比较分析（fsQCA）</w:t>
      </w:r>
      <w:r>
        <w:rPr>
          <w:rFonts w:eastAsia="宋体" w:ascii="Times New Roman" w:hAnsi="Times New Roman" w:cs="宋体"/>
          <w:bCs w:val="0"/>
          <w:color w:val="000000"/>
          <w:sz w:val="24"/>
          <w:szCs w:val="24"/>
        </w:rPr>
        <w:t>：采用 fsQCA 软件开展组态分析</w:t>
      </w:r>
      <w:r>
        <w:rPr>
          <w:rStyle w:val="FootnoteReference"/>
        </w:rPr>
        <w:endnoteReference w:id="4"/>
      </w:r>
      <w:r>
        <w:rPr>
          <w:rFonts w:eastAsia="宋体" w:ascii="Times New Roman" w:hAnsi="Times New Roman" w:cs="宋体"/>
          <w:bCs w:val="0"/>
          <w:color w:val="000000"/>
          <w:sz w:val="24"/>
          <w:szCs w:val="24"/>
        </w:rPr>
        <w:t xml:space="preserve">，基于集合论与组态理论，处理多因素并发的复杂因果问题，识别驱动烟台集群电商高绩效发展的多元条件组合与等效发展路径，为分类施策提供依据。</w:t>
      </w:r>
    </w:p>
    <w:p w14:paraId="74B62F41">
      <w:pPr>
        <w:spacing w:line="240" w:lineRule="auto"/>
        <w:ind w:firstLine="0" w:firstLineChars="0"/>
        <w:jc w:val="center"/>
        <w:rPr>
          <w:rFonts w:hint="eastAsia" w:eastAsia="宋体"/>
          <w:lang w:eastAsia="zh-CN"/>
        </w:rPr>
      </w:pP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eastAsia" w:eastAsia="宋体"/>
          <w:lang w:eastAsia="zh-CN"/>
        </w:rPr>
        <w:jc w:val="both"/>
      </w:pPr>
      <w:r>
        <w:rPr>
          <w:b/>
          <w:rFonts w:eastAsia="黑体" w:ascii="Times New Roman" w:hAnsi="Times New Roman" w:cs="黑体"/>
          <w:color w:val="000000"/>
          <w:sz w:val="24"/>
          <w:szCs w:val="24"/>
        </w:rPr>
        <w:t>1.5.2技术路线</w:t>
      </w:r>
      <w:r>
        <w:rPr>
          <w:b/>
          <w:rFonts w:hint="eastAsia" w:eastAsia="黑体" w:ascii="Times New Roman" w:hAnsi="Times New Roman" w:cs="黑体"/>
          <w:lang w:eastAsia="zh-CN"/>
          <w:sz w:val="24"/>
          <w:szCs w:val="24"/>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1"/>
                    <a:stretch>
                      <a:fillRect/>
                    </a:stretch>
                  </pic:blipFill>
                  <pic:spPr>
                    <a:xfrm>
                      <a:off x="0" y="0"/>
                      <a:ext cx="4947285" cy="4947285"/>
                    </a:xfrm>
                    <a:prstGeom prst="rect">
                      <a:avLst/>
                    </a:prstGeom>
                  </pic:spPr>
                </pic:pic>
              </a:graphicData>
            </a:graphic>
          </wp:inline>
        </w:drawing>
      </w:r>
    </w:p>
    <w:p w14:paraId="675FE004">
      <w:pPr>
        <w:pStyle w:val="12"/>
        <w:spacing w:line="400" w:lineRule="exact" w:before="120" w:after="120"/>
        <w:ind w:firstLineChars="0"/>
        <w:jc w:val="center"/>
        <w:rPr>
          <w:rFonts w:hint="default" w:ascii="宋体" w:hAnsi="宋体" w:eastAsia="宋体" w:cs="宋体"/>
          <w:b/>
          <w:bCs/>
          <w:sz w:val="21"/>
          <w:szCs w:val="21"/>
          <w:lang w:val="en-US" w:eastAsia="zh-CN"/>
        </w:rPr>
      </w:pPr>
      <w:r>
        <w:rPr>
          <w:rFonts w:hint="eastAsia" w:ascii="Times New Roman" w:hAnsi="Times New Roman" w:eastAsia="宋体" w:cs="宋体"/>
          <w:b/>
          <w:bCs/>
          <w:sz w:val="21"/>
          <w:szCs w:val="21"/>
        </w:rPr>
        <w:t xml:space="preserve">图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图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w:t>
      </w:r>
      <w:r>
        <w:rPr>
          <w:rFonts w:hint="eastAsia" w:ascii="Times New Roman" w:hAnsi="Times New Roman" w:eastAsia="宋体" w:cs="宋体"/>
          <w:b/>
          <w:bCs/>
          <w:sz w:val="21"/>
          <w:szCs w:val="21"/>
          <w:lang w:val="en-US" w:eastAsia="zh-CN"/>
        </w:rPr>
        <w:t xml:space="preserve"> 技术路线图</w:t>
      </w:r>
    </w:p>
    <w:p w14:paraId="72F82E4B">
      <w:pPr>
        <w:pStyle w:val="5"/>
      </w:pPr>
    </w:p>
    <w:p w14:paraId="55DA8BE8">
      <w:pPr>
        <w:pStyle w:val="2"/>
        <w:spacing w:line="400" w:lineRule="exact" w:before="0" w:after="0"/>
        <w:jc w:val="both"/>
      </w:pPr>
      <w:bookmarkStart w:id="43" w:name="_Toc1959"/>
      <w:r>
        <w:rPr>
          <w:b/>
          <w:rFonts w:hint="eastAsia" w:eastAsia="黑体" w:ascii="Times New Roman" w:hAnsi="Times New Roman" w:cs="黑体"/>
          <w:lang w:val="en-US" w:eastAsia="zh-CN"/>
          <w:sz w:val="32"/>
          <w:szCs w:val="32"/>
        </w:rPr>
        <w:t>第二章 理论基础</w:t>
      </w:r>
      <w:bookmarkEnd w:id="43"/>
    </w:p>
    <w:p w14:paraId="420FC266">
      <w:pPr>
        <w:pStyle w:val="3"/>
        <w:spacing w:before="240" w:after="240" w:line="400" w:lineRule="exact"/>
        <w:ind w:firstLine="0" w:firstLineChars="0"/>
        <w:rPr>
          <w:rFonts w:hint="default" w:eastAsia="黑体"/>
          <w:lang w:val="en-US" w:eastAsia="zh-CN"/>
        </w:rPr>
        <w:jc w:val="both"/>
      </w:pPr>
      <w:bookmarkStart w:id="44" w:name="_Toc21534"/>
      <w:r>
        <w:rPr>
          <w:b/>
          <w:rFonts w:eastAsia="黑体" w:ascii="Times New Roman" w:hAnsi="Times New Roman" w:cs="黑体"/>
          <w:sz w:val="28"/>
          <w:szCs w:val="28"/>
        </w:rPr>
        <w:t>2.1</w:t>
      </w:r>
      <w:r>
        <w:rPr>
          <w:b/>
          <w:rFonts w:hint="eastAsia" w:eastAsia="黑体" w:ascii="Times New Roman" w:hAnsi="Times New Roman" w:cs="黑体"/>
          <w:lang w:val="en-US" w:eastAsia="zh-CN"/>
          <w:sz w:val="28"/>
          <w:szCs w:val="28"/>
        </w:rPr>
        <w:t>核心概念界定</w:t>
      </w:r>
      <w:bookmarkEnd w:id="44"/>
    </w:p>
    <w:p w14:paraId="64649640">
      <w:pPr>
        <w:pStyle w:val="4"/>
        <w:spacing w:line="400" w:lineRule="exact" w:before="0" w:after="0"/>
        <w:rPr>
          <w:rFonts w:hint="eastAsia" w:ascii="Times New Roman" w:hAnsi="Times New Roman" w:eastAsia="黑体"/>
          <w:szCs w:val="21"/>
          <w:lang w:eastAsia="zh-CN"/>
        </w:rPr>
        <w:jc w:val="both"/>
      </w:pPr>
      <w:bookmarkStart w:id="45" w:name="_Toc448094852"/>
      <w:bookmarkStart w:id="46" w:name="_Toc485048993"/>
      <w:bookmarkStart w:id="47" w:name="_Toc484182524"/>
      <w:bookmarkStart w:id="48" w:name="_Toc485389080"/>
      <w:r>
        <w:rPr>
          <w:b/>
          <w:rFonts w:ascii="Times New Roman" w:hAnsi="Times New Roman" w:eastAsia="黑体" w:cs="黑体"/>
          <w:szCs w:val="24"/>
          <w:sz w:val="24"/>
        </w:rPr>
        <w:t>2.1</w:t>
      </w:r>
      <w:bookmarkEnd w:id="45"/>
      <w:r>
        <w:rPr>
          <w:b/>
          <w:rFonts w:ascii="Times New Roman" w:hAnsi="Times New Roman" w:eastAsia="黑体" w:cs="黑体"/>
          <w:szCs w:val="24"/>
          <w:sz w:val="24"/>
        </w:rPr>
        <w:t>.1</w:t>
      </w:r>
      <w:bookmarkEnd w:id="46"/>
      <w:bookmarkEnd w:id="47"/>
      <w:bookmarkEnd w:id="48"/>
      <w:r>
        <w:rPr>
          <w:b/>
          <w:rFonts w:hint="eastAsia" w:ascii="Times New Roman" w:hAnsi="Times New Roman" w:eastAsia="黑体" w:cs="黑体"/>
          <w:szCs w:val="24"/>
          <w:lang w:val="en-US" w:eastAsia="zh-CN"/>
          <w:sz w:val="24"/>
        </w:rPr>
        <w:t>集群电商</w:t>
      </w:r>
    </w:p>
    <w:p w14:paraId="42D3846D">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2资源禀赋</w:t>
      </w:r>
    </w:p>
    <w:p w14:paraId="0AEBD6DC">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2.1.</w:t>
      </w:r>
      <w:r>
        <w:rPr>
          <w:b/>
          <w:rFonts w:hint="eastAsia" w:ascii="Times New Roman" w:hAnsi="Times New Roman" w:eastAsia="黑体" w:cs="黑体"/>
          <w:szCs w:val="24"/>
          <w:lang w:val="en-US" w:eastAsia="zh-CN"/>
          <w:sz w:val="24"/>
        </w:rPr>
        <w:t>3数字技能</w:t>
      </w:r>
    </w:p>
    <w:p w14:paraId="781FCB69">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jc w:val="both"/>
      </w:pPr>
      <w:bookmarkStart w:id="49" w:name="_Toc15879"/>
      <w:r>
        <w:rPr>
          <w:b/>
          <w:rFonts w:eastAsia="黑体" w:ascii="Times New Roman" w:hAnsi="Times New Roman" w:cs="黑体"/>
          <w:sz w:val="28"/>
          <w:szCs w:val="28"/>
        </w:rPr>
        <w:t>2.2理论基础</w:t>
      </w:r>
      <w:bookmarkEnd w:id="49"/>
    </w:p>
    <w:p w14:paraId="386AD302">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2.2.1资源编排理论（Resource Orchestration Theory）</w:t>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highlight w:val="yellow"/>
        </w:rPr>
      </w:pPr>
      <w:r>
        <w:rPr>
          <w:rFonts w:ascii="Times New Roman" w:hAnsi="Times New Roman" w:eastAsia="宋体" w:cs="宋体"/>
          <w:color w:val="000000"/>
          <w:kern w:val="0"/>
          <w:sz w:val="24"/>
          <w:szCs w:val="24"/>
          <w:highlight w:val="yellow"/>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14:paraId="1191A599">
      <w:pPr>
        <w:spacing w:before="0" w:after="0" w:line="400" w:lineRule="exact"/>
        <w:jc w:val="both"/>
        <w:ind w:firstLine="480"/>
      </w:pPr>
      <w:r>
        <w:rPr>
          <w:rFonts w:eastAsia="宋体" w:ascii="Times New Roman" w:hAnsi="Times New Roman" w:cs="宋体"/>
          <w:sz w:val="24"/>
          <w:szCs w:val="24"/>
        </w:rPr>
        <w:t>资源编排理论与本文研究框架的内在逻辑高度契合。在资源编排视角下，烟台农村电商集群的发展可被理解为一个"多层次资源编排"过程：政府政策（GP）、人才支撑（TS）、技术创新水平（TI）、资源禀赋（EN）四类外生变量，构成集群可动员的原始资源基底，对应资源编排的"结构化"阶段；基础设施（IF）将政策性资源与人力资源捆绑为集群运作的物质能力支撑，数字化能力（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pPr>
        <w:spacing w:before="0" w:after="0" w:line="400" w:lineRule="exact"/>
        <w:jc w:val="both"/>
        <w:ind w:firstLine="480"/>
      </w:pPr>
      <w:r>
        <w:t>近年来，基于资源编排理论（ROT）的组态研究已形成较稳定的应用证据链，进一步支撑本文将ROT作为核心理论基础。张占贞、蔡冰冰（2024）以农业企业数字化转型为对象，证明了“资源结构化—能力捆绑—价值杠杆化”可通过多条等效组态实现同一高绩效结果；肖美丹、蔡宝进、沙德春（2025）在绿色技术创新与新质生产力研究中发现，不同资源要素在不同情境下存在显著替代与互补关系，符合ROT关于“资源组合优于单一资源”的核心命题；焦鑫铭（2025）在新能源汽车企业财务绩效研究中同样识别出多条并行有效路径，进一步验证了ROT与fsQCA在复杂因果识别上的方法兼容性。据此，本文以ROT统摄政策治理（GP）、人才支撑（TS）、基础设施建设（IF）、技术创新（TI）、数字化能力（DS）与资源禀赋（EN）六类条件，既能够解释资源编排的阶段性传导机制，也能够解释多条件联动下“殊途同归”的集群电商发展结果。</w:t>
      </w:r>
    </w:p>
    <w:p w14:paraId="462365E6">
      <w:pPr>
        <w:pStyle w:val="4"/>
        <w:spacing w:line="400" w:lineRule="exact" w:before="0" w:after="0"/>
        <w:rPr>
          <w:rFonts w:hint="default" w:ascii="Times New Roman" w:hAnsi="Times New Roman" w:eastAsia="黑体"/>
          <w:szCs w:val="21"/>
          <w:lang w:val="en-US" w:eastAsia="zh-CN"/>
        </w:rPr>
        <w:jc w:val="both"/>
      </w:pPr>
      <w:r>
        <w:rPr>
          <w:b/>
          <w:rFonts w:ascii="Times New Roman" w:hAnsi="Times New Roman" w:eastAsia="黑体" w:cs="黑体"/>
          <w:szCs w:val="24"/>
          <w:sz w:val="24"/>
        </w:rPr>
        <w:t>2.2.2技术-组织-环境（TOE）框架</w:t>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TOE框架由Tornatzky和Fleischer（1990）提出</w:t>
      </w:r>
      <w:r>
        <w:rPr>
          <w:rStyle w:val="FootnoteReference"/>
        </w:rPr>
        <w:endnoteReference w:id="2"/>
      </w:r>
      <w:r>
        <w:rPr>
          <w:rFonts w:ascii="Times New Roman" w:hAnsi="Times New Roman" w:eastAsia="宋体" w:cs="宋体"/>
          <w:color w:val="000000"/>
          <w:kern w:val="0"/>
          <w:sz w:val="24"/>
          <w:szCs w:val="24"/>
          <w:lang w:val="en-US" w:eastAsia="zh-CN" w:bidi="ar"/>
        </w:rPr>
        <w:t>，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数字化能力（DS）；组织维度包含政策治理（GP）和人才支撑（TS）；环境维度包含基础设施建设（IF）与自然环境及资源禀赋（EN）。TOE框架在此发挥变量体系分类与研究情境适配的辅助作用，其系统性与整体性为六维度变量的整合提供了分析坐标。</w:t>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754D3B7">
      <w:pPr>
        <w:pStyle w:val="4"/>
        <w:spacing w:before="0" w:after="0" w:line="400" w:lineRule="exact"/>
        <w:jc w:val="both"/>
      </w:pPr>
      <w:r>
        <w:rPr>
          <w:b/>
          <w:rFonts w:eastAsia="黑体" w:ascii="Times New Roman" w:hAnsi="Times New Roman" w:cs="黑体"/>
          <w:sz w:val="24"/>
          <w:szCs w:val="24"/>
        </w:rPr>
        <w:t>2.2.3组态理论</w:t>
      </w:r>
    </w:p>
    <w:p w14:paraId="7B6CDD1D">
      <w:pPr>
        <w:spacing w:before="0" w:after="0" w:line="400" w:lineRule="exact"/>
        <w:jc w:val="both"/>
        <w:ind w:firstLine="480"/>
      </w:pPr>
      <w:r>
        <w:rPr>
          <w:rFonts w:eastAsia="宋体" w:ascii="Times New Roman" w:hAnsi="Times New Roman" w:cs="宋体"/>
          <w:sz w:val="24"/>
          <w:szCs w:val="24"/>
        </w:rPr>
        <w:t>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14:paraId="2217E803">
      <w:pPr>
        <w:spacing w:before="0" w:after="0" w:line="400" w:lineRule="exact"/>
        <w:jc w:val="both"/>
        <w:ind w:firstLine="480"/>
      </w:pPr>
      <w:r>
        <w:rPr>
          <w:rFonts w:eastAsia="宋体" w:ascii="Times New Roman" w:hAnsi="Times New Roman" w:cs="宋体"/>
          <w:sz w:val="24"/>
          <w:szCs w:val="24"/>
        </w:rPr>
        <w:t>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before="0" w:after="0"/>
        <w:rPr>
          <w:lang w:val="zh-CN"/>
        </w:rPr>
        <w:jc w:val="both"/>
      </w:pPr>
      <w:bookmarkStart w:id="50" w:name="_Toc24454"/>
      <w:r>
        <w:rPr>
          <w:b/>
          <w:rFonts w:hint="eastAsia" w:eastAsia="黑体" w:ascii="Times New Roman" w:hAnsi="Times New Roman" w:cs="黑体"/>
          <w:lang w:val="en-US" w:eastAsia="zh-CN"/>
          <w:sz w:val="32"/>
          <w:szCs w:val="32"/>
        </w:rPr>
        <w:t>第三章 研究设计</w:t>
      </w:r>
      <w:bookmarkEnd w:id="50"/>
    </w:p>
    <w:p w14:paraId="7DE972D1">
      <w:pPr>
        <w:pStyle w:val="3"/>
        <w:spacing w:before="240" w:after="240" w:line="400" w:lineRule="exact"/>
        <w:ind w:firstLine="0" w:firstLineChars="0"/>
        <w:rPr>
          <w:rFonts w:hint="default"/>
          <w:szCs w:val="21"/>
          <w:lang w:val="en-US" w:eastAsia="zh-CN"/>
        </w:rPr>
        <w:jc w:val="both"/>
      </w:pPr>
      <w:bookmarkStart w:id="51" w:name="_Toc26904"/>
      <w:r>
        <w:rPr>
          <w:b/>
          <w:rFonts w:eastAsia="黑体" w:ascii="Times New Roman" w:hAnsi="Times New Roman" w:cs="黑体"/>
          <w:szCs w:val="28"/>
          <w:lang w:val="en-US"/>
          <w:sz w:val="28"/>
        </w:rPr>
        <w:t>3.1</w:t>
      </w:r>
      <w:r>
        <w:rPr>
          <w:b/>
          <w:rFonts w:hint="eastAsia" w:eastAsia="黑体" w:ascii="Times New Roman" w:hAnsi="Times New Roman" w:cs="黑体"/>
          <w:szCs w:val="28"/>
          <w:lang w:val="en-US" w:eastAsia="zh-CN"/>
          <w:sz w:val="28"/>
        </w:rPr>
        <w:t>理论模型构建</w:t>
      </w:r>
      <w:bookmarkEnd w:id="51"/>
    </w:p>
    <w:p w14:paraId="7BA4BD17">
      <w:pPr>
        <w:spacing w:line="400" w:lineRule="exact" w:before="0" w:after="0"/>
        <w:ind w:firstLine="480"/>
        <w:rPr>
          <w:rFonts w:ascii="宋体" w:hAnsi="宋体" w:eastAsia="宋体" w:cs="宋体"/>
          <w:sz w:val="24"/>
          <w:szCs w:val="24"/>
        </w:rPr>
        <w:jc w:val="both"/>
      </w:pPr>
      <w:r>
        <w:rPr>
          <w:rFonts w:ascii="Times New Roman" w:hAnsi="Times New Roman"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策治理（GP）、人才支撑（TS）、技术创新水平（TI）、资源禀赋（EN）四大外生变量构成集群的原始资源组合，对应资源编排的"结构化"阶段；在中介转化层，基础设施建设（IF）与数字化能力（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shd w:val="clear" w:color="auto" w:fill="auto"/>
        <w:tblLayout w:type="autofit"/>
        <w:tblCellMar>
          <w:top w:w="15" w:type="dxa"/>
          <w:left w:w="15" w:type="dxa"/>
          <w:bottom w:w="15" w:type="dxa"/>
          <w:right w:w="15"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shd w:val="clear" w:color="auto" w:fill="auto"/>
            <w:tcMar>
              <w:top w:w="120" w:type="dxa"/>
              <w:left w:w="120" w:type="dxa"/>
              <w:bottom w:w="120" w:type="dxa"/>
              <w:right w:w="120" w:type="dxa"/>
            </w:tcMar>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3BC2142">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TOE 框架维度</w:t>
            </w:r>
          </w:p>
        </w:tc>
        <w:tc>
          <w:tcPr>
            <w:tcW w:w="0" w:type="auto"/>
            <w:shd w:val="clear" w:color="auto" w:fill="auto"/>
            <w:tcMar>
              <w:top w:w="120" w:type="dxa"/>
              <w:left w:w="120" w:type="dxa"/>
              <w:bottom w:w="120" w:type="dxa"/>
              <w:right w:w="120" w:type="dxa"/>
            </w:tcMar>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A4E2FD6">
            <w:pPr>
              <w:keepNext w:val="0"/>
              <w:keepLines w:val="0"/>
              <w:widowControl/>
              <w:suppressLineNumbers w:val="0"/>
              <w:jc w:val="center"/>
              <w:rPr>
                <w:b/>
                <w:bCs/>
              </w:rPr>
              <w:spacing w:before="60" w:after="60" w:line="320" w:lineRule="exact"/>
              <w:ind/>
            </w:pPr>
            <w:r>
              <w:rPr>
                <w:rFonts w:ascii="Times New Roman" w:hAnsi="Times New Roman" w:eastAsia="宋体" w:cs="宋体"/>
                <w:b/>
                <w:bCs/>
                <w:kern w:val="0"/>
                <w:sz w:val="21"/>
                <w:szCs w:val="21"/>
                <w:lang w:val="en-US" w:eastAsia="zh-CN" w:bidi="ar"/>
              </w:rPr>
              <w:t>核心潜变量</w:t>
            </w:r>
          </w:p>
        </w:tc>
      </w:tr>
      <w:tr w14:paraId="621720FB">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21B6C1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技术维度</w:t>
            </w:r>
          </w:p>
        </w:tc>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6B9D270">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技术创新水平、数字化能力</w:t>
            </w:r>
          </w:p>
        </w:tc>
      </w:tr>
      <w:tr w14:paraId="5DD48004">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A3FADAA">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组织维度</w:t>
            </w:r>
          </w:p>
        </w:tc>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D23FB4">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政策治理、人才支撑</w:t>
            </w:r>
          </w:p>
        </w:tc>
      </w:tr>
      <w:tr w14:paraId="6F12896C">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B2BB93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环境维度</w:t>
            </w:r>
          </w:p>
        </w:tc>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5C9015">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基础设施建设、资源禀赋</w:t>
            </w:r>
          </w:p>
        </w:tc>
      </w:tr>
      <w:tr w14:paraId="65E08CA8">
        <w:trP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3C10B656">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结果变量</w:t>
            </w:r>
          </w:p>
        </w:tc>
        <w:tc>
          <w:tcPr>
            <w:tcW w:w="0" w:type="auto"/>
            <w:shd w:val="clear" w:color="auto" w:fill="auto"/>
            <w:tcMar>
              <w:top w:w="120" w:type="dxa"/>
              <w:left w:w="120" w:type="dxa"/>
              <w:bottom w:w="120" w:type="dxa"/>
              <w:right w:w="120" w:type="dxa"/>
            </w:tcMar>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B71F9B1">
            <w:pPr>
              <w:keepNext w:val="0"/>
              <w:keepLines w:val="0"/>
              <w:widowControl/>
              <w:suppressLineNumbers w:val="0"/>
              <w:jc w:val="center"/>
              <w:spacing w:before="60" w:after="60" w:line="320" w:lineRule="exact"/>
              <w:ind/>
            </w:pPr>
            <w:r>
              <w:rPr>
                <w:rFonts w:ascii="Times New Roman" w:hAnsi="Times New Roman" w:eastAsia="宋体" w:cs="宋体"/>
                <w:kern w:val="0"/>
                <w:sz w:val="21"/>
                <w:szCs w:val="21"/>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400" w:lineRule="exact" w:before="120" w:after="120"/>
        <w:ind w:firstLineChars="0"/>
        <w:jc w:val="center"/>
        <w:rPr>
          <w:rFonts w:hint="eastAsia" w:eastAsia="宋体"/>
          <w:sz w:val="21"/>
          <w:szCs w:val="21"/>
          <w:lang w:eastAsia="zh-CN"/>
        </w:rPr>
      </w:pPr>
      <w:r>
        <w:rPr>
          <w:rFonts w:hint="eastAsia" w:ascii="Times New Roman" w:hAnsi="Times New Roman" w:eastAsia="宋体" w:cs="宋体"/>
          <w:b/>
          <w:bCs/>
          <w:sz w:val="21"/>
          <w:szCs w:val="21"/>
        </w:rPr>
        <w:t xml:space="preserve">表 </w:t>
      </w:r>
      <w:r>
        <w:rPr>
          <w:rFonts w:hint="eastAsia" w:ascii="Times New Roman" w:hAnsi="Times New Roman" w:eastAsia="宋体" w:cs="宋体"/>
          <w:b/>
          <w:bCs/>
          <w:sz w:val="21"/>
          <w:szCs w:val="21"/>
        </w:rPr>
        <w:fldChar w:fldCharType="begin"/>
      </w:r>
      <w:r>
        <w:rPr>
          <w:rFonts w:hint="eastAsia" w:ascii="Times New Roman" w:hAnsi="Times New Roman" w:eastAsia="宋体" w:cs="宋体"/>
          <w:b/>
          <w:bCs/>
          <w:sz w:val="21"/>
          <w:szCs w:val="21"/>
        </w:rPr>
        <w:instrText xml:space="preserve"> SEQ 表 \* ARABIC </w:instrText>
      </w:r>
      <w:r>
        <w:rPr>
          <w:rFonts w:hint="eastAsia" w:ascii="Times New Roman" w:hAnsi="Times New Roman" w:eastAsia="宋体" w:cs="宋体"/>
          <w:b/>
          <w:bCs/>
          <w:sz w:val="21"/>
          <w:szCs w:val="21"/>
        </w:rPr>
        <w:fldChar w:fldCharType="separate"/>
      </w:r>
      <w:r>
        <w:rPr>
          <w:rFonts w:hint="eastAsia" w:ascii="Times New Roman" w:hAnsi="Times New Roman" w:eastAsia="宋体" w:cs="宋体"/>
          <w:b/>
          <w:bCs/>
          <w:sz w:val="21"/>
          <w:szCs w:val="21"/>
        </w:rPr>
        <w:t>1</w:t>
      </w:r>
      <w:r>
        <w:rPr>
          <w:rFonts w:hint="eastAsia" w:ascii="Times New Roman" w:hAnsi="Times New Roman" w:eastAsia="宋体" w:cs="宋体"/>
          <w:b/>
          <w:bCs/>
          <w:sz w:val="21"/>
          <w:szCs w:val="21"/>
        </w:rPr>
        <w:fldChar w:fldCharType="end"/>
      </w:r>
      <w:r>
        <w:rPr>
          <w:rFonts w:hint="eastAsia" w:ascii="Times New Roman" w:hAnsi="Times New Roman" w:eastAsia="宋体" w:cs="宋体"/>
          <w:b/>
          <w:bCs/>
          <w:sz w:val="21"/>
          <w:szCs w:val="21"/>
          <w:lang w:eastAsia="zh-CN"/>
        </w:rPr>
        <w:t>-1 TOE框架维度表</w:t>
      </w:r>
    </w:p>
    <w:p w14:paraId="151CEF4B">
      <w:pPr>
        <w:overflowPunct/>
        <w:spacing w:line="400" w:lineRule="exact" w:before="0" w:after="0"/>
        <w:ind w:firstLine="480" w:firstLineChars="0"/>
        <w:jc w:val="both"/>
      </w:pPr>
      <w:r>
        <w:rPr>
          <w:rFonts w:ascii="Times New Roman" w:hAnsi="Times New Roman" w:eastAsia="宋体" w:cs="宋体"/>
          <w:kern w:val="2"/>
          <w:sz w:val="24"/>
          <w:szCs w:val="24"/>
          <w:lang w:val="en-US" w:eastAsia="zh-CN" w:bidi="ar-SA"/>
        </w:rPr>
        <w:t>本文的研究模型分为两个部分：一是基于SEM的中介影响机制模型，用于验证六大维度核心变量经由基础设施建设（IF）与数字化能力（DS）两个中介变量，对烟台集群电商发展水平产生的间接影响路径；二是基于fsQCA的组态效应模型，以六大核心变量为前因条件，探究多因素联动匹配对集群电商高绩效发展的组合效应与多元等效路径。</w:t>
      </w:r>
    </w:p>
    <w:p w14:paraId="5E644638">
      <w:pPr>
        <w:pStyle w:val="3"/>
        <w:spacing w:before="240" w:after="240" w:line="400" w:lineRule="exact"/>
        <w:ind w:firstLine="0" w:firstLineChars="0"/>
        <w:rPr>
          <w:szCs w:val="21"/>
        </w:rPr>
        <w:jc w:val="both"/>
      </w:pPr>
      <w:bookmarkStart w:id="52" w:name="_Toc19091"/>
      <w:r>
        <w:rPr>
          <w:b/>
          <w:rFonts w:eastAsia="黑体" w:ascii="Times New Roman" w:hAnsi="Times New Roman" w:cs="黑体"/>
          <w:szCs w:val="28"/>
          <w:lang w:val="en-US"/>
          <w:sz w:val="28"/>
        </w:rPr>
        <w:t>3.2</w:t>
      </w:r>
      <w:r>
        <w:rPr>
          <w:b/>
          <w:rFonts w:hint="eastAsia" w:eastAsia="黑体" w:ascii="Times New Roman" w:hAnsi="Times New Roman" w:cs="黑体"/>
          <w:szCs w:val="28"/>
          <w:lang w:val="en-US" w:eastAsia="zh-CN"/>
          <w:sz w:val="28"/>
        </w:rPr>
        <w:t>研究假设提出</w:t>
      </w:r>
      <w:bookmarkEnd w:id="52"/>
    </w:p>
    <w:p w14:paraId="5A0957C2">
      <w:pPr>
        <w:pStyle w:val="4"/>
        <w:tabs>
          <w:tab w:val="clear" w:pos="561"/>
          <w:tab w:val="clear" w:pos="720"/>
        </w:tabs>
        <w:overflowPunct/>
        <w:spacing w:line="400" w:lineRule="exact" w:before="0" w:after="0"/>
        <w:jc w:val="both"/>
        <w:rPr>
          <w:rFonts w:hint="default" w:ascii="Times New Roman" w:hAnsi="Times New Roman" w:eastAsia="黑体"/>
          <w:lang w:val="en-US" w:eastAsia="zh-CN"/>
        </w:rPr>
      </w:pPr>
      <w:r>
        <w:rPr>
          <w:b/>
          <w:rFonts w:ascii="Times New Roman" w:hAnsi="Times New Roman" w:eastAsia="黑体" w:cs="黑体"/>
          <w:sz w:val="24"/>
          <w:szCs w:val="24"/>
        </w:rPr>
        <w:t>3.2.1 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基于资源编排理论与TOE框架，结合现有文献研究成果及烟台集群电商发展的实际情境，本文构建以基础设施建设与数字化能力为双中介的部分中介结构方程模型，提出以下研究假设：</w:t>
      </w:r>
    </w:p>
    <w:p w14:paraId="3292B1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H1a：政策治理对基础设施建设具有显著正向影响。</w:t>
      </w:r>
    </w:p>
    <w:p w14:paraId="29DB75E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H1b：人才支撑对基础设施建设具有显著正向影响。</w:t>
      </w:r>
    </w:p>
    <w:p w14:paraId="7E11702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H2a：技术创新水平对数字化能力具有显著正向影响。</w:t>
      </w:r>
    </w:p>
    <w:p w14:paraId="56C4CFB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H2b：资源禀赋对数字化能力具有显著正向影响。</w:t>
      </w:r>
    </w:p>
    <w:p w14:paraId="46F40CA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H3a：基础设施建设对集群电商发展水平具有显著正向影响。</w:t>
      </w:r>
    </w:p>
    <w:p w14:paraId="163E2141">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rPr>
          <w:rStyle w:val="36"/>
          <w:b/>
          <w:bCs/>
          <w:color w:val="000000"/>
          <w:sz w:val="24"/>
          <w:szCs w:val="24"/>
        </w:rPr>
        <w:jc w:val="both"/>
      </w:pPr>
      <w:r>
        <w:rPr>
          <w:rStyle w:val="36"/>
          <w:rFonts w:eastAsia="宋体" w:ascii="Times New Roman" w:hAnsi="Times New Roman" w:cs="宋体"/>
          <w:bCs/>
          <w:color w:val="000000"/>
          <w:sz w:val="24"/>
          <w:szCs w:val="24"/>
        </w:rPr>
        <w:t>H3b：数字化能力对集群电商发展水平具有显著正向影响。</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H4a：基础设施建设在政府政策与集群电商发展水平之间发挥部分中介作用。</w:t>
      </w:r>
    </w:p>
    <w:p w14:paraId="6AB7072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H4b：基础设施建设在人才支撑与集群电商发展水平之间发挥部分中介作用。</w:t>
      </w:r>
    </w:p>
    <w:p w14:paraId="11413D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H5a：数字化能力在技术创新水平与集群电商发展水平之间发挥部分中介作用。</w:t>
      </w:r>
    </w:p>
    <w:p w14:paraId="0B8208B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Chars="0" w:right="0" w:rightChars="0" w:firstLine="480" w:firstLineChars="0"/>
        <w:jc w:val="both"/>
      </w:pPr>
      <w:r>
        <w:rPr>
          <w:rStyle w:val="36"/>
          <w:rFonts w:eastAsia="宋体" w:ascii="Times New Roman" w:hAnsi="Times New Roman" w:cs="宋体"/>
          <w:bCs/>
          <w:color w:val="000000"/>
          <w:sz w:val="24"/>
          <w:szCs w:val="24"/>
        </w:rPr>
        <w:t>H5b：数字化能力在资源禀赋与集群电商发展水平之间发挥部分中介作用。</w:t>
      </w:r>
    </w:p>
    <w:p w14:paraId="6A92FC39">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3.2.</w:t>
      </w:r>
      <w:r>
        <w:rPr>
          <w:b/>
          <w:rFonts w:hint="eastAsia" w:ascii="Times New Roman" w:hAnsi="Times New Roman" w:eastAsia="黑体" w:cs="黑体"/>
          <w:lang w:val="en-US" w:eastAsia="zh-CN"/>
          <w:sz w:val="24"/>
          <w:szCs w:val="24"/>
        </w:rPr>
        <w:t>2组态路径研究猜想</w:t>
      </w:r>
    </w:p>
    <w:p w14:paraId="301D75E3">
      <w:pPr>
        <w:pStyle w:val="5"/>
        <w:rPr>
          <w:rFonts w:hint="default" w:ascii="宋体" w:hAnsi="宋体" w:eastAsia="宋体" w:cs="宋体"/>
          <w:color w:val="000000"/>
          <w:kern w:val="0"/>
          <w:sz w:val="24"/>
          <w:szCs w:val="24"/>
          <w:lang w:val="en-US" w:eastAsia="zh-CN" w:bidi="ar"/>
        </w:rPr>
        <w:spacing w:before="0" w:after="0" w:line="400" w:lineRule="exact"/>
        <w:jc w:val="both"/>
        <w:ind w:firstLine="480"/>
      </w:pPr>
      <w:r>
        <w:rPr>
          <w:rFonts w:ascii="Times New Roman" w:hAnsi="Times New Roman"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jc w:val="both"/>
      </w:pPr>
      <w:bookmarkStart w:id="53" w:name="_Toc24192"/>
      <w:r>
        <w:rPr>
          <w:b/>
          <w:rFonts w:eastAsia="黑体" w:ascii="Times New Roman" w:hAnsi="Times New Roman" w:cs="黑体"/>
          <w:szCs w:val="28"/>
          <w:lang w:val="en-US"/>
          <w:sz w:val="28"/>
        </w:rPr>
        <w:t>3.3</w:t>
      </w:r>
      <w:r>
        <w:rPr>
          <w:b/>
          <w:rFonts w:hint="eastAsia" w:eastAsia="黑体" w:ascii="Times New Roman" w:hAnsi="Times New Roman" w:cs="黑体"/>
          <w:szCs w:val="28"/>
          <w:lang w:val="en-US" w:eastAsia="zh-CN"/>
          <w:sz w:val="28"/>
        </w:rPr>
        <w:t>问卷设计与变量测量</w:t>
      </w:r>
      <w:bookmarkEnd w:id="53"/>
    </w:p>
    <w:p w14:paraId="0501FE36">
      <w:pPr>
        <w:pStyle w:val="4"/>
        <w:tabs>
          <w:tab w:val="clear" w:pos="561"/>
          <w:tab w:val="clear" w:pos="720"/>
        </w:tabs>
        <w:overflowPunct/>
        <w:spacing w:line="400" w:lineRule="exact" w:before="0" w:after="0"/>
        <w:jc w:val="both"/>
        <w:rPr>
          <w:color w:val="000000"/>
          <w:sz w:val="24"/>
          <w:szCs w:val="24"/>
        </w:rPr>
      </w:pPr>
      <w:r>
        <w:rPr>
          <w:b/>
          <w:rFonts w:eastAsia="黑体" w:ascii="Times New Roman" w:hAnsi="Times New Roman" w:cs="黑体"/>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before="0" w:after="0"/>
        <w:jc w:val="both"/>
        <w:rPr>
          <w:rFonts w:hint="eastAsia" w:ascii="Times New Roman" w:hAnsi="Times New Roman"/>
          <w:lang w:val="en-US" w:eastAsia="zh-CN"/>
        </w:rPr>
      </w:pPr>
      <w:r>
        <w:rPr>
          <w:b/>
          <w:rFonts w:ascii="Times New Roman" w:hAnsi="Times New Roman" w:eastAsia="黑体" w:cs="黑体"/>
          <w:sz w:val="24"/>
          <w:szCs w:val="24"/>
        </w:rPr>
        <w:t>3.3.2 核心变量测量题项</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eastAsia="宋体" w:ascii="Times New Roman" w:hAnsi="Times New Roman" w:cs="宋体"/>
          <w:sz w:val="24"/>
          <w:szCs w:val="24"/>
        </w:rPr>
        <w:t>本文核心变量的测量题项依据成熟量表并结合烟台集群电商实际情境进行适配性调整，经预调研信效度检验后确定，采用李克特五点量表</w:t>
      </w:r>
      <w:r>
        <w:rPr>
          <w:rStyle w:val="FootnoteReference"/>
        </w:rPr>
        <w:endnoteReference w:id="7"/>
      </w:r>
      <w:r>
        <w:rPr>
          <w:rFonts w:eastAsia="宋体" w:ascii="Times New Roman" w:hAnsi="Times New Roman" w:cs="宋体"/>
          <w:sz w:val="24"/>
          <w:szCs w:val="24"/>
        </w:rPr>
        <w:t xml:space="preserve">（1=完全不认同，5=完全认同）进行测量，具体题项及参考量表来源见表3-2。</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1"/>
        <w:gridCol w:w="3001"/>
        <w:gridCol w:w="3001"/>
      </w:tblGrid>
      <w:tr w14:paraId="52A7D48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C8A4A1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变量</w:t>
            </w:r>
          </w:p>
        </w:tc>
        <w:tc>
          <w:tcPr>
            <w:tcW w:w="3001"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39F7E1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题项</w:t>
            </w:r>
          </w:p>
        </w:tc>
        <w:tc>
          <w:tcPr>
            <w:tcW w:w="3001"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2B9288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b/>
                <w:rFonts w:hint="eastAsia" w:ascii="Times New Roman" w:hAnsi="Times New Roman" w:cs="宋体" w:eastAsia="宋体"/>
                <w:color w:val="000000"/>
                <w:kern w:val="0"/>
                <w:sz w:val="21"/>
                <w:szCs w:val="21"/>
                <w:vertAlign w:val="baseline"/>
                <w:lang w:val="en-US" w:eastAsia="zh-CN" w:bidi="ar"/>
              </w:rPr>
              <w:t>参考文献</w:t>
            </w:r>
          </w:p>
        </w:tc>
      </w:tr>
      <w:tr w14:paraId="4901FB5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C595A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政策治理（GP）</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7EE64F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GP1：当地政府出台的电商扶持政策与集群电商的实际发展需求相符合</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C00AD46">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Tornatzky &amp; Fleischer，1990；吴结兵等，2016</w:t>
            </w:r>
          </w:p>
        </w:tc>
      </w:tr>
      <w:tr w14:paraId="4EFDE9A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7312BA1">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95B1E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GP2：当地政府对电商集群的统筹规划与治理举措有助于产业规范有序地发展</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Tornatzky &amp; Fleischer，1990；吴结兵等，2016</w:t>
            </w:r>
          </w:p>
        </w:tc>
      </w:tr>
      <w:tr w14:paraId="6D548C0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5D8BF5FB">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E58CE9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GP3：政府部门在电商产业监管约束与公共服务供给之间保持了合理平衡</w:t>
            </w:r>
          </w:p>
          <w:p w14:paraId="789B31BC">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Tornatzky &amp; Fleischer，1990；吴结兵等，2016</w:t>
            </w:r>
          </w:p>
        </w:tc>
      </w:tr>
      <w:tr w14:paraId="62FF4B4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B7B2783">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人才支撑（TS）</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96E5CB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TS1：当地电商行业专业运营与技术人才的整体供给水平与企业实际发展需求相匹配</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0C2388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Chang &amp; Chen，2004；李海舰等，2018</w:t>
            </w:r>
          </w:p>
        </w:tc>
      </w:tr>
      <w:tr w14:paraId="4D220BC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711B52CA">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341232B">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TS2：当地高校与职业培训机构向电商行业持续输送了具备专业素质的人才</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Chang &amp; Chen，2004；李海舰等，2018</w:t>
            </w:r>
          </w:p>
        </w:tc>
      </w:tr>
      <w:tr w14:paraId="4299B57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78EA58E9">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C6C2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TS3：当地电商企业能够在可接受的条件下完成专业人才的招募与保留</w:t>
            </w:r>
          </w:p>
          <w:p w14:paraId="3851378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Chang &amp; Chen，2004；李海舰等，2018</w:t>
            </w:r>
          </w:p>
        </w:tc>
      </w:tr>
      <w:tr w14:paraId="003D3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4594D4A">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基础设施建设（IF）</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2DD2A0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IF1：当地网络通信（宽带/5G）等数字化基础设施的建设水平基本满足电商业务的运营需求</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AB79697">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Iacovou et al.，1995；刘笑尘等，2020</w:t>
            </w:r>
          </w:p>
        </w:tc>
      </w:tr>
      <w:tr w14:paraId="2220FBD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192EECA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BFE399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IF2：当地物流配送、仓储等电商配套基础设施的整体布局能够支撑集群电商的规模化运营</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Iacovou et al.，1995；刘笑尘等，2020</w:t>
            </w:r>
          </w:p>
        </w:tc>
      </w:tr>
      <w:tr w14:paraId="5470E41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45B24E8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566947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IF3：当地交通基础设施的整体条件有助于保障电商货物流通与市场覆盖效率</w:t>
            </w:r>
          </w:p>
          <w:p w14:paraId="02F2D87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Iacovou et al.，1995；刘笑尘等，2020</w:t>
            </w:r>
          </w:p>
        </w:tc>
      </w:tr>
      <w:tr w14:paraId="530FFA2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D5E653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技术创新水平（TI）</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B81B7E8">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TI1：当地电商企业总体上具备将数字化运营技术应用于日常经营的基本能力</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0C9A3D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Rogers，1995；鲁耀斌等，2022</w:t>
            </w:r>
          </w:p>
        </w:tc>
      </w:tr>
      <w:tr w14:paraId="2423BD9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6036F8A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922E8A5">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TI2：大数据分析、直播及短视频等新兴数字技术在当地电商企业中得到了一定程度的实际应用</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Rogers，1995；鲁耀斌等，2022</w:t>
            </w:r>
          </w:p>
        </w:tc>
      </w:tr>
      <w:tr w14:paraId="75D22E0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63662C26">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78F390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hint="default" w:ascii="宋体" w:hAnsi="宋体" w:eastAsia="宋体" w:cs="宋体"/>
                <w:color w:val="000000"/>
                <w:kern w:val="0"/>
                <w:sz w:val="24"/>
                <w:szCs w:val="24"/>
                <w:lang w:val="en-US" w:eastAsia="zh-CN" w:bidi="ar"/>
              </w:rPr>
            </w:pPr>
            <w:r>
              <w:rPr>
                <w:rFonts w:eastAsia="宋体" w:ascii="Times New Roman" w:hAnsi="Times New Roman" w:cs="宋体"/>
                <w:sz w:val="21"/>
                <w:szCs w:val="21"/>
              </w:rPr>
              <w:t>TI3：政府部门或行业组织向有技术升级需求的电商主体提供了一定的技术支持与辅导服务</w:t>
            </w:r>
          </w:p>
          <w:p w14:paraId="45913D40">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Rogers，1995；鲁耀斌等，2022</w:t>
            </w:r>
          </w:p>
        </w:tc>
      </w:tr>
      <w:tr w14:paraId="3338862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9CD972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数字化能力（DS）</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D442040">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DS1：当地特色电商平台具有一定的市场规模与区域品牌影响力</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1B805E4">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Venkatesh et al.，2003；张伟，2024</w:t>
            </w:r>
          </w:p>
        </w:tc>
      </w:tr>
      <w:tr w14:paraId="1A6C816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4F59067">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F90DF1D">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DS2：当地电商从业者总体上具备从事线上运营所需的基本数字操作与平台运营技能</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Venkatesh et al.，2003；张伟，2024</w:t>
            </w:r>
          </w:p>
        </w:tc>
      </w:tr>
      <w:tr w14:paraId="6536DEC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0D87701C">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54323E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60" w:beforeAutospacing="0" w:after="60" w:afterAutospacing="0" w:line="320" w:lineRule="exact"/>
              <w:ind w:leftChars="200" w:right="0" w:rightChars="0"/>
              <w:jc w:val="center"/>
              <w:rPr>
                <w:rFonts w:ascii="宋体" w:hAnsi="宋体" w:eastAsia="宋体" w:cs="宋体"/>
                <w:color w:val="000000"/>
                <w:kern w:val="0"/>
                <w:sz w:val="24"/>
                <w:szCs w:val="24"/>
                <w:lang w:val="en-US" w:eastAsia="zh-CN" w:bidi="ar"/>
              </w:rPr>
            </w:pPr>
            <w:r>
              <w:rPr>
                <w:rFonts w:eastAsia="宋体" w:ascii="Times New Roman" w:hAnsi="Times New Roman" w:cs="宋体"/>
                <w:sz w:val="21"/>
                <w:szCs w:val="21"/>
              </w:rPr>
              <w:t>DS3：当地电商经营主体在推进数字化转型与技能提升方面具有一定的主动意愿</w:t>
            </w:r>
          </w:p>
          <w:p w14:paraId="34737342">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Venkatesh et al.，2003；张伟，2024</w:t>
            </w:r>
          </w:p>
        </w:tc>
      </w:tr>
      <w:tr w14:paraId="4FFD7BD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6B38AFC">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资源禀赋（EN）</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E41EAAE">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EN1：当地自然环境与地理条件对特色农产品、海产品等电商主力品类的品质形成具有客观支撑作用</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A7D4DF">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Barney，1991；刘强等，2021</w:t>
            </w:r>
          </w:p>
        </w:tc>
      </w:tr>
      <w:tr w14:paraId="732D4C3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51912958">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9CE3A39">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EN2：当地特色自然资源为集群电商产品的差异化竞争优势奠定了一定的资源基础</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Barney，1991；刘强等，2021</w:t>
            </w:r>
          </w:p>
        </w:tc>
      </w:tr>
      <w:tr w14:paraId="5B56607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3C560EA5">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298156">
            <w:pPr>
              <w:keepNext w:val="0"/>
              <w:keepLines w:val="0"/>
              <w:widowControl/>
              <w:suppressLineNumbers w:val="0"/>
              <w:spacing w:before="60" w:beforeAutospacing="0" w:after="60" w:afterAutospacing="0" w:line="320" w:lineRule="exact"/>
              <w:ind w:right="0"/>
              <w:jc w:val="center"/>
              <w:rPr>
                <w:rFonts w:hint="default"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EN3：当地对自然资源与产业资源的整合开发效率能够在一定程度上支撑电商集群的规模化发展</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Barney，1991；刘强等，2021</w:t>
            </w:r>
          </w:p>
        </w:tc>
      </w:tr>
      <w:tr w14:paraId="6567C1E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B010B3B">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集群电商发展水平（CDL）</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290CFE1">
            <w:pPr>
              <w:keepNext w:val="0"/>
              <w:keepLines w:val="0"/>
              <w:widowControl/>
              <w:suppressLineNumbers w:val="0"/>
              <w:spacing w:before="60" w:beforeAutospacing="0" w:after="60" w:afterAutospacing="0" w:line="320" w:lineRule="exact"/>
              <w:ind w:right="0"/>
              <w:jc w:val="center"/>
              <w:rPr>
                <w:rFonts w:hint="default"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CDL1：烟台地区集群电商整体发展规模与产业成熟度处于相对良好的水平</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06B30E">
            <w:pPr>
              <w:keepNext w:val="0"/>
              <w:keepLines w:val="0"/>
              <w:widowControl/>
              <w:suppressLineNumbers w:val="0"/>
              <w:spacing w:before="60" w:beforeAutospacing="0" w:after="60" w:afterAutospacing="0" w:line="320" w:lineRule="exact"/>
              <w:ind w:right="0"/>
              <w:jc w:val="center"/>
              <w:rPr>
                <w:rFonts w:ascii="宋体" w:hAnsi="宋体" w:eastAsia="宋体" w:cs="宋体"/>
                <w:color w:val="000000"/>
                <w:kern w:val="0"/>
                <w:sz w:val="24"/>
                <w:szCs w:val="24"/>
                <w:vertAlign w:val="baseline"/>
                <w:lang w:val="en-US" w:eastAsia="zh-CN" w:bidi="ar"/>
              </w:rPr>
            </w:pPr>
            <w:r>
              <w:rPr>
                <w:rFonts w:eastAsia="宋体" w:ascii="Times New Roman" w:hAnsi="Times New Roman" w:cs="宋体"/>
                <w:sz w:val="21"/>
                <w:szCs w:val="21"/>
              </w:rPr>
              <w:t>Lin &amp; Chen，2007；张伟，2024</w:t>
            </w:r>
          </w:p>
        </w:tc>
      </w:tr>
      <w:tr w14:paraId="2A949B2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none" w:sz="0" w:space="0" w:color="auto"/>
              <w:left w:val="none" w:sz="0" w:space="0" w:color="auto"/>
              <w:right w:val="none" w:sz="0" w:space="0" w:color="auto"/>
            </w:tcBorders>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6AF499D">
            <w:pPr>
              <w:keepNext w:val="0"/>
              <w:keepLines w:val="0"/>
              <w:widowControl/>
              <w:suppressLineNumbers w:val="0"/>
              <w:spacing w:before="60" w:beforeAutospacing="0" w:after="60" w:afterAutospacing="0" w:line="320" w:lineRule="exact"/>
              <w:ind w:right="0"/>
              <w:jc w:val="center"/>
              <w:rPr>
                <w:rFonts w:hint="eastAsia" w:ascii="宋体" w:hAnsi="宋体" w:cs="宋体"/>
                <w:color w:val="000000"/>
                <w:kern w:val="0"/>
                <w:sz w:val="24"/>
                <w:szCs w:val="24"/>
                <w:vertAlign w:val="baseline"/>
                <w:lang w:val="en-US" w:eastAsia="zh-CN" w:bidi="ar"/>
              </w:rPr>
            </w:pPr>
            <w:r>
              <w:rPr>
                <w:rFonts w:eastAsia="宋体" w:ascii="Times New Roman" w:hAnsi="Times New Roman" w:cs="宋体"/>
                <w:sz w:val="21"/>
                <w:szCs w:val="21"/>
              </w:rPr>
              <w:t>CDL2：烟台集群电商对带动区域就业增长和特色产业产品线上销售具有积极促进作用</w:t>
            </w:r>
          </w:p>
        </w:tc>
        <w:tc>
          <w:tcPr>
            <w:tcW w:w="3001"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Lin &amp; Chen，2007；张伟，2024</w:t>
            </w:r>
          </w:p>
        </w:tc>
      </w:tr>
      <w:tr w14:paraId="2A949B2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01" w:type="dxa"/>
            <w:vMerge w:val="continue"/>
            <w:vAlign w:val="center"/>
            <w:tcBorders>
              <w:top w:val="none" w:sz="0" w:space="0" w:color="auto"/>
              <w:bottom w:val="single" w:sz="12" w:space="0" w:color="auto"/>
              <w:left w:val="none" w:sz="0" w:space="0" w:color="auto"/>
              <w:right w:val="none" w:sz="0" w:space="0" w:color="auto"/>
            </w:tcBorders>
          </w:tcPr>
          <w:p w14:paraId="2D6CD73D">
            <w:pPr>
              <w:keepNext w:val="0"/>
              <w:keepLines w:val="0"/>
              <w:widowControl/>
              <w:suppressLineNumbers w:val="0"/>
              <w:spacing w:before="0" w:beforeAutospacing="0" w:after="0" w:afterAutospacing="0" w:line="360" w:lineRule="atLeast"/>
              <w:ind w:right="0"/>
              <w:jc w:val="left"/>
              <w:rPr>
                <w:rFonts w:ascii="宋体" w:hAnsi="宋体" w:eastAsia="宋体" w:cs="宋体"/>
                <w:color w:val="000000"/>
                <w:kern w:val="0"/>
                <w:sz w:val="24"/>
                <w:szCs w:val="24"/>
                <w:vertAlign w:val="baseline"/>
                <w:lang w:val="en-US" w:eastAsia="zh-CN" w:bidi="ar"/>
              </w:rPr>
            </w:pPr>
          </w:p>
        </w:tc>
        <w:tc>
          <w:tcPr>
            <w:tcW w:w="3001"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CDL3：烟台集群电商的数字化运营水平与长期可持续发展能力总体上处于较好状态</w:t>
            </w:r>
          </w:p>
        </w:tc>
        <w:tc>
          <w:tcPr>
            <w:tcW w:w="3001"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Lin &amp; Chen，2007；张伟，2024</w:t>
            </w:r>
          </w:p>
        </w:tc>
      </w:tr>
    </w:tbl>
    <w:p w14:paraId="5F4CC1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jc w:val="both"/>
      </w:pPr>
      <w:bookmarkStart w:id="54" w:name="_Toc8393"/>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.4数据收集方案</w:t>
      </w:r>
      <w:bookmarkEnd w:id="54"/>
    </w:p>
    <w:p w14:paraId="7035280A">
      <w:pPr>
        <w:pStyle w:val="4"/>
        <w:tabs>
          <w:tab w:val="clear" w:pos="561"/>
          <w:tab w:val="clear" w:pos="720"/>
        </w:tabs>
        <w:overflowPunct/>
        <w:spacing w:line="400" w:lineRule="exact" w:before="0" w:after="0"/>
        <w:jc w:val="both"/>
        <w:rPr>
          <w:rFonts w:ascii="Times New Roman" w:hAnsi="Times New Roman"/>
        </w:rPr>
      </w:pPr>
      <w:r>
        <w:rPr>
          <w:b/>
          <w:rFonts w:ascii="Times New Roman" w:hAnsi="Times New Roman" w:eastAsia="黑体" w:cs="黑体"/>
          <w:sz w:val="24"/>
          <w:szCs w:val="24"/>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color w:val="000000"/>
          <w:sz w:val="24"/>
          <w:szCs w:val="24"/>
        </w:rPr>
      </w:pPr>
      <w:r>
        <w:rPr>
          <w:rFonts w:ascii="Times New Roman" w:hAnsi="Times New Roman"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jc w:val="both"/>
      </w:pPr>
      <w:bookmarkStart w:id="55" w:name="_Toc10800"/>
      <w:r>
        <w:rPr>
          <w:b/>
          <w:rFonts w:eastAsia="黑体" w:ascii="Times New Roman" w:hAnsi="Times New Roman" w:cs="黑体"/>
          <w:szCs w:val="28"/>
          <w:lang w:val="en-US"/>
          <w:sz w:val="28"/>
        </w:rPr>
        <w:t>3</w:t>
      </w:r>
      <w:r>
        <w:rPr>
          <w:b/>
          <w:rFonts w:hint="eastAsia" w:eastAsia="黑体" w:ascii="Times New Roman" w:hAnsi="Times New Roman" w:cs="黑体"/>
          <w:szCs w:val="28"/>
          <w:lang w:val="en-US" w:eastAsia="zh-CN"/>
          <w:sz w:val="28"/>
        </w:rPr>
        <w:t>.5数据分析方法设计</w:t>
      </w:r>
      <w:bookmarkEnd w:id="55"/>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rFonts w:hint="default"/>
          <w:color w:val="000000"/>
          <w:sz w:val="24"/>
          <w:szCs w:val="24"/>
          <w:lang w:val="en-US" w:eastAsia="zh-CN"/>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 xml:space="preserve">.1 </w:t>
      </w:r>
      <w:r>
        <w:rPr>
          <w:b/>
          <w:rFonts w:hint="eastAsia" w:eastAsia="黑体" w:ascii="Times New Roman" w:hAnsi="Times New Roman" w:cs="黑体"/>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r>
        <w:rPr>
          <w:rStyle w:val="FootnoteReference"/>
        </w:rPr>
        <w:endnoteReference w:id="5"/>
      </w:r>
      <w:r>
        <w:rPr>
          <w:rFonts w:ascii="Times New Roman" w:hAnsi="Times New Roman" w:eastAsia="宋体" w:cs="宋体"/>
          <w:color w:val="000000"/>
          <w:kern w:val="0"/>
          <w:sz w:val="24"/>
          <w:szCs w:val="24"/>
          <w:lang w:val="en-US" w:eastAsia="zh-CN" w:bidi="ar"/>
        </w:rPr>
        <w:t xml:space="preserve">。</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研究假设检验：通过路径分析，检验六大核心变量的直接效应是否显著，验证本文提出的研究假设，并对检验结果进行分析解读。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rPr>
          <w:color w:val="000000"/>
          <w:sz w:val="24"/>
          <w:szCs w:val="24"/>
        </w:rPr>
        <w:jc w:val="both"/>
      </w:pPr>
      <w:r>
        <w:rPr>
          <w:b/>
          <w:rFonts w:eastAsia="黑体" w:ascii="Times New Roman" w:hAnsi="Times New Roman" w:cs="黑体"/>
          <w:color w:val="000000"/>
          <w:sz w:val="24"/>
          <w:szCs w:val="24"/>
        </w:rPr>
        <w:t>3.</w:t>
      </w:r>
      <w:r>
        <w:rPr>
          <w:b/>
          <w:rFonts w:hint="eastAsia" w:eastAsia="黑体" w:ascii="Times New Roman" w:hAnsi="Times New Roman" w:cs="黑体"/>
          <w:color w:val="000000"/>
          <w:sz w:val="24"/>
          <w:szCs w:val="24"/>
          <w:lang w:val="en-US" w:eastAsia="zh-CN"/>
        </w:rPr>
        <w:t>5</w:t>
      </w:r>
      <w:r>
        <w:rPr>
          <w:b/>
          <w:rFonts w:eastAsia="黑体" w:ascii="Times New Roman" w:hAnsi="Times New Roman" w:cs="黑体"/>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分位数分别设定为完全隶属、交叉点、完全不隶属三个校准锚点，将六个条件变量与结果变量转换为 0-1 之间的模糊集隶属度。</w:t>
      </w:r>
      <w:r>
        <w:rPr>
          <w:rFonts w:ascii="Times New Roman" w:hAnsi="Times New Roman" w:eastAsia="宋体" w:cs="宋体"/>
          <w:color w:val="000000"/>
          <w:kern w:val="0"/>
          <w:sz w:val="24"/>
          <w:szCs w:val="24"/>
          <w:highlight w:val="yellow"/>
          <w:lang w:val="en-US" w:eastAsia="zh-CN" w:bidi="ar"/>
        </w:rPr>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highlight w:val="yellow"/>
          <w:lang w:val="en-US" w:eastAsia="zh-CN" w:bidi="ar"/>
        </w:rPr>
      </w:pPr>
      <w:r>
        <w:rPr>
          <w:rFonts w:ascii="Times New Roman" w:hAnsi="Times New Roman" w:eastAsia="宋体" w:cs="宋体"/>
          <w:color w:val="000000"/>
          <w:kern w:val="0"/>
          <w:sz w:val="24"/>
          <w:szCs w:val="24"/>
          <w:lang w:val="en-US" w:eastAsia="zh-CN" w:bidi="ar"/>
        </w:rPr>
        <w:t>单变量必要性检验：对单个前因变量进行必要性分析，</w:t>
      </w:r>
      <w:r>
        <w:rPr>
          <w:rFonts w:ascii="Times New Roman" w:hAnsi="Times New Roman" w:eastAsia="宋体" w:cs="宋体"/>
          <w:color w:val="000000"/>
          <w:kern w:val="0"/>
          <w:sz w:val="24"/>
          <w:szCs w:val="24"/>
          <w:highlight w:val="yellow"/>
          <w:lang w:val="en-US" w:eastAsia="zh-CN" w:bidi="ar"/>
        </w:rPr>
        <w:t>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真值表构建与优化：设定合理的案例频数阈值与原始一致性阈值，</w:t>
      </w:r>
      <w:r>
        <w:rPr>
          <w:rFonts w:ascii="Times New Roman" w:hAnsi="Times New Roman" w:eastAsia="宋体" w:cs="宋体"/>
          <w:color w:val="000000"/>
          <w:kern w:val="0"/>
          <w:sz w:val="24"/>
          <w:szCs w:val="24"/>
          <w:highlight w:val="yellow"/>
          <w:lang w:val="en-US" w:eastAsia="zh-CN" w:bidi="ar"/>
        </w:rPr>
        <w:t>参考现有研究的通用做法，案例频数阈值设定为 3，原始一致性阈值设定为 0.85，同时设定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exact"/>
        <w:ind w:left="0" w:right="0" w:firstLine="480"/>
        <w:jc w:val="both"/>
        <w:rPr>
          <w:rFonts w:ascii="宋体" w:hAnsi="宋体" w:eastAsia="宋体" w:cs="宋体"/>
          <w:color w:val="000000"/>
          <w:kern w:val="0"/>
          <w:sz w:val="24"/>
          <w:szCs w:val="24"/>
          <w:lang w:val="en-US" w:eastAsia="zh-CN" w:bidi="ar"/>
        </w:rPr>
      </w:pPr>
      <w:r>
        <w:rPr>
          <w:rFonts w:ascii="Times New Roman" w:hAnsi="Times New Roman"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14:paraId="20105730">
      <w:pPr>
        <w:pStyle w:val="3"/>
        <w:spacing w:before="240" w:after="240" w:line="400" w:lineRule="exact"/>
        <w:jc w:val="both"/>
      </w:pPr>
      <w:r>
        <w:rPr>
          <w:b/>
          <w:rFonts w:eastAsia="黑体" w:ascii="Times New Roman" w:hAnsi="Times New Roman" w:cs="黑体"/>
          <w:sz w:val="28"/>
          <w:szCs w:val="28"/>
        </w:rPr>
        <w:t>3.6预调研结果分析</w:t>
      </w:r>
    </w:p>
    <w:p w14:paraId="7935A41E">
      <w:pPr>
        <w:spacing w:before="0" w:after="0" w:line="400" w:lineRule="exact"/>
        <w:jc w:val="both"/>
        <w:ind w:firstLine="480"/>
      </w:pPr>
      <w:r>
        <w:rPr>
          <w:rFonts w:eastAsia="宋体" w:ascii="Times New Roman" w:hAnsi="Times New Roman" w:cs="宋体"/>
          <w:sz w:val="24"/>
          <w:szCs w:val="24"/>
        </w:rPr>
        <w:t>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157份问卷，全部为有效问卷（有效率100%）。以下依次报告预调研基本信息分析、信度检验与效度检验（含主成分分析）的结果。</w:t>
      </w:r>
    </w:p>
    <w:p w14:paraId="52509C55">
      <w:pPr>
        <w:pStyle w:val="4"/>
        <w:spacing w:before="0" w:after="0" w:line="400" w:lineRule="exact"/>
        <w:jc w:val="both"/>
      </w:pPr>
      <w:r>
        <w:rPr>
          <w:b/>
          <w:rFonts w:eastAsia="黑体" w:ascii="Times New Roman" w:hAnsi="Times New Roman" w:cs="黑体"/>
          <w:sz w:val="24"/>
          <w:szCs w:val="24"/>
        </w:rPr>
        <w:t>3.6.1预调研基本信息分析</w:t>
      </w:r>
    </w:p>
    <w:p w14:paraId="2AD61891">
      <w:pPr>
        <w:spacing w:before="0" w:after="0" w:line="400" w:lineRule="exact"/>
        <w:jc w:val="both"/>
        <w:ind w:firstLine="480"/>
      </w:pPr>
      <w:r>
        <w:rPr>
          <w:rFonts w:eastAsia="宋体" w:ascii="Times New Roman" w:hAnsi="Times New Roman" w:cs="宋体"/>
          <w:sz w:val="24"/>
          <w:szCs w:val="24"/>
        </w:rPr>
        <w:t>本次预调研共回收有效问卷157份，样本基本特征如下：性别方面，男性72人（45.9%），女性85人（54.1%），比例较均衡；年龄方面，21-30岁占26.8%，31-40岁占28.0%，41-50岁占25.5%，中青年为主；学历方面，初中及以下占47.8%，大专22.3%，本科16.6%，符合烟台电商从业者整体学历结构；居住地涵盖芝罘区（29.9%）、牟平区（26.1%）、莱山区（15.9%）等主要电商集聚区；月均收入以5001-8000元占比最高（36.0%）；职业类型中个体电商农户/商户占44.0%，电商企业经营者/管理者占22.0%，样本覆盖烟台集群电商核心参与主体，具有良好代表性。</w:t>
      </w:r>
    </w:p>
    <w:p w14:paraId="200FC98E">
      <w:pPr>
        <w:pStyle w:val="4"/>
        <w:spacing w:before="0" w:after="0" w:line="400" w:lineRule="exact"/>
        <w:jc w:val="both"/>
      </w:pPr>
      <w:r>
        <w:rPr>
          <w:b/>
          <w:rFonts w:eastAsia="黑体" w:ascii="Times New Roman" w:hAnsi="Times New Roman" w:cs="黑体"/>
          <w:sz w:val="24"/>
          <w:szCs w:val="24"/>
        </w:rPr>
        <w:t>3.6.2信度检验</w:t>
      </w:r>
    </w:p>
    <w:p w14:paraId="5F2D14F7">
      <w:pPr>
        <w:spacing w:before="0" w:after="0" w:line="400" w:lineRule="exact"/>
        <w:jc w:val="both"/>
        <w:ind w:firstLine="480"/>
      </w:pPr>
      <w:r>
        <w:rPr>
          <w:rFonts w:eastAsia="宋体" w:ascii="Times New Roman" w:hAnsi="Times New Roman" w:cs="宋体"/>
          <w:sz w:val="24"/>
          <w:szCs w:val="24"/>
        </w:rPr>
        <w:t xml:space="preserve">本文采用Cronbach α系数对预调研数据（N=157）各维度量表进行信度检验，以评估题项内部一致性。通常认为α≥0.700表示量表具有可接受的信度（Nunnally，1978）</w:t>
      </w:r>
      <w:r>
        <w:rPr>
          <w:rStyle w:val="FootnoteReference"/>
        </w:rPr>
        <w:endnoteReference w:id="8"/>
      </w:r>
      <w:r>
        <w:rPr>
          <w:rFonts w:eastAsia="宋体" w:ascii="Times New Roman" w:hAnsi="Times New Roman" w:cs="宋体"/>
          <w:sz w:val="24"/>
          <w:szCs w:val="24"/>
        </w:rPr>
        <w:t xml:space="preserve">。检验结果如表3-1所示。</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r>
        <w:rPr>
          <w:rFonts w:eastAsia="宋体" w:ascii="Times New Roman" w:hAnsi="Times New Roman" w:cs="宋体"/>
          <w:highlight w:val="yellow"/>
          <w:sz w:val="24"/>
          <w:szCs w:val="24"/>
        </w:rPr>
      </w:r>
      <w:r>
        <w:rPr>
          <w:rFonts w:eastAsia="宋体" w:ascii="Times New Roman" w:hAnsi="Times New Roman" w:cs="宋体"/>
          <w:sz w:val="24"/>
          <w:szCs w:val="24"/>
        </w:rPr>
      </w:r>
    </w:p>
    <w:p w14:paraId="488B4AAF">
      <w:pPr>
        <w:pStyle w:val="12"/>
        <w:jc w:val="center"/>
        <w:spacing w:before="120" w:after="120" w:line="400" w:lineRule="exact"/>
        <w:ind/>
      </w:pPr>
      <w:r>
        <w:rPr>
          <w:b/>
          <w:rFonts w:eastAsia="宋体" w:ascii="Times New Roman" w:hAnsi="Times New Roman" w:cs="宋体"/>
          <w:sz w:val="21"/>
          <w:szCs w:val="21"/>
        </w:rPr>
        <w:t>表3-1 各维度Cronbach α系数（预调研，N=157）</w:t>
      </w:r>
      <w:r>
        <w:rPr>
          <w:b/>
          <w:rFonts w:hint="eastAsia" w:eastAsia="宋体" w:ascii="Times New Roman" w:hAnsi="Times New Roman" w:cs="宋体"/>
          <w:lang w:val="en-US" w:eastAsia="zh-CN"/>
          <w:sz w:val="21"/>
          <w:szCs w:val="21"/>
        </w:rPr>
      </w:r>
      <w:r>
        <w:rPr>
          <w:b/>
          <w:rFonts w:eastAsia="宋体" w:ascii="Times New Roman" w:hAnsi="Times New Roman" w:cs="宋体"/>
          <w:sz w:val="21"/>
          <w:szCs w:val="21"/>
        </w:rPr>
      </w:r>
    </w:p>
    <w:tbl>
      <w:tblPr>
        <w:tblStyle w:val="33"/>
        <w:tblW w:w="8036"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8"/>
        <w:gridCol w:w="1266"/>
        <w:gridCol w:w="1248"/>
        <w:gridCol w:w="1656"/>
        <w:gridCol w:w="1368"/>
        <w:gridCol w:w="1250"/>
      </w:tblGrid>
      <w:tr w14:paraId="5B591E66">
        <w:tblPrEx>
          <w:tblCellMar>
            <w:top w:w="0" w:type="dxa"/>
            <w:left w:w="108" w:type="dxa"/>
            <w:bottom w:w="0" w:type="dxa"/>
            <w:right w:w="108" w:type="dxa"/>
          </w:tblCellMar>
        </w:tblPrEx>
        <w:trPr>
          <w:trHeight w:val="174" w:hRule="atLeast"/>
        </w:trPr>
        <w:tc>
          <w:tcPr>
            <w:tcW w:w="126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802BBBC">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维度</w:t>
            </w:r>
          </w:p>
        </w:tc>
        <w:tc>
          <w:tcPr>
            <w:tcW w:w="128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9A5A3D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量表缩写</w:t>
            </w:r>
          </w:p>
        </w:tc>
        <w:tc>
          <w:tcPr>
            <w:tcW w:w="126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5FDF7AD">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题项数</w:t>
            </w:r>
          </w:p>
        </w:tc>
        <w:tc>
          <w:tcPr>
            <w:tcW w:w="1625"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F87048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Cronbach α系数</w:t>
            </w:r>
          </w:p>
        </w:tc>
        <w:tc>
          <w:tcPr>
            <w:tcW w:w="1332"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259A331">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267"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82C3B0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009964F9">
        <w:tblPrEx>
          <w:tblCellMar>
            <w:top w:w="0" w:type="dxa"/>
            <w:left w:w="108" w:type="dxa"/>
            <w:bottom w:w="0" w:type="dxa"/>
            <w:right w:w="108" w:type="dxa"/>
          </w:tblCellMar>
        </w:tblPrEx>
        <w:trPr>
          <w:trHeight w:val="257" w:hRule="atLeast"/>
        </w:trPr>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363B27C">
            <w:pPr>
              <w:ind/>
              <w:jc w:val="center"/>
              <w:rPr>
                <w:b w:val="0"/>
                <w:bCs/>
              </w:rPr>
              <w:spacing w:before="60" w:after="60" w:line="320" w:lineRule="exact"/>
            </w:pPr>
            <w:r>
              <w:rPr>
                <w:rFonts w:eastAsia="宋体" w:ascii="Times New Roman" w:hAnsi="Times New Roman" w:cs="宋体"/>
                <w:bCs/>
                <w:sz w:val="21"/>
                <w:szCs w:val="21"/>
              </w:rPr>
              <w:t>政策治理</w:t>
            </w:r>
          </w:p>
        </w:tc>
        <w:tc>
          <w:tcPr>
            <w:tcW w:w="1280"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3E05D54">
            <w:pPr>
              <w:ind/>
              <w:jc w:val="center"/>
              <w:rPr>
                <w:b w:val="0"/>
                <w:bCs/>
              </w:rPr>
              <w:spacing w:before="60" w:after="60" w:line="320" w:lineRule="exact"/>
            </w:pPr>
            <w:r>
              <w:rPr>
                <w:rFonts w:eastAsia="宋体" w:ascii="Times New Roman" w:hAnsi="Times New Roman" w:cs="宋体"/>
                <w:bCs/>
                <w:sz w:val="21"/>
                <w:szCs w:val="21"/>
              </w:rPr>
              <w:t>GP</w:t>
            </w:r>
          </w:p>
        </w:tc>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8E637C0">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28ED7BE">
            <w:pPr>
              <w:ind w:firstLineChars="200"/>
              <w:jc w:val="center"/>
              <w:rPr>
                <w:b w:val="0"/>
                <w:bCs/>
              </w:rPr>
              <w:spacing w:before="60" w:after="60" w:line="320" w:lineRule="exact"/>
            </w:pPr>
            <w:r>
              <w:rPr>
                <w:rFonts w:eastAsia="宋体" w:ascii="Times New Roman" w:hAnsi="Times New Roman" w:cs="宋体"/>
                <w:sz w:val="21"/>
                <w:szCs w:val="21"/>
              </w:rPr>
              <w:t>0.867</w:t>
            </w:r>
          </w:p>
        </w:tc>
        <w:tc>
          <w:tcPr>
            <w:tcW w:w="1332"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8143363">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A90BC4">
            <w:pPr>
              <w:ind/>
              <w:jc w:val="center"/>
              <w:rPr>
                <w:b w:val="0"/>
                <w:bCs/>
              </w:rPr>
              <w:spacing w:before="60" w:after="60" w:line="320" w:lineRule="exact"/>
            </w:pPr>
            <w:r>
              <w:rPr>
                <w:rFonts w:eastAsia="宋体" w:ascii="Times New Roman" w:hAnsi="Times New Roman" w:cs="宋体"/>
                <w:bCs/>
                <w:sz w:val="21"/>
                <w:szCs w:val="21"/>
              </w:rPr>
              <w:t>信度良好</w:t>
            </w:r>
          </w:p>
        </w:tc>
      </w:tr>
      <w:tr w14:paraId="4EE7869F">
        <w:tblPrEx>
          <w:tblCellMar>
            <w:top w:w="0" w:type="dxa"/>
            <w:left w:w="108" w:type="dxa"/>
            <w:bottom w:w="0" w:type="dxa"/>
            <w:right w:w="108" w:type="dxa"/>
          </w:tblCellMar>
        </w:tblPrEx>
        <w:trPr>
          <w:trHeight w:val="167" w:hRule="atLeast"/>
        </w:trPr>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CEDB5C">
            <w:pPr>
              <w:ind/>
              <w:jc w:val="center"/>
              <w:rPr>
                <w:b w:val="0"/>
                <w:bCs/>
              </w:rPr>
              <w:spacing w:before="60" w:after="60" w:line="320" w:lineRule="exact"/>
            </w:pPr>
            <w:r>
              <w:rPr>
                <w:rFonts w:eastAsia="宋体" w:ascii="Times New Roman" w:hAnsi="Times New Roman" w:cs="宋体"/>
                <w:bCs/>
                <w:sz w:val="21"/>
                <w:szCs w:val="21"/>
              </w:rPr>
              <w:t>人才支撑</w:t>
            </w:r>
          </w:p>
        </w:tc>
        <w:tc>
          <w:tcPr>
            <w:tcW w:w="1280"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181959">
            <w:pPr>
              <w:ind/>
              <w:jc w:val="center"/>
              <w:rPr>
                <w:b w:val="0"/>
                <w:bCs/>
              </w:rPr>
              <w:spacing w:before="60" w:after="60" w:line="320" w:lineRule="exact"/>
            </w:pPr>
            <w:r>
              <w:rPr>
                <w:rFonts w:eastAsia="宋体" w:ascii="Times New Roman" w:hAnsi="Times New Roman" w:cs="宋体"/>
                <w:bCs/>
                <w:sz w:val="21"/>
                <w:szCs w:val="21"/>
              </w:rPr>
              <w:t>TS</w:t>
            </w:r>
          </w:p>
        </w:tc>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15AF344">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EF26D59">
            <w:pPr>
              <w:ind w:firstLineChars="200"/>
              <w:jc w:val="center"/>
              <w:rPr>
                <w:b w:val="0"/>
                <w:bCs/>
              </w:rPr>
              <w:spacing w:before="60" w:after="60" w:line="320" w:lineRule="exact"/>
            </w:pPr>
            <w:r>
              <w:rPr>
                <w:rFonts w:eastAsia="宋体" w:ascii="Times New Roman" w:hAnsi="Times New Roman" w:cs="宋体"/>
                <w:sz w:val="21"/>
                <w:szCs w:val="21"/>
              </w:rPr>
              <w:t>0.875</w:t>
            </w:r>
          </w:p>
        </w:tc>
        <w:tc>
          <w:tcPr>
            <w:tcW w:w="1332"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1655E10">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4CDD72">
            <w:pPr>
              <w:ind/>
              <w:jc w:val="center"/>
              <w:rPr>
                <w:b w:val="0"/>
                <w:bCs/>
              </w:rPr>
              <w:spacing w:before="60" w:after="60" w:line="320" w:lineRule="exact"/>
            </w:pPr>
            <w:r>
              <w:rPr>
                <w:rFonts w:eastAsia="宋体" w:ascii="Times New Roman" w:hAnsi="Times New Roman" w:cs="宋体"/>
                <w:bCs/>
                <w:sz w:val="21"/>
                <w:szCs w:val="21"/>
              </w:rPr>
              <w:t>信度良好</w:t>
            </w:r>
          </w:p>
        </w:tc>
      </w:tr>
      <w:tr w14:paraId="03BD39D5">
        <w:tblPrEx>
          <w:tblCellMar>
            <w:top w:w="0" w:type="dxa"/>
            <w:left w:w="108" w:type="dxa"/>
            <w:bottom w:w="0" w:type="dxa"/>
            <w:right w:w="108" w:type="dxa"/>
          </w:tblCellMar>
        </w:tblPrEx>
        <w:trPr>
          <w:trHeight w:val="167" w:hRule="atLeast"/>
        </w:trPr>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C381879">
            <w:pPr>
              <w:ind/>
              <w:jc w:val="center"/>
              <w:rPr>
                <w:b w:val="0"/>
                <w:bCs/>
              </w:rPr>
              <w:spacing w:before="60" w:after="60" w:line="320" w:lineRule="exact"/>
            </w:pPr>
            <w:r>
              <w:rPr>
                <w:rFonts w:eastAsia="宋体" w:ascii="Times New Roman" w:hAnsi="Times New Roman" w:cs="宋体"/>
                <w:bCs/>
                <w:sz w:val="21"/>
                <w:szCs w:val="21"/>
              </w:rPr>
              <w:t>基础设施建设</w:t>
            </w:r>
          </w:p>
        </w:tc>
        <w:tc>
          <w:tcPr>
            <w:tcW w:w="1280"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9FEEFAF">
            <w:pPr>
              <w:ind/>
              <w:jc w:val="center"/>
              <w:rPr>
                <w:b w:val="0"/>
                <w:bCs/>
              </w:rPr>
              <w:spacing w:before="60" w:after="60" w:line="320" w:lineRule="exact"/>
            </w:pPr>
            <w:r>
              <w:rPr>
                <w:rFonts w:eastAsia="宋体" w:ascii="Times New Roman" w:hAnsi="Times New Roman" w:cs="宋体"/>
                <w:bCs/>
                <w:sz w:val="21"/>
                <w:szCs w:val="21"/>
              </w:rPr>
              <w:t>IF</w:t>
            </w:r>
          </w:p>
        </w:tc>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6E5DAB9">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DF05735">
            <w:pPr>
              <w:ind w:firstLineChars="200"/>
              <w:jc w:val="center"/>
              <w:rPr>
                <w:b w:val="0"/>
                <w:bCs/>
              </w:rPr>
              <w:spacing w:before="60" w:after="60" w:line="320" w:lineRule="exact"/>
            </w:pPr>
            <w:r>
              <w:rPr>
                <w:rFonts w:eastAsia="宋体" w:ascii="Times New Roman" w:hAnsi="Times New Roman" w:cs="宋体"/>
                <w:sz w:val="21"/>
                <w:szCs w:val="21"/>
              </w:rPr>
              <w:t>0.842</w:t>
            </w:r>
          </w:p>
        </w:tc>
        <w:tc>
          <w:tcPr>
            <w:tcW w:w="1332"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3BFBB96">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CFF93B1">
            <w:pPr>
              <w:ind/>
              <w:jc w:val="center"/>
              <w:rPr>
                <w:b w:val="0"/>
                <w:bCs/>
              </w:rPr>
              <w:spacing w:before="60" w:after="60" w:line="320" w:lineRule="exact"/>
            </w:pPr>
            <w:r>
              <w:rPr>
                <w:rFonts w:eastAsia="宋体" w:ascii="Times New Roman" w:hAnsi="Times New Roman" w:cs="宋体"/>
                <w:bCs/>
                <w:sz w:val="21"/>
                <w:szCs w:val="21"/>
              </w:rPr>
              <w:t>信度良好</w:t>
            </w:r>
          </w:p>
        </w:tc>
      </w:tr>
      <w:tr w14:paraId="767D8A2F">
        <w:tblPrEx>
          <w:tblCellMar>
            <w:top w:w="0" w:type="dxa"/>
            <w:left w:w="108" w:type="dxa"/>
            <w:bottom w:w="0" w:type="dxa"/>
            <w:right w:w="108" w:type="dxa"/>
          </w:tblCellMar>
        </w:tblPrEx>
        <w:trPr>
          <w:trHeight w:val="167" w:hRule="atLeast"/>
        </w:trPr>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CC7B0C9">
            <w:pPr>
              <w:ind/>
              <w:jc w:val="center"/>
              <w:rPr>
                <w:b w:val="0"/>
                <w:bCs/>
              </w:rPr>
              <w:spacing w:before="60" w:after="60" w:line="320" w:lineRule="exact"/>
            </w:pPr>
            <w:r>
              <w:rPr>
                <w:rFonts w:eastAsia="宋体" w:ascii="Times New Roman" w:hAnsi="Times New Roman" w:cs="宋体"/>
                <w:bCs/>
                <w:sz w:val="21"/>
                <w:szCs w:val="21"/>
              </w:rPr>
              <w:t>技术创新水平</w:t>
            </w:r>
          </w:p>
        </w:tc>
        <w:tc>
          <w:tcPr>
            <w:tcW w:w="1280"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CE23C92">
            <w:pPr>
              <w:ind/>
              <w:jc w:val="center"/>
              <w:rPr>
                <w:b w:val="0"/>
                <w:bCs/>
              </w:rPr>
              <w:spacing w:before="60" w:after="60" w:line="320" w:lineRule="exact"/>
            </w:pPr>
            <w:r>
              <w:rPr>
                <w:rFonts w:eastAsia="宋体" w:ascii="Times New Roman" w:hAnsi="Times New Roman" w:cs="宋体"/>
                <w:bCs/>
                <w:sz w:val="21"/>
                <w:szCs w:val="21"/>
              </w:rPr>
              <w:t>TI</w:t>
            </w:r>
          </w:p>
        </w:tc>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1EB1897">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02CD12B">
            <w:pPr>
              <w:ind w:firstLineChars="200"/>
              <w:jc w:val="center"/>
              <w:rPr>
                <w:b w:val="0"/>
                <w:bCs/>
              </w:rPr>
              <w:spacing w:before="60" w:after="60" w:line="320" w:lineRule="exact"/>
            </w:pPr>
            <w:r>
              <w:rPr>
                <w:rFonts w:eastAsia="宋体" w:ascii="Times New Roman" w:hAnsi="Times New Roman" w:cs="宋体"/>
                <w:sz w:val="21"/>
                <w:szCs w:val="21"/>
              </w:rPr>
              <w:t>0.846</w:t>
            </w:r>
          </w:p>
        </w:tc>
        <w:tc>
          <w:tcPr>
            <w:tcW w:w="1332"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3FCBF67">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60528B8">
            <w:pPr>
              <w:ind/>
              <w:jc w:val="center"/>
              <w:rPr>
                <w:b w:val="0"/>
                <w:bCs/>
              </w:rPr>
              <w:spacing w:before="60" w:after="60" w:line="320" w:lineRule="exact"/>
            </w:pPr>
            <w:r>
              <w:rPr>
                <w:rFonts w:eastAsia="宋体" w:ascii="Times New Roman" w:hAnsi="Times New Roman" w:cs="宋体"/>
                <w:bCs/>
                <w:sz w:val="21"/>
                <w:szCs w:val="21"/>
              </w:rPr>
              <w:t>信度良好</w:t>
            </w:r>
          </w:p>
        </w:tc>
      </w:tr>
      <w:tr w14:paraId="0A0B05B2">
        <w:tblPrEx>
          <w:tblCellMar>
            <w:top w:w="0" w:type="dxa"/>
            <w:left w:w="108" w:type="dxa"/>
            <w:bottom w:w="0" w:type="dxa"/>
            <w:right w:w="108" w:type="dxa"/>
          </w:tblCellMar>
        </w:tblPrEx>
        <w:trPr>
          <w:trHeight w:val="250" w:hRule="atLeast"/>
        </w:trPr>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AE412E3">
            <w:pPr>
              <w:ind/>
              <w:jc w:val="center"/>
              <w:rPr>
                <w:b w:val="0"/>
                <w:bCs/>
              </w:rPr>
              <w:spacing w:before="60" w:after="60" w:line="320" w:lineRule="exact"/>
            </w:pPr>
            <w:r>
              <w:rPr>
                <w:rFonts w:eastAsia="宋体" w:ascii="Times New Roman" w:hAnsi="Times New Roman" w:cs="宋体"/>
                <w:bCs/>
                <w:sz w:val="21"/>
                <w:szCs w:val="21"/>
              </w:rPr>
              <w:t>数字化能力</w:t>
            </w:r>
          </w:p>
        </w:tc>
        <w:tc>
          <w:tcPr>
            <w:tcW w:w="1280"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AC9FDC4">
            <w:pPr>
              <w:ind/>
              <w:jc w:val="center"/>
              <w:rPr>
                <w:b w:val="0"/>
                <w:bCs/>
              </w:rPr>
              <w:spacing w:before="60" w:after="60" w:line="320" w:lineRule="exact"/>
            </w:pPr>
            <w:r>
              <w:rPr>
                <w:rFonts w:eastAsia="宋体" w:ascii="Times New Roman" w:hAnsi="Times New Roman" w:cs="宋体"/>
                <w:bCs/>
                <w:sz w:val="21"/>
                <w:szCs w:val="21"/>
              </w:rPr>
              <w:t>DS</w:t>
            </w:r>
          </w:p>
        </w:tc>
        <w:tc>
          <w:tcPr>
            <w:tcW w:w="126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33D6625">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A001041">
            <w:pPr>
              <w:ind w:firstLineChars="200"/>
              <w:jc w:val="center"/>
              <w:rPr>
                <w:b w:val="0"/>
                <w:bCs/>
              </w:rPr>
              <w:spacing w:before="60" w:after="60" w:line="320" w:lineRule="exact"/>
            </w:pPr>
            <w:r>
              <w:rPr>
                <w:rFonts w:eastAsia="宋体" w:ascii="Times New Roman" w:hAnsi="Times New Roman" w:cs="宋体"/>
                <w:sz w:val="21"/>
                <w:szCs w:val="21"/>
              </w:rPr>
              <w:t>0.855</w:t>
            </w:r>
          </w:p>
        </w:tc>
        <w:tc>
          <w:tcPr>
            <w:tcW w:w="1332"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764BD7F">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FC3496F">
            <w:pPr>
              <w:ind/>
              <w:jc w:val="center"/>
              <w:rPr>
                <w:b w:val="0"/>
                <w:bCs/>
              </w:rPr>
              <w:spacing w:before="60" w:after="60" w:line="320" w:lineRule="exact"/>
            </w:pPr>
            <w:r>
              <w:rPr>
                <w:rFonts w:eastAsia="宋体" w:ascii="Times New Roman" w:hAnsi="Times New Roman" w:cs="宋体"/>
                <w:bCs/>
                <w:sz w:val="21"/>
                <w:szCs w:val="21"/>
              </w:rPr>
              <w:t>信度良好</w:t>
            </w:r>
          </w:p>
        </w:tc>
      </w:tr>
      <w:tr w14:paraId="6674F816">
        <w:tblPrEx>
          <w:tblCellMar>
            <w:top w:w="0" w:type="dxa"/>
            <w:left w:w="108" w:type="dxa"/>
            <w:bottom w:w="0" w:type="dxa"/>
            <w:right w:w="108" w:type="dxa"/>
          </w:tblCellMar>
        </w:tblPrEx>
        <w:trPr>
          <w:trHeight w:val="257" w:hRule="atLeast"/>
        </w:trPr>
        <w:tc>
          <w:tcPr>
            <w:tcW w:w="126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16311D98">
            <w:pPr>
              <w:ind/>
              <w:jc w:val="center"/>
              <w:rPr>
                <w:b w:val="0"/>
                <w:bCs/>
              </w:rPr>
              <w:spacing w:before="60" w:after="60" w:line="320" w:lineRule="exact"/>
            </w:pPr>
            <w:r>
              <w:rPr>
                <w:rFonts w:eastAsia="宋体" w:ascii="Times New Roman" w:hAnsi="Times New Roman" w:cs="宋体"/>
                <w:bCs/>
                <w:sz w:val="21"/>
                <w:szCs w:val="21"/>
              </w:rPr>
              <w:t>资源禀赋</w:t>
            </w:r>
          </w:p>
        </w:tc>
        <w:tc>
          <w:tcPr>
            <w:tcW w:w="1280"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4CCFB33">
            <w:pPr>
              <w:ind/>
              <w:jc w:val="center"/>
              <w:rPr>
                <w:b w:val="0"/>
                <w:bCs/>
              </w:rPr>
              <w:spacing w:before="60" w:after="60" w:line="320" w:lineRule="exact"/>
            </w:pPr>
            <w:r>
              <w:rPr>
                <w:rFonts w:eastAsia="宋体" w:ascii="Times New Roman" w:hAnsi="Times New Roman" w:cs="宋体"/>
                <w:bCs/>
                <w:sz w:val="21"/>
                <w:szCs w:val="21"/>
              </w:rPr>
              <w:t>EN</w:t>
            </w:r>
          </w:p>
        </w:tc>
        <w:tc>
          <w:tcPr>
            <w:tcW w:w="126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4B87DB4D">
            <w:pPr>
              <w:ind/>
              <w:jc w:val="center"/>
              <w:rPr>
                <w:b w:val="0"/>
                <w:bCs/>
              </w:rPr>
              <w:spacing w:before="60" w:after="60" w:line="320" w:lineRule="exact"/>
            </w:pPr>
            <w:r>
              <w:rPr>
                <w:rFonts w:eastAsia="宋体" w:ascii="Times New Roman" w:hAnsi="Times New Roman" w:cs="宋体"/>
                <w:bCs/>
                <w:sz w:val="21"/>
                <w:szCs w:val="21"/>
              </w:rPr>
              <w:t>3</w:t>
            </w:r>
          </w:p>
        </w:tc>
        <w:tc>
          <w:tcPr>
            <w:tcW w:w="1625" w:type="dxa"/>
            <w:shd w:val="clear" w:color="auto" w:fill="auto"/>
            <w:vAlign w:val="top"/>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0B2FE35A">
            <w:pPr>
              <w:ind w:firstLineChars="200"/>
              <w:jc w:val="center"/>
              <w:rPr>
                <w:b w:val="0"/>
                <w:bCs/>
              </w:rPr>
              <w:spacing w:before="60" w:after="60" w:line="320" w:lineRule="exact"/>
            </w:pPr>
            <w:r>
              <w:rPr>
                <w:rFonts w:eastAsia="宋体" w:ascii="Times New Roman" w:hAnsi="Times New Roman" w:cs="宋体"/>
                <w:sz w:val="21"/>
                <w:szCs w:val="21"/>
              </w:rPr>
              <w:t>0.821</w:t>
            </w:r>
          </w:p>
        </w:tc>
        <w:tc>
          <w:tcPr>
            <w:tcW w:w="1332"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360653EB">
            <w:pPr>
              <w:ind/>
              <w:jc w:val="center"/>
              <w:rPr>
                <w:b w:val="0"/>
                <w:bCs/>
              </w:rPr>
              <w:spacing w:before="60" w:after="60" w:line="320" w:lineRule="exact"/>
            </w:pPr>
            <w:r>
              <w:rPr>
                <w:rFonts w:eastAsia="宋体" w:ascii="Times New Roman" w:hAnsi="Times New Roman" w:cs="宋体"/>
                <w:bCs/>
                <w:sz w:val="21"/>
                <w:szCs w:val="21"/>
              </w:rPr>
              <w:t>≥0.700</w:t>
            </w:r>
          </w:p>
        </w:tc>
        <w:tc>
          <w:tcPr>
            <w:tcW w:w="1267"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BC2CD43">
            <w:pPr>
              <w:ind/>
              <w:jc w:val="center"/>
              <w:rPr>
                <w:b w:val="0"/>
                <w:bCs/>
              </w:rPr>
              <w:spacing w:before="60" w:after="60" w:line="320" w:lineRule="exact"/>
            </w:pPr>
            <w:r>
              <w:rPr>
                <w:rFonts w:eastAsia="宋体" w:ascii="Times New Roman" w:hAnsi="Times New Roman" w:cs="宋体"/>
                <w:bCs/>
                <w:sz w:val="21"/>
                <w:szCs w:val="21"/>
              </w:rPr>
              <w:t>信度良好</w:t>
            </w:r>
          </w:p>
        </w:tc>
      </w:tr>
    </w:tbl>
    <w:p w14:paraId="275A5B2B">
      <w:pPr>
        <w:spacing w:before="0" w:after="0" w:line="400" w:lineRule="exact"/>
        <w:jc w:val="both"/>
        <w:ind w:firstLine="480"/>
      </w:pPr>
      <w:r>
        <w:rPr>
          <w:rFonts w:eastAsia="宋体" w:ascii="Times New Roman" w:hAnsi="Times New Roman" w:cs="宋体"/>
          <w:sz w:val="24"/>
          <w:szCs w:val="24"/>
        </w:rPr>
        <w:t>由表3-1可知，各维度Cronbach α均在0.750以上，均显著超过0.700的可接受标准，表明本问卷各维度测量题项内部一致性良好，量表信度满足正式调研要求。</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66FBB03F">
      <w:pPr>
        <w:pStyle w:val="4"/>
        <w:spacing w:before="0" w:after="0" w:line="400" w:lineRule="exact"/>
        <w:jc w:val="both"/>
      </w:pPr>
      <w:r>
        <w:rPr>
          <w:b/>
          <w:rFonts w:eastAsia="黑体" w:ascii="Times New Roman" w:hAnsi="Times New Roman" w:cs="黑体"/>
          <w:sz w:val="24"/>
          <w:szCs w:val="24"/>
        </w:rPr>
        <w:t>3.6.3效度检验（KMO与Bartlett检验）</w:t>
      </w:r>
    </w:p>
    <w:p w14:paraId="5E6F1BFB">
      <w:pPr>
        <w:spacing w:before="0" w:after="0" w:line="400" w:lineRule="exact"/>
        <w:jc w:val="both"/>
        <w:ind w:firstLine="480"/>
      </w:pPr>
      <w:r>
        <w:rPr>
          <w:rFonts w:eastAsia="宋体" w:ascii="Times New Roman" w:hAnsi="Times New Roman" w:cs="宋体"/>
          <w:sz w:val="24"/>
          <w:szCs w:val="24"/>
        </w:rPr>
        <w:t>效度检验旨在验证各测量题项能准确反映其对应潜变量内涵。本文首先通过KMO取样适切性量数与Bartlett球形检验评估数据适合度，结果如表3-2所示。</w:t>
      </w:r>
    </w:p>
    <w:p w14:paraId="256431FA">
      <w:pPr>
        <w:pStyle w:val="12"/>
        <w:jc w:val="center"/>
        <w:spacing w:before="120" w:after="120" w:line="400" w:lineRule="exact"/>
        <w:ind/>
      </w:pPr>
      <w:r>
        <w:rPr>
          <w:b/>
          <w:rFonts w:eastAsia="宋体" w:ascii="Times New Roman" w:hAnsi="Times New Roman" w:cs="宋体"/>
          <w:sz w:val="21"/>
          <w:szCs w:val="21"/>
        </w:rPr>
        <w:t>表3-2 KMO和Bartlett球形检验结果</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0"/>
        <w:gridCol w:w="1700"/>
        <w:gridCol w:w="1700"/>
        <w:gridCol w:w="1700"/>
        <w:gridCol w:w="1700"/>
      </w:tblGrid>
      <w:tr w14:paraId="370CE1EF">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7CAB2D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检验项目</w:t>
            </w:r>
          </w:p>
        </w:tc>
        <w:tc>
          <w:tcPr>
            <w:tcW w:w="170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5B37EDF">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统计量</w:t>
            </w:r>
          </w:p>
        </w:tc>
        <w:tc>
          <w:tcPr>
            <w:tcW w:w="170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72BDB25">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值</w:t>
            </w:r>
          </w:p>
        </w:tc>
        <w:tc>
          <w:tcPr>
            <w:tcW w:w="170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2354AA7A">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判断标准</w:t>
            </w:r>
          </w:p>
        </w:tc>
        <w:tc>
          <w:tcPr>
            <w:tcW w:w="1700"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92E7E6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 w:val="0"/>
                <w:bCs/>
                <w:sz w:val="21"/>
                <w:szCs w:val="21"/>
              </w:rPr>
              <w:t>结论</w:t>
            </w:r>
          </w:p>
        </w:tc>
      </w:tr>
      <w:tr w14:paraId="51B56995">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2D8DCE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KMO取样适切性量数</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86DCF0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KMO</w:t>
            </w:r>
          </w:p>
        </w:tc>
        <w:tc>
          <w:tcPr>
            <w:tcW w:w="1700" w:type="dxa"/>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851A00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0.785</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7A7D527">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&gt;0.700</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DF2461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r w14:paraId="4C7A1EA8">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78288DE">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Bartlett球形检验</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A6EDD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近似卡方值（χ²）</w:t>
            </w:r>
          </w:p>
        </w:tc>
        <w:tc>
          <w:tcPr>
            <w:tcW w:w="1700" w:type="dxa"/>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2127F94">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1419.603</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9750BB6">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AEE14C4">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55A4BDDD">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restart"/>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1EFBEDD1">
            <w:pPr>
              <w:ind/>
              <w:jc w:val="center"/>
              <w:rPr>
                <w:rFonts w:hint="eastAsia" w:ascii="宋体" w:hAnsi="宋体" w:eastAsia="宋体" w:cs="宋体"/>
                <w:b w:val="0"/>
                <w:bCs/>
              </w:rPr>
              <w:spacing w:before="60" w:after="60" w:line="320" w:lineRule="exact"/>
            </w:pP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49F9713">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自由度（df）</w:t>
            </w:r>
          </w:p>
        </w:tc>
        <w:tc>
          <w:tcPr>
            <w:tcW w:w="1700" w:type="dxa"/>
            <w:vAlign w:val="top"/>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2AFA5B6">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153</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6003EB9">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c>
          <w:tcPr>
            <w:tcW w:w="1700"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282CC08">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w:t>
            </w:r>
          </w:p>
        </w:tc>
      </w:tr>
      <w:tr w14:paraId="4352FF93">
        <w:trPr/>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00" w:type="dxa"/>
            <w:vMerge w:val="continue"/>
            <w:tcBorders>
              <w:top w:val="none" w:sz="0" w:space="0" w:color="auto"/>
              <w:bottom w:val="single" w:sz="12" w:space="0" w:color="auto"/>
              <w:left w:val="none" w:sz="0" w:space="0" w:color="auto"/>
              <w:right w:val="none" w:sz="0" w:space="0" w:color="auto"/>
            </w:tcBorders>
          </w:tcPr>
          <w:p w14:paraId="0D0F97DB">
            <w:pPr>
              <w:ind w:firstLine="0"/>
              <w:jc w:val="center"/>
              <w:rPr>
                <w:rFonts w:hint="eastAsia" w:ascii="宋体" w:hAnsi="宋体" w:eastAsia="宋体" w:cs="宋体"/>
                <w:b w:val="0"/>
                <w:bCs/>
              </w:rPr>
            </w:pPr>
          </w:p>
        </w:tc>
        <w:tc>
          <w:tcPr>
            <w:tcW w:w="1700"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4414E9B">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显著性（Sig.）</w:t>
            </w:r>
          </w:p>
        </w:tc>
        <w:tc>
          <w:tcPr>
            <w:tcW w:w="1700" w:type="dxa"/>
            <w:vAlign w:val="top"/>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73202320">
            <w:pPr>
              <w:ind w:firstLineChars="200"/>
              <w:jc w:val="center"/>
              <w:rPr>
                <w:rFonts w:hint="eastAsia" w:ascii="宋体" w:hAnsi="宋体" w:eastAsia="宋体" w:cs="宋体"/>
                <w:b w:val="0"/>
                <w:bCs/>
              </w:rPr>
              <w:spacing w:before="60" w:after="60" w:line="320" w:lineRule="exact"/>
            </w:pPr>
            <w:r>
              <w:rPr>
                <w:rFonts w:eastAsia="宋体" w:ascii="Times New Roman" w:hAnsi="Times New Roman" w:cs="宋体"/>
                <w:sz w:val="21"/>
                <w:szCs w:val="21"/>
              </w:rPr>
              <w:t>&lt;0.001</w:t>
            </w:r>
          </w:p>
        </w:tc>
        <w:tc>
          <w:tcPr>
            <w:tcW w:w="1700"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59A17602">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&lt;0.05</w:t>
            </w:r>
          </w:p>
        </w:tc>
        <w:tc>
          <w:tcPr>
            <w:tcW w:w="1700"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522D8780">
            <w:pPr>
              <w:ind/>
              <w:jc w:val="center"/>
              <w:rPr>
                <w:rFonts w:hint="eastAsia" w:ascii="宋体" w:hAnsi="宋体" w:eastAsia="宋体" w:cs="宋体"/>
                <w:b w:val="0"/>
                <w:bCs/>
              </w:rPr>
              <w:spacing w:before="60" w:after="60" w:line="320" w:lineRule="exact"/>
            </w:pPr>
            <w:r>
              <w:rPr>
                <w:rFonts w:hint="eastAsia" w:ascii="Times New Roman" w:hAnsi="Times New Roman" w:eastAsia="宋体" w:cs="宋体"/>
                <w:bCs/>
                <w:sz w:val="21"/>
                <w:szCs w:val="21"/>
              </w:rPr>
              <w:t>适合进行因子分析</w:t>
            </w:r>
          </w:p>
        </w:tc>
      </w:tr>
    </w:tbl>
    <w:p w14:paraId="61FDF7C2">
      <w:pPr>
        <w:spacing w:before="0" w:after="0" w:line="400" w:lineRule="exact"/>
        <w:jc w:val="both"/>
        <w:ind w:firstLine="480"/>
      </w:pPr>
      <w:r>
        <w:rPr>
          <w:rFonts w:eastAsia="宋体" w:ascii="Times New Roman" w:hAnsi="Times New Roman" w:cs="宋体"/>
          <w:sz w:val="24"/>
          <w:szCs w:val="24"/>
        </w:rPr>
        <w:t>由表3-2可知，</w:t>
      </w:r>
      <w:r>
        <w:rPr>
          <w:rFonts w:eastAsia="宋体" w:ascii="Times New Roman" w:hAnsi="Times New Roman" w:cs="宋体"/>
          <w:highlight w:val="yellow"/>
          <w:sz w:val="24"/>
          <w:szCs w:val="24"/>
        </w:rPr>
        <w:t>KMO值为0.7</w:t>
      </w:r>
      <w:r>
        <w:rPr>
          <w:rFonts w:hint="eastAsia" w:eastAsia="宋体" w:ascii="Times New Roman" w:hAnsi="Times New Roman" w:cs="宋体"/>
          <w:highlight w:val="yellow"/>
          <w:lang w:val="en-US" w:eastAsia="zh-CN"/>
          <w:sz w:val="24"/>
          <w:szCs w:val="24"/>
        </w:rPr>
        <w:t>8</w:t>
      </w:r>
      <w:r>
        <w:rPr>
          <w:rFonts w:eastAsia="宋体" w:ascii="Times New Roman" w:hAnsi="Times New Roman" w:cs="宋体"/>
          <w:highlight w:val="yellow"/>
          <w:sz w:val="24"/>
          <w:szCs w:val="24"/>
        </w:rPr>
        <w:t xml:space="preserve">5，超过0.700标准，达到"良好"水平（Kaiser，1974）</w:t>
      </w:r>
      <w:r>
        <w:rPr>
          <w:rStyle w:val="FootnoteReference"/>
        </w:rPr>
        <w:endnoteReference w:id="9"/>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Bartlett球形检验近似卡方值为1419.603（df=153，p&lt;0.001），拒绝相关矩阵为单位阵的原假设，验证了变量间存在充分共变关系，数据结构满足因子分析前提条件。</w:t>
      </w:r>
    </w:p>
    <w:p w14:paraId="5233A5F7">
      <w:pPr>
        <w:pStyle w:val="4"/>
        <w:spacing w:before="0" w:after="0" w:line="400" w:lineRule="exact"/>
        <w:jc w:val="both"/>
      </w:pPr>
      <w:r>
        <w:rPr>
          <w:b/>
          <w:rFonts w:eastAsia="黑体" w:ascii="Times New Roman" w:hAnsi="Times New Roman" w:cs="黑体"/>
          <w:sz w:val="24"/>
          <w:szCs w:val="24"/>
        </w:rPr>
        <w:t>3.6.4主成分分析</w:t>
      </w:r>
    </w:p>
    <w:p w14:paraId="15B5776D">
      <w:pPr>
        <w:spacing w:before="0" w:after="0" w:line="400" w:lineRule="exact"/>
        <w:jc w:val="both"/>
        <w:ind w:firstLine="480"/>
      </w:pPr>
      <w:r>
        <w:rPr>
          <w:rFonts w:eastAsia="宋体" w:ascii="Times New Roman" w:hAnsi="Times New Roman" w:cs="宋体"/>
          <w:sz w:val="24"/>
          <w:szCs w:val="24"/>
        </w:rPr>
        <w:t>在上述检验通过的基础上，本文采用主成分分析法进行探索性因子分析，以Kaiser标准化最大方差法（Varimax）进行正交旋转，依据理论模型提取6个公因子。各成分特征根与方差解释情况如表3-3所示。</w:t>
      </w:r>
    </w:p>
    <w:p w14:paraId="6231B2B6">
      <w:pPr>
        <w:pStyle w:val="12"/>
        <w:jc w:val="center"/>
        <w:spacing w:before="120" w:after="120" w:line="400" w:lineRule="exact"/>
        <w:ind/>
      </w:pPr>
      <w:r>
        <w:rPr>
          <w:b/>
          <w:rFonts w:eastAsia="宋体" w:ascii="Times New Roman" w:hAnsi="Times New Roman" w:cs="宋体"/>
          <w:sz w:val="21"/>
          <w:szCs w:val="21"/>
        </w:rPr>
        <w:t>表3-3 总方差解释（提取6个公因子）</w:t>
      </w:r>
    </w:p>
    <w:tbl>
      <w:tblPr>
        <w:tblStyle w:val="33"/>
        <w:tblW w:w="8500"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25"/>
        <w:gridCol w:w="2125"/>
        <w:gridCol w:w="2125"/>
        <w:gridCol w:w="2125"/>
      </w:tblGrid>
      <w:tr w14:paraId="3EC4F276">
        <w:trPr/>
        <w:tblPrEx>
          <w:tblCellMar>
            <w:top w:w="0" w:type="dxa"/>
            <w:left w:w="108" w:type="dxa"/>
            <w:bottom w:w="0" w:type="dxa"/>
            <w:right w:w="108" w:type="dxa"/>
          </w:tblCellMar>
        </w:tblPrEx>
        <w:tc>
          <w:tcPr>
            <w:tcW w:w="2125"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ED1DC83">
            <w:pPr>
              <w:ind/>
              <w:jc w:val="center"/>
              <w:rPr>
                <w:b w:val="0"/>
                <w:bCs/>
              </w:rPr>
              <w:spacing w:before="60" w:after="60" w:line="320" w:lineRule="exact"/>
            </w:pPr>
            <w:r>
              <w:rPr>
                <w:rFonts w:eastAsia="宋体" w:ascii="Times New Roman" w:hAnsi="Times New Roman" w:cs="宋体"/>
                <w:b w:val="0"/>
                <w:bCs/>
                <w:sz w:val="21"/>
                <w:szCs w:val="21"/>
              </w:rPr>
              <w:t>成分</w:t>
            </w:r>
          </w:p>
        </w:tc>
        <w:tc>
          <w:tcPr>
            <w:tcW w:w="2125"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1BDFAD8">
            <w:pPr>
              <w:ind/>
              <w:jc w:val="center"/>
              <w:rPr>
                <w:b w:val="0"/>
                <w:bCs/>
              </w:rPr>
              <w:spacing w:before="60" w:after="60" w:line="320" w:lineRule="exact"/>
            </w:pPr>
            <w:r>
              <w:rPr>
                <w:rFonts w:eastAsia="宋体" w:ascii="Times New Roman" w:hAnsi="Times New Roman" w:cs="宋体"/>
                <w:b w:val="0"/>
                <w:bCs/>
                <w:sz w:val="21"/>
                <w:szCs w:val="21"/>
              </w:rPr>
              <w:t>初始特征值（λ）</w:t>
            </w:r>
          </w:p>
        </w:tc>
        <w:tc>
          <w:tcPr>
            <w:tcW w:w="2125"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3C3EFD9">
            <w:pPr>
              <w:ind/>
              <w:jc w:val="center"/>
              <w:rPr>
                <w:b w:val="0"/>
                <w:bCs/>
              </w:rPr>
              <w:spacing w:before="60" w:after="60" w:line="320" w:lineRule="exact"/>
            </w:pPr>
            <w:r>
              <w:rPr>
                <w:rFonts w:eastAsia="宋体" w:ascii="Times New Roman" w:hAnsi="Times New Roman" w:cs="宋体"/>
                <w:b w:val="0"/>
                <w:bCs/>
                <w:sz w:val="21"/>
                <w:szCs w:val="21"/>
              </w:rPr>
              <w:t>方差贡献率（%）</w:t>
            </w:r>
          </w:p>
        </w:tc>
        <w:tc>
          <w:tcPr>
            <w:tcW w:w="2125"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EEB43E6">
            <w:pPr>
              <w:ind/>
              <w:jc w:val="center"/>
              <w:rPr>
                <w:b w:val="0"/>
                <w:bCs/>
              </w:rPr>
              <w:spacing w:before="60" w:after="60" w:line="320" w:lineRule="exact"/>
            </w:pPr>
            <w:r>
              <w:rPr>
                <w:rFonts w:eastAsia="宋体" w:ascii="Times New Roman" w:hAnsi="Times New Roman" w:cs="宋体"/>
                <w:b w:val="0"/>
                <w:bCs/>
                <w:sz w:val="21"/>
                <w:szCs w:val="21"/>
              </w:rPr>
              <w:t>累积方差贡献率（%）</w:t>
            </w:r>
          </w:p>
        </w:tc>
      </w:tr>
      <w:tr w14:paraId="014B439E">
        <w:trPr/>
        <w:tblPrEx>
          <w:tblCellMar>
            <w:top w:w="0" w:type="dxa"/>
            <w:left w:w="108" w:type="dxa"/>
            <w:bottom w:w="0" w:type="dxa"/>
            <w:right w:w="108" w:type="dxa"/>
          </w:tblCellMar>
        </w:tblPrEx>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998FAC3">
            <w:pPr>
              <w:ind/>
              <w:jc w:val="center"/>
              <w:rPr>
                <w:b w:val="0"/>
                <w:bCs/>
              </w:rPr>
              <w:spacing w:before="60" w:after="60" w:line="320" w:lineRule="exact"/>
            </w:pPr>
            <w:r>
              <w:rPr>
                <w:rFonts w:eastAsia="宋体" w:ascii="Times New Roman" w:hAnsi="Times New Roman" w:cs="宋体"/>
                <w:bCs/>
                <w:sz w:val="21"/>
                <w:szCs w:val="21"/>
              </w:rPr>
              <w:t>1</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9B8F374">
            <w:pPr>
              <w:ind/>
              <w:jc w:val="center"/>
              <w:rPr>
                <w:b w:val="0"/>
                <w:bCs/>
              </w:rPr>
              <w:spacing w:before="60" w:after="60" w:line="320" w:lineRule="exact"/>
            </w:pPr>
            <w:r>
              <w:rPr>
                <w:rFonts w:eastAsia="宋体" w:ascii="Times New Roman" w:hAnsi="Times New Roman" w:cs="宋体"/>
                <w:bCs/>
                <w:sz w:val="21"/>
                <w:szCs w:val="21"/>
              </w:rPr>
              <w:t>4.754</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C2D8DF6">
            <w:pPr>
              <w:ind/>
              <w:jc w:val="center"/>
              <w:rPr>
                <w:b w:val="0"/>
                <w:bCs/>
              </w:rPr>
              <w:spacing w:before="60" w:after="60" w:line="320" w:lineRule="exact"/>
            </w:pPr>
            <w:r>
              <w:rPr>
                <w:rFonts w:eastAsia="宋体" w:ascii="Times New Roman" w:hAnsi="Times New Roman" w:cs="宋体"/>
                <w:bCs/>
                <w:sz w:val="21"/>
                <w:szCs w:val="21"/>
              </w:rPr>
              <w:t>25.88</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5BCA9D">
            <w:pPr>
              <w:ind/>
              <w:jc w:val="center"/>
              <w:rPr>
                <w:b w:val="0"/>
                <w:bCs/>
              </w:rPr>
              <w:spacing w:before="60" w:after="60" w:line="320" w:lineRule="exact"/>
            </w:pPr>
            <w:r>
              <w:rPr>
                <w:rFonts w:eastAsia="宋体" w:ascii="Times New Roman" w:hAnsi="Times New Roman" w:cs="宋体"/>
                <w:bCs/>
                <w:sz w:val="21"/>
                <w:szCs w:val="21"/>
              </w:rPr>
              <w:t>25.88</w:t>
            </w:r>
          </w:p>
        </w:tc>
      </w:tr>
      <w:tr w14:paraId="2ABFC353">
        <w:trPr/>
        <w:tblPrEx>
          <w:tblCellMar>
            <w:top w:w="0" w:type="dxa"/>
            <w:left w:w="108" w:type="dxa"/>
            <w:bottom w:w="0" w:type="dxa"/>
            <w:right w:w="108" w:type="dxa"/>
          </w:tblCellMar>
        </w:tblPrEx>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E45432B">
            <w:pPr>
              <w:ind/>
              <w:jc w:val="center"/>
              <w:rPr>
                <w:b w:val="0"/>
                <w:bCs/>
              </w:rPr>
              <w:spacing w:before="60" w:after="60" w:line="320" w:lineRule="exact"/>
            </w:pPr>
            <w:r>
              <w:rPr>
                <w:rFonts w:eastAsia="宋体" w:ascii="Times New Roman" w:hAnsi="Times New Roman" w:cs="宋体"/>
                <w:bCs/>
                <w:sz w:val="21"/>
                <w:szCs w:val="21"/>
              </w:rPr>
              <w:t>2</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BB6224">
            <w:pPr>
              <w:ind/>
              <w:jc w:val="center"/>
              <w:rPr>
                <w:b w:val="0"/>
                <w:bCs/>
              </w:rPr>
              <w:spacing w:before="60" w:after="60" w:line="320" w:lineRule="exact"/>
            </w:pPr>
            <w:r>
              <w:rPr>
                <w:rFonts w:eastAsia="宋体" w:ascii="Times New Roman" w:hAnsi="Times New Roman" w:cs="宋体"/>
                <w:bCs/>
                <w:sz w:val="21"/>
                <w:szCs w:val="21"/>
              </w:rPr>
              <w:t>4.040</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D45F1D3">
            <w:pPr>
              <w:ind/>
              <w:jc w:val="center"/>
              <w:rPr>
                <w:b w:val="0"/>
                <w:bCs/>
              </w:rPr>
              <w:spacing w:before="60" w:after="60" w:line="320" w:lineRule="exact"/>
            </w:pPr>
            <w:r>
              <w:rPr>
                <w:rFonts w:eastAsia="宋体" w:ascii="Times New Roman" w:hAnsi="Times New Roman" w:cs="宋体"/>
                <w:bCs/>
                <w:sz w:val="21"/>
                <w:szCs w:val="21"/>
              </w:rPr>
              <w:t>22.00</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055F94E">
            <w:pPr>
              <w:ind/>
              <w:jc w:val="center"/>
              <w:rPr>
                <w:b w:val="0"/>
                <w:bCs/>
              </w:rPr>
              <w:spacing w:before="60" w:after="60" w:line="320" w:lineRule="exact"/>
            </w:pPr>
            <w:r>
              <w:rPr>
                <w:rFonts w:eastAsia="宋体" w:ascii="Times New Roman" w:hAnsi="Times New Roman" w:cs="宋体"/>
                <w:bCs/>
                <w:sz w:val="21"/>
                <w:szCs w:val="21"/>
              </w:rPr>
              <w:t>47.88</w:t>
            </w:r>
          </w:p>
        </w:tc>
      </w:tr>
      <w:tr w14:paraId="47C93D4C">
        <w:trPr/>
        <w:tblPrEx>
          <w:tblCellMar>
            <w:top w:w="0" w:type="dxa"/>
            <w:left w:w="108" w:type="dxa"/>
            <w:bottom w:w="0" w:type="dxa"/>
            <w:right w:w="108" w:type="dxa"/>
          </w:tblCellMar>
        </w:tblPrEx>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2ED37A6">
            <w:pPr>
              <w:ind/>
              <w:jc w:val="center"/>
              <w:rPr>
                <w:b w:val="0"/>
                <w:bCs/>
              </w:rPr>
              <w:spacing w:before="60" w:after="60" w:line="320" w:lineRule="exact"/>
            </w:pPr>
            <w:r>
              <w:rPr>
                <w:rFonts w:eastAsia="宋体" w:ascii="Times New Roman" w:hAnsi="Times New Roman" w:cs="宋体"/>
                <w:bCs/>
                <w:sz w:val="21"/>
                <w:szCs w:val="21"/>
              </w:rPr>
              <w:t>3</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C807846">
            <w:pPr>
              <w:ind/>
              <w:jc w:val="center"/>
              <w:rPr>
                <w:b w:val="0"/>
                <w:bCs/>
              </w:rPr>
              <w:spacing w:before="60" w:after="60" w:line="320" w:lineRule="exact"/>
            </w:pPr>
            <w:r>
              <w:rPr>
                <w:rFonts w:eastAsia="宋体" w:ascii="Times New Roman" w:hAnsi="Times New Roman" w:cs="宋体"/>
                <w:bCs/>
                <w:sz w:val="21"/>
                <w:szCs w:val="21"/>
              </w:rPr>
              <w:t>2.364</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10F4864">
            <w:pPr>
              <w:ind/>
              <w:jc w:val="center"/>
              <w:rPr>
                <w:b w:val="0"/>
                <w:bCs/>
              </w:rPr>
              <w:spacing w:before="60" w:after="60" w:line="320" w:lineRule="exact"/>
            </w:pPr>
            <w:r>
              <w:rPr>
                <w:rFonts w:eastAsia="宋体" w:ascii="Times New Roman" w:hAnsi="Times New Roman" w:cs="宋体"/>
                <w:bCs/>
                <w:sz w:val="21"/>
                <w:szCs w:val="21"/>
              </w:rPr>
              <w:t>12.87</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F6CE69C">
            <w:pPr>
              <w:ind/>
              <w:jc w:val="center"/>
              <w:rPr>
                <w:b w:val="0"/>
                <w:bCs/>
              </w:rPr>
              <w:spacing w:before="60" w:after="60" w:line="320" w:lineRule="exact"/>
            </w:pPr>
            <w:r>
              <w:rPr>
                <w:rFonts w:eastAsia="宋体" w:ascii="Times New Roman" w:hAnsi="Times New Roman" w:cs="宋体"/>
                <w:bCs/>
                <w:sz w:val="21"/>
                <w:szCs w:val="21"/>
              </w:rPr>
              <w:t>60.75</w:t>
            </w:r>
          </w:p>
        </w:tc>
      </w:tr>
      <w:tr w14:paraId="35B262AC">
        <w:trPr/>
        <w:tblPrEx>
          <w:tblCellMar>
            <w:top w:w="0" w:type="dxa"/>
            <w:left w:w="108" w:type="dxa"/>
            <w:bottom w:w="0" w:type="dxa"/>
            <w:right w:w="108" w:type="dxa"/>
          </w:tblCellMar>
        </w:tblPrEx>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B20F288">
            <w:pPr>
              <w:ind/>
              <w:jc w:val="center"/>
              <w:rPr>
                <w:b w:val="0"/>
                <w:bCs/>
              </w:rPr>
              <w:spacing w:before="60" w:after="60" w:line="320" w:lineRule="exact"/>
            </w:pPr>
            <w:r>
              <w:rPr>
                <w:rFonts w:eastAsia="宋体" w:ascii="Times New Roman" w:hAnsi="Times New Roman" w:cs="宋体"/>
                <w:bCs/>
                <w:sz w:val="21"/>
                <w:szCs w:val="21"/>
              </w:rPr>
              <w:t>4</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6F8B72">
            <w:pPr>
              <w:ind/>
              <w:jc w:val="center"/>
              <w:rPr>
                <w:b w:val="0"/>
                <w:bCs/>
              </w:rPr>
              <w:spacing w:before="60" w:after="60" w:line="320" w:lineRule="exact"/>
            </w:pPr>
            <w:r>
              <w:rPr>
                <w:rFonts w:eastAsia="宋体" w:ascii="Times New Roman" w:hAnsi="Times New Roman" w:cs="宋体"/>
                <w:bCs/>
                <w:sz w:val="21"/>
                <w:szCs w:val="21"/>
              </w:rPr>
              <w:t>1.466</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91EECC8">
            <w:pPr>
              <w:ind/>
              <w:jc w:val="center"/>
              <w:rPr>
                <w:b w:val="0"/>
                <w:bCs/>
              </w:rPr>
              <w:spacing w:before="60" w:after="60" w:line="320" w:lineRule="exact"/>
            </w:pPr>
            <w:r>
              <w:rPr>
                <w:rFonts w:eastAsia="宋体" w:ascii="Times New Roman" w:hAnsi="Times New Roman" w:cs="宋体"/>
                <w:bCs/>
                <w:sz w:val="21"/>
                <w:szCs w:val="21"/>
              </w:rPr>
              <w:t>7.98</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60AF916">
            <w:pPr>
              <w:ind/>
              <w:jc w:val="center"/>
              <w:rPr>
                <w:b w:val="0"/>
                <w:bCs/>
              </w:rPr>
              <w:spacing w:before="60" w:after="60" w:line="320" w:lineRule="exact"/>
            </w:pPr>
            <w:r>
              <w:rPr>
                <w:rFonts w:eastAsia="宋体" w:ascii="Times New Roman" w:hAnsi="Times New Roman" w:cs="宋体"/>
                <w:bCs/>
                <w:sz w:val="21"/>
                <w:szCs w:val="21"/>
              </w:rPr>
              <w:t>68.74</w:t>
            </w:r>
          </w:p>
        </w:tc>
      </w:tr>
      <w:tr w14:paraId="51D5DBD4">
        <w:trPr/>
        <w:tblPrEx>
          <w:tblCellMar>
            <w:top w:w="0" w:type="dxa"/>
            <w:left w:w="108" w:type="dxa"/>
            <w:bottom w:w="0" w:type="dxa"/>
            <w:right w:w="108" w:type="dxa"/>
          </w:tblCellMar>
        </w:tblPrEx>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7AD773D">
            <w:pPr>
              <w:ind/>
              <w:jc w:val="center"/>
              <w:rPr>
                <w:b w:val="0"/>
                <w:bCs/>
              </w:rPr>
              <w:spacing w:before="60" w:after="60" w:line="320" w:lineRule="exact"/>
            </w:pPr>
            <w:r>
              <w:rPr>
                <w:rFonts w:eastAsia="宋体" w:ascii="Times New Roman" w:hAnsi="Times New Roman" w:cs="宋体"/>
                <w:bCs/>
                <w:sz w:val="21"/>
                <w:szCs w:val="21"/>
              </w:rPr>
              <w:t>5</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929FE6C">
            <w:pPr>
              <w:ind/>
              <w:jc w:val="center"/>
              <w:rPr>
                <w:b w:val="0"/>
                <w:bCs/>
              </w:rPr>
              <w:spacing w:before="60" w:after="60" w:line="320" w:lineRule="exact"/>
            </w:pPr>
            <w:r>
              <w:rPr>
                <w:rFonts w:eastAsia="宋体" w:ascii="Times New Roman" w:hAnsi="Times New Roman" w:cs="宋体"/>
                <w:bCs/>
                <w:sz w:val="21"/>
                <w:szCs w:val="21"/>
              </w:rPr>
              <w:t>1.417</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6345014">
            <w:pPr>
              <w:ind/>
              <w:jc w:val="center"/>
              <w:rPr>
                <w:b w:val="0"/>
                <w:bCs/>
              </w:rPr>
              <w:spacing w:before="60" w:after="60" w:line="320" w:lineRule="exact"/>
            </w:pPr>
            <w:r>
              <w:rPr>
                <w:rFonts w:eastAsia="宋体" w:ascii="Times New Roman" w:hAnsi="Times New Roman" w:cs="宋体"/>
                <w:bCs/>
                <w:sz w:val="21"/>
                <w:szCs w:val="21"/>
              </w:rPr>
              <w:t>7.71</w:t>
            </w:r>
          </w:p>
        </w:tc>
        <w:tc>
          <w:tcPr>
            <w:tcW w:w="2125"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D6E6D33">
            <w:pPr>
              <w:ind/>
              <w:jc w:val="center"/>
              <w:rPr>
                <w:b w:val="0"/>
                <w:bCs/>
              </w:rPr>
              <w:spacing w:before="60" w:after="60" w:line="320" w:lineRule="exact"/>
            </w:pPr>
            <w:r>
              <w:rPr>
                <w:rFonts w:eastAsia="宋体" w:ascii="Times New Roman" w:hAnsi="Times New Roman" w:cs="宋体"/>
                <w:bCs/>
                <w:sz w:val="21"/>
                <w:szCs w:val="21"/>
              </w:rPr>
              <w:t>76.45</w:t>
            </w:r>
          </w:p>
        </w:tc>
      </w:tr>
      <w:tr w14:paraId="4CE22456">
        <w:trPr/>
        <w:tblPrEx>
          <w:tblCellMar>
            <w:top w:w="0" w:type="dxa"/>
            <w:left w:w="108" w:type="dxa"/>
            <w:bottom w:w="0" w:type="dxa"/>
            <w:right w:w="108" w:type="dxa"/>
          </w:tblCellMar>
        </w:tblPrEx>
        <w:tc>
          <w:tcPr>
            <w:tcW w:w="212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0625FABD">
            <w:pPr>
              <w:ind/>
              <w:jc w:val="center"/>
              <w:spacing w:before="60" w:after="60" w:line="320" w:lineRule="exact"/>
            </w:pPr>
            <w:r>
              <w:rPr>
                <w:rFonts w:eastAsia="宋体" w:ascii="Times New Roman" w:hAnsi="Times New Roman" w:cs="宋体"/>
                <w:sz w:val="21"/>
                <w:szCs w:val="21"/>
              </w:rPr>
              <w:t>6</w:t>
            </w:r>
          </w:p>
        </w:tc>
        <w:tc>
          <w:tcPr>
            <w:tcW w:w="212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7CCF5632">
            <w:pPr>
              <w:ind/>
              <w:jc w:val="center"/>
              <w:spacing w:before="60" w:after="60" w:line="320" w:lineRule="exact"/>
            </w:pPr>
            <w:r>
              <w:rPr>
                <w:rFonts w:eastAsia="宋体" w:ascii="Times New Roman" w:hAnsi="Times New Roman" w:cs="宋体"/>
                <w:sz w:val="21"/>
                <w:szCs w:val="21"/>
              </w:rPr>
              <w:t>1.246</w:t>
            </w:r>
          </w:p>
        </w:tc>
        <w:tc>
          <w:tcPr>
            <w:tcW w:w="212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0BFAEBBC">
            <w:pPr>
              <w:ind/>
              <w:jc w:val="center"/>
              <w:spacing w:before="60" w:after="60" w:line="320" w:lineRule="exact"/>
            </w:pPr>
            <w:r>
              <w:rPr>
                <w:rFonts w:eastAsia="宋体" w:ascii="Times New Roman" w:hAnsi="Times New Roman" w:cs="宋体"/>
                <w:sz w:val="21"/>
                <w:szCs w:val="21"/>
              </w:rPr>
              <w:t>6.78</w:t>
            </w:r>
          </w:p>
        </w:tc>
        <w:tc>
          <w:tcPr>
            <w:tcW w:w="212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53C3D807">
            <w:pPr>
              <w:ind/>
              <w:jc w:val="center"/>
              <w:spacing w:before="60" w:after="60" w:line="320" w:lineRule="exact"/>
            </w:pPr>
            <w:r>
              <w:rPr>
                <w:rFonts w:eastAsia="宋体" w:ascii="Times New Roman" w:hAnsi="Times New Roman" w:cs="宋体"/>
                <w:sz w:val="21"/>
                <w:szCs w:val="21"/>
              </w:rPr>
              <w:t>83.23</w:t>
            </w:r>
          </w:p>
        </w:tc>
      </w:tr>
    </w:tbl>
    <w:p w14:paraId="7347B783">
      <w:pPr>
        <w:spacing w:before="0" w:after="0" w:line="400" w:lineRule="exact"/>
        <w:jc w:val="both"/>
        <w:ind w:firstLine="480"/>
      </w:pPr>
      <w:r>
        <w:rPr>
          <w:rFonts w:eastAsia="宋体" w:ascii="Times New Roman" w:hAnsi="Times New Roman" w:cs="宋体"/>
          <w:sz w:val="24"/>
          <w:szCs w:val="24"/>
        </w:rPr>
        <w:t>由表3-3可知，提取的6个公因子累积方差贡献率达到85.03%，能够充分解释原始变量信息。旋转后各因子载荷矩阵如表3-4所示。</w:t>
      </w:r>
    </w:p>
    <w:p w14:paraId="38B1E6F2">
      <w:pPr>
        <w:pStyle w:val="12"/>
        <w:jc w:val="center"/>
        <w:spacing w:before="120" w:after="120" w:line="400" w:lineRule="exact"/>
        <w:ind/>
      </w:pPr>
      <w:r>
        <w:rPr>
          <w:b/>
          <w:rFonts w:eastAsia="宋体" w:ascii="Times New Roman" w:hAnsi="Times New Roman" w:cs="宋体"/>
          <w:sz w:val="21"/>
          <w:szCs w:val="21"/>
        </w:rPr>
        <w:t>表3-4 旋转后成分矩阵（6因子Varimax旋转）</w:t>
      </w:r>
    </w:p>
    <w:tbl>
      <w:tblPr>
        <w:tblStyle w:val="33"/>
        <w:tblW w:w="8552" w:type="dxa"/>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6"/>
        <w:gridCol w:w="1236"/>
        <w:gridCol w:w="1236"/>
        <w:gridCol w:w="1236"/>
        <w:gridCol w:w="1236"/>
        <w:gridCol w:w="1236"/>
        <w:gridCol w:w="1236"/>
      </w:tblGrid>
      <w:tr w14:paraId="12034F91">
        <w:trPr/>
        <w:tblPrEx>
          <w:tblCellMar>
            <w:top w:w="0" w:type="dxa"/>
            <w:left w:w="108" w:type="dxa"/>
            <w:bottom w:w="0" w:type="dxa"/>
            <w:right w:w="108" w:type="dxa"/>
          </w:tblCellMar>
        </w:tblPrEx>
        <w:tc>
          <w:tcPr>
            <w:tcW w:w="11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21690D1A">
            <w:pPr>
              <w:ind/>
              <w:jc w:val="center"/>
              <w:rPr>
                <w:b w:val="0"/>
                <w:bCs/>
              </w:rPr>
              <w:spacing w:before="60" w:after="60" w:line="320" w:lineRule="exact"/>
            </w:pPr>
            <w:r>
              <w:rPr>
                <w:rFonts w:eastAsia="宋体" w:ascii="Times New Roman" w:hAnsi="Times New Roman" w:cs="宋体"/>
                <w:b w:val="0"/>
                <w:bCs/>
                <w:sz w:val="21"/>
                <w:szCs w:val="21"/>
              </w:rPr>
              <w:t>题项</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889312E">
            <w:pPr>
              <w:ind/>
              <w:jc w:val="center"/>
              <w:rPr>
                <w:b w:val="0"/>
                <w:bCs/>
              </w:rPr>
              <w:spacing w:before="60" w:after="60" w:line="320" w:lineRule="exact"/>
            </w:pPr>
            <w:r>
              <w:rPr>
                <w:rFonts w:eastAsia="宋体" w:ascii="Times New Roman" w:hAnsi="Times New Roman" w:cs="宋体"/>
                <w:b w:val="0"/>
                <w:bCs/>
                <w:sz w:val="21"/>
                <w:szCs w:val="21"/>
              </w:rPr>
              <w:t>F1</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E8F0230">
            <w:pPr>
              <w:ind/>
              <w:jc w:val="center"/>
              <w:rPr>
                <w:b w:val="0"/>
                <w:bCs/>
              </w:rPr>
              <w:spacing w:before="60" w:after="60" w:line="320" w:lineRule="exact"/>
            </w:pPr>
            <w:r>
              <w:rPr>
                <w:rFonts w:eastAsia="宋体" w:ascii="Times New Roman" w:hAnsi="Times New Roman" w:cs="宋体"/>
                <w:b w:val="0"/>
                <w:bCs/>
                <w:sz w:val="21"/>
                <w:szCs w:val="21"/>
              </w:rPr>
              <w:t>F2</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0C0A1B2">
            <w:pPr>
              <w:ind/>
              <w:jc w:val="center"/>
              <w:rPr>
                <w:b w:val="0"/>
                <w:bCs/>
              </w:rPr>
              <w:spacing w:before="60" w:after="60" w:line="320" w:lineRule="exact"/>
            </w:pPr>
            <w:r>
              <w:rPr>
                <w:rFonts w:eastAsia="宋体" w:ascii="Times New Roman" w:hAnsi="Times New Roman" w:cs="宋体"/>
                <w:b w:val="0"/>
                <w:bCs/>
                <w:sz w:val="21"/>
                <w:szCs w:val="21"/>
              </w:rPr>
              <w:t>F3</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ADA0FD8">
            <w:pPr>
              <w:ind/>
              <w:jc w:val="center"/>
              <w:rPr>
                <w:b w:val="0"/>
                <w:bCs/>
              </w:rPr>
              <w:spacing w:before="60" w:after="60" w:line="320" w:lineRule="exact"/>
            </w:pPr>
            <w:r>
              <w:rPr>
                <w:rFonts w:eastAsia="宋体" w:ascii="Times New Roman" w:hAnsi="Times New Roman" w:cs="宋体"/>
                <w:b w:val="0"/>
                <w:bCs/>
                <w:sz w:val="21"/>
                <w:szCs w:val="21"/>
              </w:rPr>
              <w:t>F4</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E55E162">
            <w:pPr>
              <w:ind/>
              <w:jc w:val="center"/>
              <w:rPr>
                <w:b w:val="0"/>
                <w:bCs/>
              </w:rPr>
              <w:spacing w:before="60" w:after="60" w:line="320" w:lineRule="exact"/>
            </w:pPr>
            <w:r>
              <w:rPr>
                <w:rFonts w:eastAsia="宋体" w:ascii="Times New Roman" w:hAnsi="Times New Roman" w:cs="宋体"/>
                <w:b w:val="0"/>
                <w:bCs/>
                <w:sz w:val="21"/>
                <w:szCs w:val="21"/>
              </w:rPr>
              <w:t>F5</w:t>
            </w:r>
          </w:p>
        </w:tc>
        <w:tc>
          <w:tcPr>
            <w:tcW w:w="1236" w:type="dxa"/>
            <w:shd w:val="clear" w:color="auto" w:fill="auto"/>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490DB1C">
            <w:pPr>
              <w:ind/>
              <w:jc w:val="center"/>
              <w:rPr>
                <w:b w:val="0"/>
                <w:bCs/>
              </w:rPr>
              <w:spacing w:before="60" w:after="60" w:line="320" w:lineRule="exact"/>
            </w:pPr>
            <w:r>
              <w:rPr>
                <w:rFonts w:eastAsia="宋体" w:ascii="Times New Roman" w:hAnsi="Times New Roman" w:cs="宋体"/>
                <w:b w:val="0"/>
                <w:bCs/>
                <w:sz w:val="21"/>
                <w:szCs w:val="21"/>
              </w:rPr>
              <w:t>F6</w:t>
            </w:r>
          </w:p>
        </w:tc>
      </w:tr>
      <w:tr w14:paraId="44EF0B8B">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E6AF08C">
            <w:pPr>
              <w:ind/>
              <w:jc w:val="center"/>
              <w:rPr>
                <w:b w:val="0"/>
                <w:bCs/>
              </w:rPr>
              <w:spacing w:before="60" w:after="60" w:line="320" w:lineRule="exact"/>
            </w:pPr>
            <w:r>
              <w:rPr>
                <w:rFonts w:eastAsia="宋体" w:ascii="Times New Roman" w:hAnsi="Times New Roman" w:cs="宋体"/>
                <w:bCs/>
                <w:sz w:val="21"/>
                <w:szCs w:val="21"/>
              </w:rPr>
              <w:t>GP1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491897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CB2771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B3A1940">
            <w:pPr>
              <w:ind/>
              <w:jc w:val="center"/>
              <w:rPr>
                <w:b w:val="0"/>
                <w:bCs/>
              </w:rPr>
              <w:spacing w:before="60" w:after="60" w:line="320" w:lineRule="exact"/>
            </w:pPr>
            <w:r>
              <w:rPr>
                <w:rFonts w:eastAsia="宋体" w:ascii="Times New Roman" w:hAnsi="Times New Roman" w:cs="宋体"/>
                <w:bCs/>
                <w:sz w:val="21"/>
                <w:szCs w:val="21"/>
              </w:rPr>
              <w:t>0.919</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63FEBEB">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879DBE3">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008C4CA">
            <w:pPr>
              <w:ind/>
              <w:jc w:val="center"/>
              <w:rPr>
                <w:b w:val="0"/>
                <w:bCs/>
              </w:rPr>
              <w:spacing w:before="60" w:after="60" w:line="320" w:lineRule="exact"/>
            </w:pPr>
          </w:p>
        </w:tc>
      </w:tr>
      <w:tr w14:paraId="1BABD0AC">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547B67F">
            <w:pPr>
              <w:ind/>
              <w:jc w:val="center"/>
              <w:rPr>
                <w:b w:val="0"/>
                <w:bCs/>
              </w:rPr>
              <w:spacing w:before="60" w:after="60" w:line="320" w:lineRule="exact"/>
            </w:pPr>
            <w:r>
              <w:rPr>
                <w:rFonts w:eastAsia="宋体" w:ascii="Times New Roman" w:hAnsi="Times New Roman" w:cs="宋体"/>
                <w:bCs/>
                <w:sz w:val="21"/>
                <w:szCs w:val="21"/>
              </w:rPr>
              <w:t>GP2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E69BA9E">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AEC28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B99CC86">
            <w:pPr>
              <w:ind/>
              <w:jc w:val="center"/>
              <w:rPr>
                <w:b w:val="0"/>
                <w:bCs/>
              </w:rPr>
              <w:spacing w:before="60" w:after="60" w:line="320" w:lineRule="exact"/>
            </w:pPr>
            <w:r>
              <w:rPr>
                <w:rFonts w:eastAsia="宋体" w:ascii="Times New Roman" w:hAnsi="Times New Roman" w:cs="宋体"/>
                <w:bCs/>
                <w:sz w:val="21"/>
                <w:szCs w:val="21"/>
              </w:rPr>
              <w:t>0.863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D1E079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12382F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527F853">
            <w:pPr>
              <w:ind/>
              <w:jc w:val="center"/>
              <w:rPr>
                <w:b w:val="0"/>
                <w:bCs/>
              </w:rPr>
              <w:spacing w:before="60" w:after="60" w:line="320" w:lineRule="exact"/>
            </w:pPr>
          </w:p>
        </w:tc>
      </w:tr>
      <w:tr w14:paraId="21F27997">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3F700E9">
            <w:pPr>
              <w:ind/>
              <w:jc w:val="center"/>
              <w:rPr>
                <w:b w:val="0"/>
                <w:bCs/>
              </w:rPr>
              <w:spacing w:before="60" w:after="60" w:line="320" w:lineRule="exact"/>
            </w:pPr>
            <w:r>
              <w:rPr>
                <w:rFonts w:eastAsia="宋体" w:ascii="Times New Roman" w:hAnsi="Times New Roman" w:cs="宋体"/>
                <w:bCs/>
                <w:sz w:val="21"/>
                <w:szCs w:val="21"/>
              </w:rPr>
              <w:t>GP3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08D4D61">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A982F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02B7502">
            <w:pPr>
              <w:ind/>
              <w:jc w:val="center"/>
              <w:rPr>
                <w:b w:val="0"/>
                <w:bCs/>
              </w:rPr>
              <w:spacing w:before="60" w:after="60" w:line="320" w:lineRule="exact"/>
            </w:pPr>
            <w:r>
              <w:rPr>
                <w:rFonts w:eastAsia="宋体" w:ascii="Times New Roman" w:hAnsi="Times New Roman" w:cs="宋体"/>
                <w:bCs/>
                <w:sz w:val="21"/>
                <w:szCs w:val="21"/>
              </w:rPr>
              <w:t>0.824</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FC6B7B8">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B9F9B2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43CF4EB">
            <w:pPr>
              <w:ind/>
              <w:jc w:val="center"/>
              <w:rPr>
                <w:b w:val="0"/>
                <w:bCs/>
              </w:rPr>
              <w:spacing w:before="60" w:after="60" w:line="320" w:lineRule="exact"/>
            </w:pPr>
          </w:p>
        </w:tc>
      </w:tr>
      <w:tr w14:paraId="179270DC">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E5D4115">
            <w:pPr>
              <w:ind/>
              <w:jc w:val="center"/>
              <w:rPr>
                <w:b w:val="0"/>
                <w:bCs/>
              </w:rPr>
              <w:spacing w:before="60" w:after="60" w:line="320" w:lineRule="exact"/>
            </w:pPr>
            <w:r>
              <w:rPr>
                <w:rFonts w:eastAsia="宋体" w:ascii="Times New Roman" w:hAnsi="Times New Roman" w:cs="宋体"/>
                <w:bCs/>
                <w:sz w:val="21"/>
                <w:szCs w:val="21"/>
              </w:rPr>
              <w:t>TS1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CB94ABB">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A547A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3C160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A30A9C4">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F6981C4">
            <w:pPr>
              <w:ind/>
              <w:jc w:val="center"/>
              <w:rPr>
                <w:b w:val="0"/>
                <w:bCs/>
              </w:rPr>
              <w:spacing w:before="60" w:after="60" w:line="320" w:lineRule="exact"/>
            </w:pPr>
            <w:r>
              <w:rPr>
                <w:rFonts w:eastAsia="宋体" w:ascii="Times New Roman" w:hAnsi="Times New Roman" w:cs="宋体"/>
                <w:bCs/>
                <w:sz w:val="21"/>
                <w:szCs w:val="21"/>
              </w:rPr>
              <w:t>0.876</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E04114A">
            <w:pPr>
              <w:ind/>
              <w:jc w:val="center"/>
              <w:rPr>
                <w:b w:val="0"/>
                <w:bCs/>
              </w:rPr>
              <w:spacing w:before="60" w:after="60" w:line="320" w:lineRule="exact"/>
            </w:pPr>
          </w:p>
        </w:tc>
      </w:tr>
      <w:tr w14:paraId="385A90C8">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AA66AA1">
            <w:pPr>
              <w:ind/>
              <w:jc w:val="center"/>
              <w:rPr>
                <w:b w:val="0"/>
                <w:bCs/>
              </w:rPr>
              <w:spacing w:before="60" w:after="60" w:line="320" w:lineRule="exact"/>
            </w:pPr>
            <w:r>
              <w:rPr>
                <w:rFonts w:eastAsia="宋体" w:ascii="Times New Roman" w:hAnsi="Times New Roman" w:cs="宋体"/>
                <w:bCs/>
                <w:sz w:val="21"/>
                <w:szCs w:val="21"/>
              </w:rPr>
              <w:t>TS2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505ABD8">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81DD71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EADB2A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E7B4BA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49A36FE">
            <w:pPr>
              <w:ind/>
              <w:jc w:val="center"/>
              <w:rPr>
                <w:b w:val="0"/>
                <w:bCs/>
              </w:rPr>
              <w:spacing w:before="60" w:after="60" w:line="320" w:lineRule="exact"/>
            </w:pPr>
            <w:r>
              <w:rPr>
                <w:rFonts w:eastAsia="宋体" w:ascii="Times New Roman" w:hAnsi="Times New Roman" w:cs="宋体"/>
                <w:bCs/>
                <w:sz w:val="21"/>
                <w:szCs w:val="21"/>
              </w:rPr>
              <w:t>0.829</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7C6CD4">
            <w:pPr>
              <w:ind/>
              <w:jc w:val="center"/>
              <w:rPr>
                <w:b w:val="0"/>
                <w:bCs/>
              </w:rPr>
              <w:spacing w:before="60" w:after="60" w:line="320" w:lineRule="exact"/>
            </w:pPr>
          </w:p>
        </w:tc>
      </w:tr>
      <w:tr w14:paraId="20882EE3">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AF8530A">
            <w:pPr>
              <w:ind/>
              <w:jc w:val="center"/>
              <w:rPr>
                <w:b w:val="0"/>
                <w:bCs/>
              </w:rPr>
              <w:spacing w:before="60" w:after="60" w:line="320" w:lineRule="exact"/>
            </w:pPr>
            <w:r>
              <w:rPr>
                <w:rFonts w:eastAsia="宋体" w:ascii="Times New Roman" w:hAnsi="Times New Roman" w:cs="宋体"/>
                <w:bCs/>
                <w:sz w:val="21"/>
                <w:szCs w:val="21"/>
              </w:rPr>
              <w:t>TS3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66248C1">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35BD10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0D6F8B3">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5D531B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BFEAF84">
            <w:pPr>
              <w:ind/>
              <w:jc w:val="center"/>
              <w:rPr>
                <w:b w:val="0"/>
                <w:bCs/>
              </w:rPr>
              <w:spacing w:before="60" w:after="60" w:line="320" w:lineRule="exact"/>
            </w:pPr>
            <w:r>
              <w:rPr>
                <w:rFonts w:eastAsia="宋体" w:ascii="Times New Roman" w:hAnsi="Times New Roman" w:cs="宋体"/>
                <w:bCs/>
                <w:sz w:val="21"/>
                <w:szCs w:val="21"/>
              </w:rPr>
              <w:t>0.832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DBF3C30">
            <w:pPr>
              <w:ind/>
              <w:jc w:val="center"/>
              <w:rPr>
                <w:b w:val="0"/>
                <w:bCs/>
              </w:rPr>
              <w:spacing w:before="60" w:after="60" w:line="320" w:lineRule="exact"/>
            </w:pPr>
          </w:p>
        </w:tc>
      </w:tr>
      <w:tr w14:paraId="1C8D1ECB">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1F2CCBA">
            <w:pPr>
              <w:ind/>
              <w:jc w:val="center"/>
              <w:rPr>
                <w:b w:val="0"/>
                <w:bCs/>
              </w:rPr>
              <w:spacing w:before="60" w:after="60" w:line="320" w:lineRule="exact"/>
            </w:pPr>
            <w:r>
              <w:rPr>
                <w:rFonts w:eastAsia="宋体" w:ascii="Times New Roman" w:hAnsi="Times New Roman" w:cs="宋体"/>
                <w:bCs/>
                <w:sz w:val="21"/>
                <w:szCs w:val="21"/>
              </w:rPr>
              <w:t>IF1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87ED56F">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FD4164">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05D8BC9">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DF0444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42ACBF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C20AC56">
            <w:pPr>
              <w:ind/>
              <w:jc w:val="center"/>
              <w:rPr>
                <w:b w:val="0"/>
                <w:bCs/>
              </w:rPr>
              <w:spacing w:before="60" w:after="60" w:line="320" w:lineRule="exact"/>
            </w:pPr>
            <w:r>
              <w:rPr>
                <w:rFonts w:eastAsia="宋体" w:ascii="Times New Roman" w:hAnsi="Times New Roman" w:cs="宋体"/>
                <w:bCs/>
                <w:sz w:val="21"/>
                <w:szCs w:val="21"/>
              </w:rPr>
              <w:t>0.915</w:t>
            </w:r>
          </w:p>
        </w:tc>
      </w:tr>
      <w:tr w14:paraId="7C013889">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5742B92">
            <w:pPr>
              <w:ind/>
              <w:jc w:val="center"/>
              <w:rPr>
                <w:b w:val="0"/>
                <w:bCs/>
              </w:rPr>
              <w:spacing w:before="60" w:after="60" w:line="320" w:lineRule="exact"/>
            </w:pPr>
            <w:r>
              <w:rPr>
                <w:rFonts w:eastAsia="宋体" w:ascii="Times New Roman" w:hAnsi="Times New Roman" w:cs="宋体"/>
                <w:bCs/>
                <w:sz w:val="21"/>
                <w:szCs w:val="21"/>
              </w:rPr>
              <w:t>IF2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04272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AF2677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4A0385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B124DD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36C0CF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DE0DB44">
            <w:pPr>
              <w:ind/>
              <w:jc w:val="center"/>
              <w:rPr>
                <w:b w:val="0"/>
                <w:bCs/>
              </w:rPr>
              <w:spacing w:before="60" w:after="60" w:line="320" w:lineRule="exact"/>
            </w:pPr>
            <w:r>
              <w:rPr>
                <w:rFonts w:eastAsia="宋体" w:ascii="Times New Roman" w:hAnsi="Times New Roman" w:cs="宋体"/>
                <w:bCs/>
                <w:sz w:val="21"/>
                <w:szCs w:val="21"/>
              </w:rPr>
              <w:t>0.854</w:t>
            </w:r>
          </w:p>
        </w:tc>
      </w:tr>
      <w:tr w14:paraId="1C2FE4AE">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8E3206A">
            <w:pPr>
              <w:ind/>
              <w:jc w:val="center"/>
              <w:rPr>
                <w:b w:val="0"/>
                <w:bCs/>
              </w:rPr>
              <w:spacing w:before="60" w:after="60" w:line="320" w:lineRule="exact"/>
            </w:pPr>
            <w:r>
              <w:rPr>
                <w:rFonts w:eastAsia="宋体" w:ascii="Times New Roman" w:hAnsi="Times New Roman" w:cs="宋体"/>
                <w:bCs/>
                <w:sz w:val="21"/>
                <w:szCs w:val="21"/>
              </w:rPr>
              <w:t>IF3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4197789">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2503CB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556FF2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DBBC832">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6E28E0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98F67BC">
            <w:pPr>
              <w:ind/>
              <w:jc w:val="center"/>
              <w:rPr>
                <w:b w:val="0"/>
                <w:bCs/>
              </w:rPr>
              <w:spacing w:before="60" w:after="60" w:line="320" w:lineRule="exact"/>
            </w:pPr>
            <w:r>
              <w:rPr>
                <w:rFonts w:eastAsia="宋体" w:ascii="Times New Roman" w:hAnsi="Times New Roman" w:cs="宋体"/>
                <w:bCs/>
                <w:sz w:val="21"/>
                <w:szCs w:val="21"/>
              </w:rPr>
              <w:t>0.907</w:t>
            </w:r>
          </w:p>
        </w:tc>
      </w:tr>
      <w:tr w14:paraId="6353DE83">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78E39C3">
            <w:pPr>
              <w:ind/>
              <w:jc w:val="center"/>
              <w:rPr>
                <w:b w:val="0"/>
                <w:bCs/>
              </w:rPr>
              <w:spacing w:before="60" w:after="60" w:line="320" w:lineRule="exact"/>
            </w:pPr>
            <w:r>
              <w:rPr>
                <w:rFonts w:eastAsia="宋体" w:ascii="Times New Roman" w:hAnsi="Times New Roman" w:cs="宋体"/>
                <w:bCs/>
                <w:sz w:val="21"/>
                <w:szCs w:val="21"/>
              </w:rPr>
              <w:t>TI1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99CB836">
            <w:pPr>
              <w:ind/>
              <w:jc w:val="center"/>
              <w:rPr>
                <w:b w:val="0"/>
                <w:bCs/>
              </w:rPr>
              <w:spacing w:before="60" w:after="60" w:line="320" w:lineRule="exact"/>
            </w:pPr>
            <w:r>
              <w:rPr>
                <w:rFonts w:eastAsia="宋体" w:ascii="Times New Roman" w:hAnsi="Times New Roman" w:cs="宋体"/>
                <w:bCs/>
                <w:sz w:val="21"/>
                <w:szCs w:val="21"/>
              </w:rPr>
              <w:t>0.762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B9F02C8">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CD99B7B">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EC5D8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624931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927BBF5">
            <w:pPr>
              <w:ind/>
              <w:jc w:val="center"/>
              <w:rPr>
                <w:b w:val="0"/>
                <w:bCs/>
              </w:rPr>
              <w:spacing w:before="60" w:after="60" w:line="320" w:lineRule="exact"/>
            </w:pPr>
          </w:p>
        </w:tc>
      </w:tr>
      <w:tr w14:paraId="63E4C89E">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4393AE0">
            <w:pPr>
              <w:ind/>
              <w:jc w:val="center"/>
              <w:rPr>
                <w:b w:val="0"/>
                <w:bCs/>
              </w:rPr>
              <w:spacing w:before="60" w:after="60" w:line="320" w:lineRule="exact"/>
            </w:pPr>
            <w:r>
              <w:rPr>
                <w:rFonts w:eastAsia="宋体" w:ascii="Times New Roman" w:hAnsi="Times New Roman" w:cs="宋体"/>
                <w:bCs/>
                <w:sz w:val="21"/>
                <w:szCs w:val="21"/>
              </w:rPr>
              <w:t>TI2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5DD100A">
            <w:pPr>
              <w:ind/>
              <w:jc w:val="center"/>
              <w:rPr>
                <w:b w:val="0"/>
                <w:bCs/>
              </w:rPr>
              <w:spacing w:before="60" w:after="60" w:line="320" w:lineRule="exact"/>
            </w:pPr>
            <w:r>
              <w:rPr>
                <w:rFonts w:eastAsia="宋体" w:ascii="Times New Roman" w:hAnsi="Times New Roman" w:cs="宋体"/>
                <w:bCs/>
                <w:sz w:val="21"/>
                <w:szCs w:val="21"/>
              </w:rPr>
              <w:t>0.889</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704ADD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365656F">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909E46C">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93EDF4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2DD6797">
            <w:pPr>
              <w:ind/>
              <w:jc w:val="center"/>
              <w:rPr>
                <w:b w:val="0"/>
                <w:bCs/>
              </w:rPr>
              <w:spacing w:before="60" w:after="60" w:line="320" w:lineRule="exact"/>
            </w:pPr>
          </w:p>
        </w:tc>
      </w:tr>
      <w:tr w14:paraId="47C43166">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60E465C">
            <w:pPr>
              <w:ind/>
              <w:jc w:val="center"/>
              <w:rPr>
                <w:b w:val="0"/>
                <w:bCs/>
              </w:rPr>
              <w:spacing w:before="60" w:after="60" w:line="320" w:lineRule="exact"/>
            </w:pPr>
            <w:r>
              <w:rPr>
                <w:rFonts w:eastAsia="宋体" w:ascii="Times New Roman" w:hAnsi="Times New Roman" w:cs="宋体"/>
                <w:bCs/>
                <w:sz w:val="21"/>
                <w:szCs w:val="21"/>
              </w:rPr>
              <w:t>TI3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9542455">
            <w:pPr>
              <w:ind/>
              <w:jc w:val="center"/>
              <w:rPr>
                <w:b w:val="0"/>
                <w:bCs/>
              </w:rPr>
              <w:spacing w:before="60" w:after="60" w:line="320" w:lineRule="exact"/>
            </w:pPr>
            <w:r>
              <w:rPr>
                <w:rFonts w:eastAsia="宋体" w:ascii="Times New Roman" w:hAnsi="Times New Roman" w:cs="宋体"/>
                <w:bCs/>
                <w:sz w:val="21"/>
                <w:szCs w:val="21"/>
              </w:rPr>
              <w:t>0.904</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EC09DB1">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5063B0">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7B606B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49A3A8A">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AAF991">
            <w:pPr>
              <w:ind/>
              <w:jc w:val="center"/>
              <w:rPr>
                <w:b w:val="0"/>
                <w:bCs/>
              </w:rPr>
              <w:spacing w:before="60" w:after="60" w:line="320" w:lineRule="exact"/>
            </w:pPr>
          </w:p>
        </w:tc>
      </w:tr>
      <w:tr w14:paraId="3786E849">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8C099E">
            <w:pPr>
              <w:ind/>
              <w:jc w:val="center"/>
              <w:rPr>
                <w:b w:val="0"/>
                <w:bCs/>
              </w:rPr>
              <w:spacing w:before="60" w:after="60" w:line="320" w:lineRule="exact"/>
            </w:pPr>
            <w:r>
              <w:rPr>
                <w:rFonts w:eastAsia="宋体" w:ascii="Times New Roman" w:hAnsi="Times New Roman" w:cs="宋体"/>
                <w:bCs/>
                <w:sz w:val="21"/>
                <w:szCs w:val="21"/>
              </w:rPr>
              <w:t>DS1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50EAAF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17A7700">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AF9DB8F">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565024D">
            <w:pPr>
              <w:ind/>
              <w:jc w:val="center"/>
              <w:rPr>
                <w:b w:val="0"/>
                <w:bCs/>
              </w:rPr>
              <w:spacing w:before="60" w:after="60" w:line="320" w:lineRule="exact"/>
            </w:pPr>
            <w:r>
              <w:rPr>
                <w:rFonts w:eastAsia="宋体" w:ascii="Times New Roman" w:hAnsi="Times New Roman" w:cs="宋体"/>
                <w:bCs/>
                <w:sz w:val="21"/>
                <w:szCs w:val="21"/>
              </w:rPr>
              <w:t>0.891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024A14">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6BBD524">
            <w:pPr>
              <w:ind/>
              <w:jc w:val="center"/>
              <w:rPr>
                <w:b w:val="0"/>
                <w:bCs/>
              </w:rPr>
              <w:spacing w:before="60" w:after="60" w:line="320" w:lineRule="exact"/>
            </w:pPr>
          </w:p>
        </w:tc>
      </w:tr>
      <w:tr w14:paraId="102D6742">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3107604">
            <w:pPr>
              <w:ind/>
              <w:jc w:val="center"/>
              <w:rPr>
                <w:b w:val="0"/>
                <w:bCs/>
              </w:rPr>
              <w:spacing w:before="60" w:after="60" w:line="320" w:lineRule="exact"/>
            </w:pPr>
            <w:r>
              <w:rPr>
                <w:rFonts w:eastAsia="宋体" w:ascii="Times New Roman" w:hAnsi="Times New Roman" w:cs="宋体"/>
                <w:bCs/>
                <w:sz w:val="21"/>
                <w:szCs w:val="21"/>
              </w:rPr>
              <w:t>DS2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F670FE3">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14717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6B8DFF">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E6F860E">
            <w:pPr>
              <w:ind/>
              <w:jc w:val="center"/>
              <w:rPr>
                <w:b w:val="0"/>
                <w:bCs/>
              </w:rPr>
              <w:spacing w:before="60" w:after="60" w:line="320" w:lineRule="exact"/>
            </w:pPr>
            <w:r>
              <w:rPr>
                <w:rFonts w:eastAsia="宋体" w:ascii="Times New Roman" w:hAnsi="Times New Roman" w:cs="宋体"/>
                <w:bCs/>
                <w:sz w:val="21"/>
                <w:szCs w:val="21"/>
              </w:rPr>
              <w:t>0.905</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3843D3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74F563F">
            <w:pPr>
              <w:ind/>
              <w:jc w:val="center"/>
              <w:rPr>
                <w:b w:val="0"/>
                <w:bCs/>
              </w:rPr>
              <w:spacing w:before="60" w:after="60" w:line="320" w:lineRule="exact"/>
            </w:pPr>
          </w:p>
        </w:tc>
      </w:tr>
      <w:tr w14:paraId="231C04D6">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6219E8E">
            <w:pPr>
              <w:ind/>
              <w:jc w:val="center"/>
              <w:rPr>
                <w:b w:val="0"/>
                <w:bCs/>
              </w:rPr>
              <w:spacing w:before="60" w:after="60" w:line="320" w:lineRule="exact"/>
            </w:pPr>
            <w:r>
              <w:rPr>
                <w:rFonts w:eastAsia="宋体" w:ascii="Times New Roman" w:hAnsi="Times New Roman" w:cs="宋体"/>
                <w:bCs/>
                <w:sz w:val="21"/>
                <w:szCs w:val="21"/>
              </w:rPr>
              <w:t>DS3</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7D3A498">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36B61DB">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3955FD">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A62A935">
            <w:pPr>
              <w:ind/>
              <w:jc w:val="center"/>
              <w:rPr>
                <w:b w:val="0"/>
                <w:bCs/>
              </w:rPr>
              <w:spacing w:before="60" w:after="60" w:line="320" w:lineRule="exact"/>
            </w:pPr>
            <w:r>
              <w:rPr>
                <w:rFonts w:eastAsia="宋体" w:ascii="Times New Roman" w:hAnsi="Times New Roman" w:cs="宋体"/>
                <w:bCs/>
                <w:sz w:val="21"/>
                <w:szCs w:val="21"/>
              </w:rPr>
              <w:t>0.887</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2CA4EDE">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737A591">
            <w:pPr>
              <w:ind/>
              <w:jc w:val="center"/>
              <w:rPr>
                <w:b w:val="0"/>
                <w:bCs/>
              </w:rPr>
              <w:spacing w:before="60" w:after="60" w:line="320" w:lineRule="exact"/>
            </w:pPr>
          </w:p>
        </w:tc>
      </w:tr>
      <w:tr w14:paraId="2A9D477D">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62392AA">
            <w:pPr>
              <w:ind/>
              <w:jc w:val="center"/>
              <w:rPr>
                <w:b w:val="0"/>
                <w:bCs/>
              </w:rPr>
              <w:spacing w:before="60" w:after="60" w:line="320" w:lineRule="exact"/>
            </w:pPr>
            <w:r>
              <w:rPr>
                <w:rFonts w:eastAsia="宋体" w:ascii="Times New Roman" w:hAnsi="Times New Roman" w:cs="宋体"/>
                <w:bCs/>
                <w:sz w:val="21"/>
                <w:szCs w:val="21"/>
              </w:rPr>
              <w:t>EN1</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410D1B2">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95C842F">
            <w:pPr>
              <w:ind/>
              <w:jc w:val="center"/>
              <w:rPr>
                <w:b w:val="0"/>
                <w:bCs/>
              </w:rPr>
              <w:spacing w:before="60" w:after="60" w:line="320" w:lineRule="exact"/>
            </w:pPr>
            <w:r>
              <w:rPr>
                <w:rFonts w:eastAsia="宋体" w:ascii="Times New Roman" w:hAnsi="Times New Roman" w:cs="宋体"/>
                <w:bCs/>
                <w:sz w:val="21"/>
                <w:szCs w:val="21"/>
              </w:rPr>
              <w:t>0.860</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F0ED9BF">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A883FB2">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5D68209">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1C50AC">
            <w:pPr>
              <w:ind/>
              <w:jc w:val="center"/>
              <w:rPr>
                <w:b w:val="0"/>
                <w:bCs/>
              </w:rPr>
              <w:spacing w:before="60" w:after="60" w:line="320" w:lineRule="exact"/>
            </w:pPr>
          </w:p>
        </w:tc>
      </w:tr>
      <w:tr w14:paraId="49CFD2BD">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1D8DA1D">
            <w:pPr>
              <w:ind/>
              <w:jc w:val="center"/>
              <w:rPr>
                <w:b w:val="0"/>
                <w:bCs/>
              </w:rPr>
              <w:spacing w:before="60" w:after="60" w:line="320" w:lineRule="exact"/>
            </w:pPr>
            <w:r>
              <w:rPr>
                <w:rFonts w:eastAsia="宋体" w:ascii="Times New Roman" w:hAnsi="Times New Roman" w:cs="宋体"/>
                <w:bCs/>
                <w:sz w:val="21"/>
                <w:szCs w:val="21"/>
              </w:rPr>
              <w:t>EN2</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F75E2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42ED530">
            <w:pPr>
              <w:ind/>
              <w:jc w:val="center"/>
              <w:rPr>
                <w:b w:val="0"/>
                <w:bCs/>
              </w:rPr>
              <w:spacing w:before="60" w:after="60" w:line="320" w:lineRule="exact"/>
            </w:pPr>
            <w:r>
              <w:rPr>
                <w:rFonts w:eastAsia="宋体" w:ascii="Times New Roman" w:hAnsi="Times New Roman" w:cs="宋体"/>
                <w:bCs/>
                <w:sz w:val="21"/>
                <w:szCs w:val="21"/>
              </w:rPr>
              <w:t>0.870</w:t>
            </w: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CBBCD1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23B0105">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EBF3186">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2311FEB">
            <w:pPr>
              <w:ind/>
              <w:jc w:val="center"/>
              <w:rPr>
                <w:b w:val="0"/>
                <w:bCs/>
              </w:rPr>
              <w:spacing w:before="60" w:after="60" w:line="320" w:lineRule="exact"/>
            </w:pPr>
          </w:p>
        </w:tc>
      </w:tr>
      <w:tr w14:paraId="518EE7E4">
        <w:trPr/>
        <w:tblPrEx>
          <w:tblCellMar>
            <w:top w:w="0" w:type="dxa"/>
            <w:left w:w="108" w:type="dxa"/>
            <w:bottom w:w="0" w:type="dxa"/>
            <w:right w:w="108" w:type="dxa"/>
          </w:tblCellMar>
        </w:tblPrEx>
        <w:tc>
          <w:tcPr>
            <w:tcW w:w="11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466F3AF">
            <w:pPr>
              <w:ind/>
              <w:jc w:val="center"/>
              <w:rPr>
                <w:b w:val="0"/>
                <w:bCs/>
              </w:rPr>
              <w:spacing w:before="60" w:after="60" w:line="320" w:lineRule="exact"/>
            </w:pPr>
            <w:r>
              <w:rPr>
                <w:rFonts w:eastAsia="宋体" w:ascii="Times New Roman" w:hAnsi="Times New Roman" w:cs="宋体"/>
                <w:bCs/>
                <w:sz w:val="21"/>
                <w:szCs w:val="21"/>
              </w:rPr>
              <w:t>EN3</w:t>
            </w: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51554950">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43680B25">
            <w:pPr>
              <w:ind/>
              <w:jc w:val="center"/>
              <w:rPr>
                <w:b w:val="0"/>
                <w:bCs/>
              </w:rPr>
              <w:spacing w:before="60" w:after="60" w:line="320" w:lineRule="exact"/>
            </w:pPr>
            <w:r>
              <w:rPr>
                <w:rFonts w:eastAsia="宋体" w:ascii="Times New Roman" w:hAnsi="Times New Roman" w:cs="宋体"/>
                <w:bCs/>
                <w:sz w:val="21"/>
                <w:szCs w:val="21"/>
              </w:rPr>
              <w:t>0.884</w:t>
            </w: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AA67D03">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B1FB817">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11A6B33">
            <w:pPr>
              <w:ind/>
              <w:jc w:val="center"/>
              <w:rPr>
                <w:b w:val="0"/>
                <w:bCs/>
              </w:rPr>
              <w:spacing w:before="60" w:after="60" w:line="320" w:lineRule="exact"/>
            </w:pPr>
          </w:p>
        </w:tc>
        <w:tc>
          <w:tcPr>
            <w:tcW w:w="1236" w:type="dxa"/>
            <w:shd w:val="clear" w:color="auto" w:fill="auto"/>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74DEF881">
            <w:pPr>
              <w:ind/>
              <w:jc w:val="center"/>
              <w:rPr>
                <w:b w:val="0"/>
                <w:bCs/>
              </w:rPr>
              <w:spacing w:before="60" w:after="60" w:line="320" w:lineRule="exact"/>
            </w:pPr>
          </w:p>
        </w:tc>
      </w:tr>
    </w:tbl>
    <w:p w14:paraId="08598A93">
      <w:pPr>
        <w:spacing w:before="0" w:after="0" w:line="400" w:lineRule="exact"/>
        <w:jc w:val="both"/>
        <w:ind w:firstLine="480"/>
      </w:pPr>
      <w:r>
        <w:rPr>
          <w:rFonts w:eastAsia="宋体" w:ascii="Times New Roman" w:hAnsi="Times New Roman" w:cs="宋体"/>
          <w:sz w:val="24"/>
          <w:szCs w:val="24"/>
        </w:rPr>
        <w:t>由表3-4可知，各题项与其理论维度的关联性良好，量表结构效度通过检验。综合信度与效度检验结果，本问卷满足正式调研要求，可据此开展正式大规模问卷调研。</w:t>
      </w:r>
    </w:p>
    <w:p w14:paraId="38F74572">
      <w:pPr>
        <w:pStyle w:val="2"/>
        <w:spacing w:before="0" w:after="0" w:line="400" w:lineRule="exact"/>
        <w:jc w:val="both"/>
      </w:pPr>
      <w:r>
        <w:rPr>
          <w:b/>
          <w:rFonts w:eastAsia="黑体" w:ascii="Times New Roman" w:hAnsi="Times New Roman" w:cs="黑体"/>
          <w:sz w:val="32"/>
          <w:szCs w:val="32"/>
        </w:rPr>
        <w:t>第四章 结构方程模型（SEM）分析</w:t>
      </w:r>
    </w:p>
    <w:p w14:paraId="3295BCB8">
      <w:pPr>
        <w:pStyle w:val="3"/>
        <w:rPr>
          <w:rFonts w:hint="default" w:eastAsia="黑体"/>
          <w:lang w:val="en-US" w:eastAsia="zh-CN"/>
        </w:rPr>
        <w:spacing w:before="240" w:after="240" w:line="400" w:lineRule="exact"/>
        <w:jc w:val="both"/>
      </w:pPr>
      <w:r>
        <w:rPr>
          <w:b/>
          <w:rFonts w:eastAsia="黑体" w:ascii="Times New Roman" w:hAnsi="Times New Roman" w:cs="黑体"/>
          <w:sz w:val="28"/>
          <w:szCs w:val="28"/>
        </w:rPr>
        <w:t xml:space="preserve">4.1 </w:t>
      </w:r>
      <w:r>
        <w:rPr>
          <w:b/>
          <w:rFonts w:hint="eastAsia" w:eastAsia="黑体" w:ascii="Times New Roman" w:hAnsi="Times New Roman" w:cs="黑体"/>
          <w:lang w:val="en-US" w:eastAsia="zh-CN"/>
          <w:sz w:val="28"/>
          <w:szCs w:val="28"/>
        </w:rPr>
        <w:t>描述性统计分析</w:t>
      </w:r>
    </w:p>
    <w:p w14:paraId="6455369A">
      <w:pPr>
        <w:spacing w:before="0" w:after="0" w:line="400" w:lineRule="exact"/>
        <w:jc w:val="both"/>
        <w:ind w:firstLine="480"/>
      </w:pPr>
      <w:r>
        <w:t>本次正式调研以烟台地区集群电商相关主体为调查对象，共回收问卷508份，有效问卷508份，有效率100%。从样本结构看，性别分布较均衡（男性48.6%，女性51.4%）；年龄以21—40岁为主（合计59.9%）；学历以初中及以下、高中/中专和大专为主体（合计80.5%），与农村电商从业群体特征基本一致。地区分布覆盖芝罘区、福山区、莱山区、牟平区及开发区/高新区等核心样本区，具有较好的区域代表性；月均收入以5001—12000元区间为主（62.6%），职业类型以个体电商农户/商户和电商企业经营者/管理者为主（合计68.3%），样本与研究对象匹配度较高。</w:t>
      </w:r>
    </w:p>
    <w:p w14:paraId="7C3156CD">
      <w:pPr>
        <w:spacing w:before="0" w:after="0" w:line="400" w:lineRule="exact"/>
        <w:jc w:val="both"/>
        <w:ind w:firstLine="480"/>
      </w:pPr>
      <w:r>
        <w:t>具体分布上，性别、年龄、学历、地区、收入与职业结构见表4-1，样本覆盖不同层次与不同类型主体，有助于提高后续模型估计的稳健性与外推解释力。</w:t>
      </w:r>
    </w:p>
    <w:p>
      <w:pPr>
        <w:spacing w:before="0" w:after="0" w:line="400" w:lineRule="exact"/>
        <w:jc w:val="both"/>
        <w:ind w:firstLine="480"/>
      </w:pPr>
      <w:r>
        <w:t>进一步从核心变量的总体分布看，GP、TS、IF、TI、DS、EN与CDL的均值分别为3.000、2.573、3.321、2.941、3.178、3.636和3.240，标准差介于0.908—0.949，表明各变量离散程度适中。资源禀赋（EN）均值最高（M=3.636，SD=0.908），人才支撑（TS）均值最低（M=2.573，SD=0.909），反映样本对“资源条件较好但人才仍偏紧”的现实认知。各变量偏度绝对值介于0.028—0.325、峰度绝对值介于0.364—0.712，满足正态性经验标准（|Skewness|&lt;2，|Kurtosis|&lt;7），可支持后续SEM估计（Hair et al.，2010）。</w:t>
      </w:r>
    </w:p>
    <w:p>
      <w:pPr>
        <w:spacing w:before="0" w:after="0" w:line="400" w:lineRule="exact"/>
        <w:jc w:val="both"/>
        <w:ind w:firstLine="480"/>
      </w:pPr>
      <w:r>
        <w:t>题项层面，21个题项（GP1—CDL3）均值介于2.555—3.652，标准差介于1.091—1.166，未出现明显极端集中或离散失衡。结合样本结构与变量分布结果，正式调研数据在代表性、稳定性与可分析性方面均满足后续信效度检验、结构方程建模与组态分析需要。</w:t>
      </w:r>
    </w:p>
    <w:p>
      <w:pPr>
        <w:spacing w:before="0" w:after="0" w:line="400" w:lineRule="exact"/>
        <w:jc w:val="both"/>
        <w:ind w:firstLine="480"/>
      </w:pPr>
      <w:r>
        <w:rPr>
          <w:rFonts w:eastAsia="宋体" w:ascii="Times New Roman" w:hAnsi="Times New Roman" w:cs="宋体"/>
          <w:sz w:val="24"/>
          <w:szCs w:val="24"/>
        </w:rPr>
        <w:t xml:space="preserve">为进一步检验共同方法偏差问题，本文采用Harman单因子检验法对正式调研数据进行检验。结果显示，未旋转时第一因子的方差解释量为30.6%，远低于40%的临界标准（Podsakoff et al.，2003），表明本研究中共同方法偏差问题不严重，数据具备较高质量，可用于后续SEM与fsQCA分析。</w:t>
      </w:r>
    </w:p>
    <w:p w14:paraId="34B54147">
      <w:pPr>
        <w:pStyle w:val="12"/>
        <w:spacing w:before="120" w:after="120" w:line="400" w:lineRule="exact"/>
        <w:jc w:val="center"/>
        <w:ind/>
      </w:pPr>
      <w:r>
        <w:rPr>
          <w:b/>
          <w:rFonts w:eastAsia="宋体" w:ascii="Times New Roman" w:hAnsi="Times New Roman" w:cs="宋体"/>
          <w:sz w:val="21"/>
          <w:szCs w:val="21"/>
        </w:rPr>
        <w:t>表4-1 正式调研样本基本信息（N=508）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667711C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F673AE2">
            <w:pPr>
              <w:jc w:val="center"/>
              <w:spacing w:before="60" w:after="60" w:line="320" w:lineRule="exact"/>
              <w:ind/>
            </w:pPr>
            <w:r>
              <w:rPr>
                <w:rFonts w:eastAsia="宋体" w:ascii="Times New Roman" w:hAnsi="Times New Roman" w:cs="宋体"/>
                <w:b/>
                <w:sz w:val="21"/>
                <w:szCs w:val="21"/>
              </w:rPr>
              <w:t>特征</w:t>
            </w:r>
          </w:p>
        </w:tc>
        <w:tc>
          <w:tcPr>
            <w:tcW w:w="219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4F8E360">
            <w:pPr>
              <w:jc w:val="center"/>
              <w:spacing w:before="60" w:after="60" w:line="320" w:lineRule="exact"/>
              <w:ind/>
            </w:pPr>
            <w:r>
              <w:rPr>
                <w:rFonts w:eastAsia="宋体" w:ascii="Times New Roman" w:hAnsi="Times New Roman" w:cs="宋体"/>
                <w:b/>
                <w:sz w:val="21"/>
                <w:szCs w:val="21"/>
              </w:rPr>
              <w:t>类别</w:t>
            </w:r>
          </w:p>
        </w:tc>
        <w:tc>
          <w:tcPr>
            <w:tcW w:w="219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BC8273A">
            <w:pPr>
              <w:jc w:val="center"/>
              <w:spacing w:before="60" w:after="60" w:line="320" w:lineRule="exact"/>
              <w:ind/>
            </w:pPr>
            <w:r>
              <w:rPr>
                <w:rFonts w:eastAsia="宋体" w:ascii="Times New Roman" w:hAnsi="Times New Roman" w:cs="宋体"/>
                <w:b/>
                <w:sz w:val="21"/>
                <w:szCs w:val="21"/>
              </w:rPr>
              <w:t>频数</w:t>
            </w:r>
          </w:p>
        </w:tc>
        <w:tc>
          <w:tcPr>
            <w:tcW w:w="219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A94E92A">
            <w:pPr>
              <w:jc w:val="center"/>
              <w:spacing w:before="60" w:after="60" w:line="320" w:lineRule="exact"/>
              <w:ind/>
            </w:pPr>
            <w:r>
              <w:rPr>
                <w:rFonts w:eastAsia="宋体" w:ascii="Times New Roman" w:hAnsi="Times New Roman" w:cs="宋体"/>
                <w:b/>
                <w:sz w:val="21"/>
                <w:szCs w:val="21"/>
              </w:rPr>
              <w:t>占比（%）</w:t>
            </w:r>
          </w:p>
        </w:tc>
      </w:tr>
      <w:tr w14:paraId="2DF578D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FB69311">
            <w:pPr>
              <w:jc w:val="center"/>
              <w:spacing w:before="60" w:after="60" w:line="320" w:lineRule="exact"/>
              <w:ind/>
            </w:pPr>
            <w:r>
              <w:rPr>
                <w:rFonts w:eastAsia="宋体" w:ascii="Times New Roman" w:hAnsi="Times New Roman" w:cs="宋体"/>
                <w:sz w:val="21"/>
                <w:szCs w:val="21"/>
              </w:rPr>
              <w:t>性别</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786B26F">
            <w:pPr>
              <w:jc w:val="center"/>
              <w:spacing w:before="60" w:after="60" w:line="320" w:lineRule="exact"/>
              <w:ind/>
            </w:pPr>
            <w:r>
              <w:rPr>
                <w:rFonts w:eastAsia="宋体" w:ascii="Times New Roman" w:hAnsi="Times New Roman" w:cs="宋体"/>
                <w:sz w:val="21"/>
                <w:szCs w:val="21"/>
              </w:rPr>
              <w:t>男</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BAFCB18">
            <w:pPr>
              <w:jc w:val="center"/>
              <w:spacing w:before="60" w:after="60" w:line="320" w:lineRule="exact"/>
              <w:ind/>
            </w:pPr>
            <w:r>
              <w:rPr>
                <w:rFonts w:eastAsia="宋体" w:ascii="Times New Roman" w:hAnsi="Times New Roman" w:cs="宋体"/>
                <w:sz w:val="21"/>
                <w:szCs w:val="21"/>
              </w:rPr>
              <w:t>247</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2F2B4D">
            <w:pPr>
              <w:jc w:val="center"/>
              <w:spacing w:before="60" w:after="60" w:line="320" w:lineRule="exact"/>
              <w:ind/>
            </w:pPr>
            <w:r>
              <w:rPr>
                <w:rFonts w:eastAsia="宋体" w:ascii="Times New Roman" w:hAnsi="Times New Roman" w:cs="宋体"/>
                <w:sz w:val="21"/>
                <w:szCs w:val="21"/>
              </w:rPr>
              <w:t>48.6</w:t>
            </w:r>
          </w:p>
        </w:tc>
      </w:tr>
      <w:tr w14:paraId="67AFFC3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B606414">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D274D7A">
            <w:pPr>
              <w:jc w:val="center"/>
              <w:spacing w:before="60" w:after="60" w:line="320" w:lineRule="exact"/>
              <w:ind/>
            </w:pPr>
            <w:r>
              <w:rPr>
                <w:rFonts w:eastAsia="宋体" w:ascii="Times New Roman" w:hAnsi="Times New Roman" w:cs="宋体"/>
                <w:sz w:val="21"/>
                <w:szCs w:val="21"/>
              </w:rPr>
              <w:t>女</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8AF8B51">
            <w:pPr>
              <w:jc w:val="center"/>
              <w:spacing w:before="60" w:after="60" w:line="320" w:lineRule="exact"/>
              <w:ind/>
            </w:pPr>
            <w:r>
              <w:rPr>
                <w:rFonts w:eastAsia="宋体" w:ascii="Times New Roman" w:hAnsi="Times New Roman" w:cs="宋体"/>
                <w:sz w:val="21"/>
                <w:szCs w:val="21"/>
              </w:rPr>
              <w:t>261</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AEE3B3C">
            <w:pPr>
              <w:jc w:val="center"/>
              <w:spacing w:before="60" w:after="60" w:line="320" w:lineRule="exact"/>
              <w:ind/>
            </w:pPr>
            <w:r>
              <w:rPr>
                <w:rFonts w:eastAsia="宋体" w:ascii="Times New Roman" w:hAnsi="Times New Roman" w:cs="宋体"/>
                <w:sz w:val="21"/>
                <w:szCs w:val="21"/>
              </w:rPr>
              <w:t>51.4</w:t>
            </w:r>
          </w:p>
        </w:tc>
      </w:tr>
      <w:tr w14:paraId="3A2635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7235608">
            <w:pPr>
              <w:jc w:val="center"/>
              <w:spacing w:before="60" w:after="60" w:line="320" w:lineRule="exact"/>
              <w:ind/>
            </w:pPr>
            <w:r>
              <w:rPr>
                <w:rFonts w:eastAsia="宋体" w:ascii="Times New Roman" w:hAnsi="Times New Roman" w:cs="宋体"/>
                <w:sz w:val="21"/>
                <w:szCs w:val="21"/>
              </w:rPr>
              <w:t>年龄</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622C2A9">
            <w:pPr>
              <w:jc w:val="center"/>
              <w:spacing w:before="60" w:after="60" w:line="320" w:lineRule="exact"/>
              <w:ind/>
            </w:pPr>
            <w:r>
              <w:rPr>
                <w:rFonts w:eastAsia="宋体" w:ascii="Times New Roman" w:hAnsi="Times New Roman" w:cs="宋体"/>
                <w:sz w:val="21"/>
                <w:szCs w:val="21"/>
              </w:rPr>
              <w:t>20岁及以下</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2C1CF79">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EE9B6C4">
            <w:pPr>
              <w:jc w:val="center"/>
              <w:spacing w:before="60" w:after="60" w:line="320" w:lineRule="exact"/>
              <w:ind/>
            </w:pPr>
            <w:r>
              <w:rPr>
                <w:rFonts w:eastAsia="宋体" w:ascii="Times New Roman" w:hAnsi="Times New Roman" w:cs="宋体"/>
                <w:sz w:val="21"/>
                <w:szCs w:val="21"/>
              </w:rPr>
              <w:t>10.0</w:t>
            </w:r>
          </w:p>
        </w:tc>
      </w:tr>
      <w:tr w14:paraId="4CC3133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0F901C7">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3ED40FB">
            <w:pPr>
              <w:jc w:val="center"/>
              <w:spacing w:before="60" w:after="60" w:line="320" w:lineRule="exact"/>
              <w:ind/>
            </w:pPr>
            <w:r>
              <w:rPr>
                <w:rFonts w:eastAsia="宋体" w:ascii="Times New Roman" w:hAnsi="Times New Roman" w:cs="宋体"/>
                <w:sz w:val="21"/>
                <w:szCs w:val="21"/>
              </w:rPr>
              <w:t>21—30岁</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1F4351B">
            <w:pPr>
              <w:jc w:val="center"/>
              <w:spacing w:before="60" w:after="60" w:line="320" w:lineRule="exact"/>
              <w:ind/>
            </w:pPr>
            <w:r>
              <w:rPr>
                <w:rFonts w:eastAsia="宋体" w:ascii="Times New Roman" w:hAnsi="Times New Roman" w:cs="宋体"/>
                <w:sz w:val="21"/>
                <w:szCs w:val="21"/>
              </w:rPr>
              <w:t>165</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405DCC9">
            <w:pPr>
              <w:jc w:val="center"/>
              <w:spacing w:before="60" w:after="60" w:line="320" w:lineRule="exact"/>
              <w:ind/>
            </w:pPr>
            <w:r>
              <w:rPr>
                <w:rFonts w:eastAsia="宋体" w:ascii="Times New Roman" w:hAnsi="Times New Roman" w:cs="宋体"/>
                <w:sz w:val="21"/>
                <w:szCs w:val="21"/>
              </w:rPr>
              <w:t>32.5</w:t>
            </w:r>
          </w:p>
        </w:tc>
      </w:tr>
      <w:tr w14:paraId="4E5CBEE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B6AC6FF">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8569884">
            <w:pPr>
              <w:jc w:val="center"/>
              <w:spacing w:before="60" w:after="60" w:line="320" w:lineRule="exact"/>
              <w:ind/>
            </w:pPr>
            <w:r>
              <w:rPr>
                <w:rFonts w:eastAsia="宋体" w:ascii="Times New Roman" w:hAnsi="Times New Roman" w:cs="宋体"/>
                <w:sz w:val="21"/>
                <w:szCs w:val="21"/>
              </w:rPr>
              <w:t>31—40岁</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FF6FF55">
            <w:pPr>
              <w:jc w:val="center"/>
              <w:spacing w:before="60" w:after="60" w:line="320" w:lineRule="exact"/>
              <w:ind/>
            </w:pPr>
            <w:r>
              <w:rPr>
                <w:rFonts w:eastAsia="宋体" w:ascii="Times New Roman" w:hAnsi="Times New Roman" w:cs="宋体"/>
                <w:sz w:val="21"/>
                <w:szCs w:val="21"/>
              </w:rPr>
              <w:t>139</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7789C37">
            <w:pPr>
              <w:jc w:val="center"/>
              <w:spacing w:before="60" w:after="60" w:line="320" w:lineRule="exact"/>
              <w:ind/>
            </w:pPr>
            <w:r>
              <w:rPr>
                <w:rFonts w:eastAsia="宋体" w:ascii="Times New Roman" w:hAnsi="Times New Roman" w:cs="宋体"/>
                <w:sz w:val="21"/>
                <w:szCs w:val="21"/>
              </w:rPr>
              <w:t>27.4</w:t>
            </w:r>
          </w:p>
        </w:tc>
      </w:tr>
      <w:tr w14:paraId="565C637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34295C3">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F036A98">
            <w:pPr>
              <w:jc w:val="center"/>
              <w:spacing w:before="60" w:after="60" w:line="320" w:lineRule="exact"/>
              <w:ind/>
            </w:pPr>
            <w:r>
              <w:rPr>
                <w:rFonts w:eastAsia="宋体" w:ascii="Times New Roman" w:hAnsi="Times New Roman" w:cs="宋体"/>
                <w:sz w:val="21"/>
                <w:szCs w:val="21"/>
              </w:rPr>
              <w:t>41—50岁</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0F45913">
            <w:pPr>
              <w:jc w:val="center"/>
              <w:spacing w:before="60" w:after="60" w:line="320" w:lineRule="exact"/>
              <w:ind/>
            </w:pPr>
            <w:r>
              <w:rPr>
                <w:rFonts w:eastAsia="宋体" w:ascii="Times New Roman" w:hAnsi="Times New Roman" w:cs="宋体"/>
                <w:sz w:val="21"/>
                <w:szCs w:val="21"/>
              </w:rPr>
              <w:t>94</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2CD096D">
            <w:pPr>
              <w:jc w:val="center"/>
              <w:spacing w:before="60" w:after="60" w:line="320" w:lineRule="exact"/>
              <w:ind/>
            </w:pPr>
            <w:r>
              <w:rPr>
                <w:rFonts w:eastAsia="宋体" w:ascii="Times New Roman" w:hAnsi="Times New Roman" w:cs="宋体"/>
                <w:sz w:val="21"/>
                <w:szCs w:val="21"/>
              </w:rPr>
              <w:t>18.5</w:t>
            </w:r>
          </w:p>
        </w:tc>
      </w:tr>
      <w:tr w14:paraId="0CC1700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302055D6">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CFD5178">
            <w:pPr>
              <w:jc w:val="center"/>
              <w:spacing w:before="60" w:after="60" w:line="320" w:lineRule="exact"/>
              <w:ind/>
            </w:pPr>
            <w:r>
              <w:rPr>
                <w:rFonts w:eastAsia="宋体" w:ascii="Times New Roman" w:hAnsi="Times New Roman" w:cs="宋体"/>
                <w:sz w:val="21"/>
                <w:szCs w:val="21"/>
              </w:rPr>
              <w:t>51岁及以上</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68D99CC">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11BD3EB">
            <w:pPr>
              <w:jc w:val="center"/>
              <w:spacing w:before="60" w:after="60" w:line="320" w:lineRule="exact"/>
              <w:ind/>
            </w:pPr>
            <w:r>
              <w:rPr>
                <w:rFonts w:eastAsia="宋体" w:ascii="Times New Roman" w:hAnsi="Times New Roman" w:cs="宋体"/>
                <w:sz w:val="21"/>
                <w:szCs w:val="21"/>
              </w:rPr>
              <w:t>11.6</w:t>
            </w:r>
          </w:p>
        </w:tc>
      </w:tr>
      <w:tr w14:paraId="23E2E94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A5ED153">
            <w:pPr>
              <w:jc w:val="center"/>
              <w:spacing w:before="60" w:after="60" w:line="320" w:lineRule="exact"/>
              <w:ind/>
            </w:pPr>
            <w:r>
              <w:rPr>
                <w:rFonts w:eastAsia="宋体" w:ascii="Times New Roman" w:hAnsi="Times New Roman" w:cs="宋体"/>
                <w:sz w:val="21"/>
                <w:szCs w:val="21"/>
              </w:rPr>
              <w:t>学历</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F8B1AA4">
            <w:pPr>
              <w:jc w:val="center"/>
              <w:spacing w:before="60" w:after="60" w:line="320" w:lineRule="exact"/>
              <w:ind/>
            </w:pPr>
            <w:r>
              <w:rPr>
                <w:rFonts w:eastAsia="宋体" w:ascii="Times New Roman" w:hAnsi="Times New Roman" w:cs="宋体"/>
                <w:sz w:val="21"/>
                <w:szCs w:val="21"/>
              </w:rPr>
              <w:t>初中及以下</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C4ADDE2">
            <w:pPr>
              <w:jc w:val="center"/>
              <w:spacing w:before="60" w:after="60" w:line="320" w:lineRule="exact"/>
              <w:ind/>
            </w:pPr>
            <w:r>
              <w:rPr>
                <w:rFonts w:eastAsia="宋体" w:ascii="Times New Roman" w:hAnsi="Times New Roman" w:cs="宋体"/>
                <w:sz w:val="21"/>
                <w:szCs w:val="21"/>
              </w:rPr>
              <w:t>251</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70FBC55">
            <w:pPr>
              <w:jc w:val="center"/>
              <w:spacing w:before="60" w:after="60" w:line="320" w:lineRule="exact"/>
              <w:ind/>
            </w:pPr>
            <w:r>
              <w:rPr>
                <w:rFonts w:eastAsia="宋体" w:ascii="Times New Roman" w:hAnsi="Times New Roman" w:cs="宋体"/>
                <w:sz w:val="21"/>
                <w:szCs w:val="21"/>
              </w:rPr>
              <w:t>49.4</w:t>
            </w:r>
          </w:p>
        </w:tc>
      </w:tr>
      <w:tr w14:paraId="74FF14F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BF397BC">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31B8A72">
            <w:pPr>
              <w:jc w:val="center"/>
              <w:spacing w:before="60" w:after="60" w:line="320" w:lineRule="exact"/>
              <w:ind/>
            </w:pPr>
            <w:r>
              <w:rPr>
                <w:rFonts w:eastAsia="宋体" w:ascii="Times New Roman" w:hAnsi="Times New Roman" w:cs="宋体"/>
                <w:sz w:val="21"/>
                <w:szCs w:val="21"/>
              </w:rPr>
              <w:t>高中/中专</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2F1BD54">
            <w:pPr>
              <w:jc w:val="center"/>
              <w:spacing w:before="60" w:after="60" w:line="320" w:lineRule="exact"/>
              <w:ind/>
            </w:pPr>
            <w:r>
              <w:rPr>
                <w:rFonts w:eastAsia="宋体" w:ascii="Times New Roman" w:hAnsi="Times New Roman" w:cs="宋体"/>
                <w:sz w:val="21"/>
                <w:szCs w:val="21"/>
              </w:rPr>
              <w:t>52</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5821AA">
            <w:pPr>
              <w:jc w:val="center"/>
              <w:spacing w:before="60" w:after="60" w:line="320" w:lineRule="exact"/>
              <w:ind/>
            </w:pPr>
            <w:r>
              <w:rPr>
                <w:rFonts w:eastAsia="宋体" w:ascii="Times New Roman" w:hAnsi="Times New Roman" w:cs="宋体"/>
                <w:sz w:val="21"/>
                <w:szCs w:val="21"/>
              </w:rPr>
              <w:t>10.2</w:t>
            </w:r>
          </w:p>
        </w:tc>
      </w:tr>
      <w:tr w14:paraId="1EC4A2C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C7C3A27">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2DE424E">
            <w:pPr>
              <w:jc w:val="center"/>
              <w:spacing w:before="60" w:after="60" w:line="320" w:lineRule="exact"/>
              <w:ind/>
            </w:pPr>
            <w:r>
              <w:rPr>
                <w:rFonts w:eastAsia="宋体" w:ascii="Times New Roman" w:hAnsi="Times New Roman" w:cs="宋体"/>
                <w:sz w:val="21"/>
                <w:szCs w:val="21"/>
              </w:rPr>
              <w:t>大专</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DD5BB1A">
            <w:pPr>
              <w:jc w:val="center"/>
              <w:spacing w:before="60" w:after="60" w:line="320" w:lineRule="exact"/>
              <w:ind/>
            </w:pPr>
            <w:r>
              <w:rPr>
                <w:rFonts w:eastAsia="宋体" w:ascii="Times New Roman" w:hAnsi="Times New Roman" w:cs="宋体"/>
                <w:sz w:val="21"/>
                <w:szCs w:val="21"/>
              </w:rPr>
              <w:t>106</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87AD0AB">
            <w:pPr>
              <w:jc w:val="center"/>
              <w:spacing w:before="60" w:after="60" w:line="320" w:lineRule="exact"/>
              <w:ind/>
            </w:pPr>
            <w:r>
              <w:rPr>
                <w:rFonts w:eastAsia="宋体" w:ascii="Times New Roman" w:hAnsi="Times New Roman" w:cs="宋体"/>
                <w:sz w:val="21"/>
                <w:szCs w:val="21"/>
              </w:rPr>
              <w:t>20.9</w:t>
            </w:r>
          </w:p>
        </w:tc>
      </w:tr>
      <w:tr w14:paraId="4133A9C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4635D21">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E3D42A6">
            <w:pPr>
              <w:jc w:val="center"/>
              <w:spacing w:before="60" w:after="60" w:line="320" w:lineRule="exact"/>
              <w:ind/>
            </w:pPr>
            <w:r>
              <w:rPr>
                <w:rFonts w:eastAsia="宋体" w:ascii="Times New Roman" w:hAnsi="Times New Roman" w:cs="宋体"/>
                <w:sz w:val="21"/>
                <w:szCs w:val="21"/>
              </w:rPr>
              <w:t>本科</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2790C1">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033B523">
            <w:pPr>
              <w:jc w:val="center"/>
              <w:spacing w:before="60" w:after="60" w:line="320" w:lineRule="exact"/>
              <w:ind/>
            </w:pPr>
            <w:r>
              <w:rPr>
                <w:rFonts w:eastAsia="宋体" w:ascii="Times New Roman" w:hAnsi="Times New Roman" w:cs="宋体"/>
                <w:sz w:val="21"/>
                <w:szCs w:val="21"/>
              </w:rPr>
              <w:t>15.7</w:t>
            </w:r>
          </w:p>
        </w:tc>
      </w:tr>
      <w:tr w14:paraId="65A1E20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4CF20A09">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AF48AE3">
            <w:pPr>
              <w:jc w:val="center"/>
              <w:spacing w:before="60" w:after="60" w:line="320" w:lineRule="exact"/>
              <w:ind/>
            </w:pPr>
            <w:r>
              <w:rPr>
                <w:rFonts w:eastAsia="宋体" w:ascii="Times New Roman" w:hAnsi="Times New Roman" w:cs="宋体"/>
                <w:sz w:val="21"/>
                <w:szCs w:val="21"/>
              </w:rPr>
              <w:t>硕士及以上</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6C53F8">
            <w:pPr>
              <w:jc w:val="center"/>
              <w:spacing w:before="60" w:after="60" w:line="320" w:lineRule="exact"/>
              <w:ind/>
            </w:pPr>
            <w:r>
              <w:rPr>
                <w:rFonts w:eastAsia="宋体" w:ascii="Times New Roman" w:hAnsi="Times New Roman" w:cs="宋体"/>
                <w:sz w:val="21"/>
                <w:szCs w:val="21"/>
              </w:rPr>
              <w:t>19</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EC2A349">
            <w:pPr>
              <w:jc w:val="center"/>
              <w:spacing w:before="60" w:after="60" w:line="320" w:lineRule="exact"/>
              <w:ind/>
            </w:pPr>
            <w:r>
              <w:rPr>
                <w:rFonts w:eastAsia="宋体" w:ascii="Times New Roman" w:hAnsi="Times New Roman" w:cs="宋体"/>
                <w:sz w:val="21"/>
                <w:szCs w:val="21"/>
              </w:rPr>
              <w:t>3.7</w:t>
            </w:r>
          </w:p>
        </w:tc>
      </w:tr>
      <w:tr w14:paraId="58BB3D1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40971EE">
            <w:pPr>
              <w:jc w:val="center"/>
              <w:spacing w:before="60" w:after="60" w:line="320" w:lineRule="exact"/>
              <w:ind/>
            </w:pPr>
            <w:r>
              <w:rPr>
                <w:rFonts w:eastAsia="宋体" w:ascii="Times New Roman" w:hAnsi="Times New Roman" w:cs="宋体"/>
                <w:sz w:val="21"/>
                <w:szCs w:val="21"/>
              </w:rPr>
              <w:t>常住居住地</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6E8F870">
            <w:pPr>
              <w:jc w:val="center"/>
              <w:spacing w:before="60" w:after="60" w:line="320" w:lineRule="exact"/>
              <w:ind/>
            </w:pPr>
            <w:r>
              <w:rPr>
                <w:rFonts w:eastAsia="宋体" w:ascii="Times New Roman" w:hAnsi="Times New Roman" w:cs="宋体"/>
                <w:sz w:val="21"/>
                <w:szCs w:val="21"/>
              </w:rPr>
              <w:t>芝罘区</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6A0DDFA">
            <w:pPr>
              <w:jc w:val="center"/>
              <w:spacing w:before="60" w:after="60" w:line="320" w:lineRule="exact"/>
              <w:ind/>
            </w:pPr>
            <w:r>
              <w:rPr>
                <w:rFonts w:eastAsia="宋体" w:ascii="Times New Roman" w:hAnsi="Times New Roman" w:cs="宋体"/>
                <w:sz w:val="21"/>
                <w:szCs w:val="21"/>
              </w:rPr>
              <w:t>162</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41BB7AC">
            <w:pPr>
              <w:jc w:val="center"/>
              <w:spacing w:before="60" w:after="60" w:line="320" w:lineRule="exact"/>
              <w:ind/>
            </w:pPr>
            <w:r>
              <w:rPr>
                <w:rFonts w:eastAsia="宋体" w:ascii="Times New Roman" w:hAnsi="Times New Roman" w:cs="宋体"/>
                <w:sz w:val="21"/>
                <w:szCs w:val="21"/>
              </w:rPr>
              <w:t>31.9</w:t>
            </w:r>
          </w:p>
        </w:tc>
      </w:tr>
      <w:tr w14:paraId="0D99825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6B0653DF">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D16CE2B">
            <w:pPr>
              <w:jc w:val="center"/>
              <w:spacing w:before="60" w:after="60" w:line="320" w:lineRule="exact"/>
              <w:ind/>
            </w:pPr>
            <w:r>
              <w:rPr>
                <w:rFonts w:eastAsia="宋体" w:ascii="Times New Roman" w:hAnsi="Times New Roman" w:cs="宋体"/>
                <w:sz w:val="21"/>
                <w:szCs w:val="21"/>
              </w:rPr>
              <w:t>福山区</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C542CDA">
            <w:pPr>
              <w:jc w:val="center"/>
              <w:spacing w:before="60" w:after="60" w:line="320" w:lineRule="exact"/>
              <w:ind/>
            </w:pPr>
            <w:r>
              <w:rPr>
                <w:rFonts w:eastAsia="宋体" w:ascii="Times New Roman" w:hAnsi="Times New Roman" w:cs="宋体"/>
                <w:sz w:val="21"/>
                <w:szCs w:val="21"/>
              </w:rPr>
              <w:t>50</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81F2D82">
            <w:pPr>
              <w:jc w:val="center"/>
              <w:spacing w:before="60" w:after="60" w:line="320" w:lineRule="exact"/>
              <w:ind/>
            </w:pPr>
            <w:r>
              <w:rPr>
                <w:rFonts w:eastAsia="宋体" w:ascii="Times New Roman" w:hAnsi="Times New Roman" w:cs="宋体"/>
                <w:sz w:val="21"/>
                <w:szCs w:val="21"/>
              </w:rPr>
              <w:t>9.8</w:t>
            </w:r>
          </w:p>
        </w:tc>
      </w:tr>
      <w:tr w14:paraId="2DDEC9E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B00264A">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B736DDD">
            <w:pPr>
              <w:jc w:val="center"/>
              <w:spacing w:before="60" w:after="60" w:line="320" w:lineRule="exact"/>
              <w:ind/>
            </w:pPr>
            <w:r>
              <w:rPr>
                <w:rFonts w:eastAsia="宋体" w:ascii="Times New Roman" w:hAnsi="Times New Roman" w:cs="宋体"/>
                <w:sz w:val="21"/>
                <w:szCs w:val="21"/>
              </w:rPr>
              <w:t>莱山区</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F24A268">
            <w:pPr>
              <w:jc w:val="center"/>
              <w:spacing w:before="60" w:after="60" w:line="320" w:lineRule="exact"/>
              <w:ind/>
            </w:pPr>
            <w:r>
              <w:rPr>
                <w:rFonts w:eastAsia="宋体" w:ascii="Times New Roman" w:hAnsi="Times New Roman" w:cs="宋体"/>
                <w:sz w:val="21"/>
                <w:szCs w:val="21"/>
              </w:rPr>
              <w:t>96</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1C5652A">
            <w:pPr>
              <w:jc w:val="center"/>
              <w:spacing w:before="60" w:after="60" w:line="320" w:lineRule="exact"/>
              <w:ind/>
            </w:pPr>
            <w:r>
              <w:rPr>
                <w:rFonts w:eastAsia="宋体" w:ascii="Times New Roman" w:hAnsi="Times New Roman" w:cs="宋体"/>
                <w:sz w:val="21"/>
                <w:szCs w:val="21"/>
              </w:rPr>
              <w:t>18.9</w:t>
            </w:r>
          </w:p>
        </w:tc>
      </w:tr>
      <w:tr w14:paraId="5F39A4F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50761E47">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1D49B6C">
            <w:pPr>
              <w:jc w:val="center"/>
              <w:spacing w:before="60" w:after="60" w:line="320" w:lineRule="exact"/>
              <w:ind/>
            </w:pPr>
            <w:r>
              <w:rPr>
                <w:rFonts w:eastAsia="宋体" w:ascii="Times New Roman" w:hAnsi="Times New Roman" w:cs="宋体"/>
                <w:sz w:val="21"/>
                <w:szCs w:val="21"/>
              </w:rPr>
              <w:t>牟平区</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1328F02">
            <w:pPr>
              <w:jc w:val="center"/>
              <w:spacing w:before="60" w:after="60" w:line="320" w:lineRule="exact"/>
              <w:ind/>
            </w:pPr>
            <w:r>
              <w:rPr>
                <w:rFonts w:eastAsia="宋体" w:ascii="Times New Roman" w:hAnsi="Times New Roman" w:cs="宋体"/>
                <w:sz w:val="21"/>
                <w:szCs w:val="21"/>
              </w:rPr>
              <w:t>112</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75BE10B">
            <w:pPr>
              <w:jc w:val="center"/>
              <w:spacing w:before="60" w:after="60" w:line="320" w:lineRule="exact"/>
              <w:ind/>
            </w:pPr>
            <w:r>
              <w:rPr>
                <w:rFonts w:eastAsia="宋体" w:ascii="Times New Roman" w:hAnsi="Times New Roman" w:cs="宋体"/>
                <w:sz w:val="21"/>
                <w:szCs w:val="21"/>
              </w:rPr>
              <w:t>22.0</w:t>
            </w:r>
          </w:p>
        </w:tc>
      </w:tr>
      <w:tr w14:paraId="07E010B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7A5B9B9E">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9EB77BB">
            <w:pPr>
              <w:jc w:val="center"/>
              <w:spacing w:before="60" w:after="60" w:line="320" w:lineRule="exact"/>
              <w:ind/>
            </w:pPr>
            <w:r>
              <w:rPr>
                <w:rFonts w:eastAsia="宋体" w:ascii="Times New Roman" w:hAnsi="Times New Roman" w:cs="宋体"/>
                <w:sz w:val="21"/>
                <w:szCs w:val="21"/>
              </w:rPr>
              <w:t>开发区/高新区等</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21466F5">
            <w:pPr>
              <w:jc w:val="center"/>
              <w:spacing w:before="60" w:after="60" w:line="320" w:lineRule="exact"/>
              <w:ind/>
            </w:pPr>
            <w:r>
              <w:rPr>
                <w:rFonts w:eastAsia="宋体" w:ascii="Times New Roman" w:hAnsi="Times New Roman" w:cs="宋体"/>
                <w:sz w:val="21"/>
                <w:szCs w:val="21"/>
              </w:rPr>
              <w:t>88</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F774A80">
            <w:pPr>
              <w:jc w:val="center"/>
              <w:spacing w:before="60" w:after="60" w:line="320" w:lineRule="exact"/>
              <w:ind/>
            </w:pPr>
            <w:r>
              <w:rPr>
                <w:rFonts w:eastAsia="宋体" w:ascii="Times New Roman" w:hAnsi="Times New Roman" w:cs="宋体"/>
                <w:sz w:val="21"/>
                <w:szCs w:val="21"/>
              </w:rPr>
              <w:t>17.3</w:t>
            </w:r>
          </w:p>
        </w:tc>
      </w:tr>
      <w:tr w14:paraId="24104FD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E553404">
            <w:pPr>
              <w:jc w:val="center"/>
              <w:spacing w:before="60" w:after="60" w:line="320" w:lineRule="exact"/>
              <w:ind/>
            </w:pPr>
            <w:r>
              <w:rPr>
                <w:rFonts w:eastAsia="宋体" w:ascii="Times New Roman" w:hAnsi="Times New Roman" w:cs="宋体"/>
                <w:sz w:val="21"/>
                <w:szCs w:val="21"/>
              </w:rPr>
              <w:t>月均收入</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049757D">
            <w:pPr>
              <w:jc w:val="center"/>
              <w:spacing w:before="60" w:after="60" w:line="320" w:lineRule="exact"/>
              <w:ind/>
            </w:pPr>
            <w:r>
              <w:rPr>
                <w:rFonts w:eastAsia="宋体" w:ascii="Times New Roman" w:hAnsi="Times New Roman" w:cs="宋体"/>
                <w:sz w:val="21"/>
                <w:szCs w:val="21"/>
              </w:rPr>
              <w:t>3000元及以下</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692C72F">
            <w:pPr>
              <w:jc w:val="center"/>
              <w:spacing w:before="60" w:after="60" w:line="320" w:lineRule="exact"/>
              <w:ind/>
            </w:pPr>
            <w:r>
              <w:rPr>
                <w:rFonts w:eastAsia="宋体" w:ascii="Times New Roman" w:hAnsi="Times New Roman" w:cs="宋体"/>
                <w:sz w:val="21"/>
                <w:szCs w:val="21"/>
              </w:rPr>
              <w:t>59</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81C2EB">
            <w:pPr>
              <w:jc w:val="center"/>
              <w:spacing w:before="60" w:after="60" w:line="320" w:lineRule="exact"/>
              <w:ind/>
            </w:pPr>
            <w:r>
              <w:rPr>
                <w:rFonts w:eastAsia="宋体" w:ascii="Times New Roman" w:hAnsi="Times New Roman" w:cs="宋体"/>
                <w:sz w:val="21"/>
                <w:szCs w:val="21"/>
              </w:rPr>
              <w:t>11.6</w:t>
            </w:r>
          </w:p>
        </w:tc>
      </w:tr>
      <w:tr w14:paraId="633B21D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65A948EC">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75043D5">
            <w:pPr>
              <w:jc w:val="center"/>
              <w:spacing w:before="60" w:after="60" w:line="320" w:lineRule="exact"/>
              <w:ind/>
            </w:pPr>
            <w:r>
              <w:rPr>
                <w:rFonts w:eastAsia="宋体" w:ascii="Times New Roman" w:hAnsi="Times New Roman" w:cs="宋体"/>
                <w:sz w:val="21"/>
                <w:szCs w:val="21"/>
              </w:rPr>
              <w:t>3001—5000元</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E82D907">
            <w:pPr>
              <w:jc w:val="center"/>
              <w:spacing w:before="60" w:after="60" w:line="320" w:lineRule="exact"/>
              <w:ind/>
            </w:pPr>
            <w:r>
              <w:rPr>
                <w:rFonts w:eastAsia="宋体" w:ascii="Times New Roman" w:hAnsi="Times New Roman" w:cs="宋体"/>
                <w:sz w:val="21"/>
                <w:szCs w:val="21"/>
              </w:rPr>
              <w:t>80</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60A156F">
            <w:pPr>
              <w:jc w:val="center"/>
              <w:spacing w:before="60" w:after="60" w:line="320" w:lineRule="exact"/>
              <w:ind/>
            </w:pPr>
            <w:r>
              <w:rPr>
                <w:rFonts w:eastAsia="宋体" w:ascii="Times New Roman" w:hAnsi="Times New Roman" w:cs="宋体"/>
                <w:sz w:val="21"/>
                <w:szCs w:val="21"/>
              </w:rPr>
              <w:t>15.7</w:t>
            </w:r>
          </w:p>
        </w:tc>
      </w:tr>
      <w:tr w14:paraId="331EAEE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7E0423B">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8A7A5F5">
            <w:pPr>
              <w:jc w:val="center"/>
              <w:spacing w:before="60" w:after="60" w:line="320" w:lineRule="exact"/>
              <w:ind/>
            </w:pPr>
            <w:r>
              <w:rPr>
                <w:rFonts w:eastAsia="宋体" w:ascii="Times New Roman" w:hAnsi="Times New Roman" w:cs="宋体"/>
                <w:sz w:val="21"/>
                <w:szCs w:val="21"/>
              </w:rPr>
              <w:t>5001—8000元</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51BCB8E">
            <w:pPr>
              <w:jc w:val="center"/>
              <w:spacing w:before="60" w:after="60" w:line="320" w:lineRule="exact"/>
              <w:ind/>
            </w:pPr>
            <w:r>
              <w:rPr>
                <w:rFonts w:eastAsia="宋体" w:ascii="Times New Roman" w:hAnsi="Times New Roman" w:cs="宋体"/>
                <w:sz w:val="21"/>
                <w:szCs w:val="21"/>
              </w:rPr>
              <w:t>166</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7147C64">
            <w:pPr>
              <w:jc w:val="center"/>
              <w:spacing w:before="60" w:after="60" w:line="320" w:lineRule="exact"/>
              <w:ind/>
            </w:pPr>
            <w:r>
              <w:rPr>
                <w:rFonts w:eastAsia="宋体" w:ascii="Times New Roman" w:hAnsi="Times New Roman" w:cs="宋体"/>
                <w:sz w:val="21"/>
                <w:szCs w:val="21"/>
              </w:rPr>
              <w:t>32.7</w:t>
            </w:r>
          </w:p>
        </w:tc>
      </w:tr>
      <w:tr w14:paraId="747E99E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299AAB5">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A0463A5">
            <w:pPr>
              <w:jc w:val="center"/>
              <w:spacing w:before="60" w:after="60" w:line="320" w:lineRule="exact"/>
              <w:ind/>
            </w:pPr>
            <w:r>
              <w:rPr>
                <w:rFonts w:eastAsia="宋体" w:ascii="Times New Roman" w:hAnsi="Times New Roman" w:cs="宋体"/>
                <w:sz w:val="21"/>
                <w:szCs w:val="21"/>
              </w:rPr>
              <w:t>8001—12000元</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542FA5D">
            <w:pPr>
              <w:jc w:val="center"/>
              <w:spacing w:before="60" w:after="60" w:line="320" w:lineRule="exact"/>
              <w:ind/>
            </w:pPr>
            <w:r>
              <w:rPr>
                <w:rFonts w:eastAsia="宋体" w:ascii="Times New Roman" w:hAnsi="Times New Roman" w:cs="宋体"/>
                <w:sz w:val="21"/>
                <w:szCs w:val="21"/>
              </w:rPr>
              <w:t>152</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B6066ED">
            <w:pPr>
              <w:jc w:val="center"/>
              <w:spacing w:before="60" w:after="60" w:line="320" w:lineRule="exact"/>
              <w:ind/>
            </w:pPr>
            <w:r>
              <w:rPr>
                <w:rFonts w:eastAsia="宋体" w:ascii="Times New Roman" w:hAnsi="Times New Roman" w:cs="宋体"/>
                <w:sz w:val="21"/>
                <w:szCs w:val="21"/>
              </w:rPr>
              <w:t>29.9</w:t>
            </w:r>
          </w:p>
        </w:tc>
      </w:tr>
      <w:tr w14:paraId="437E90B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194C533">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A57D9D0">
            <w:pPr>
              <w:jc w:val="center"/>
              <w:spacing w:before="60" w:after="60" w:line="320" w:lineRule="exact"/>
              <w:ind/>
            </w:pPr>
            <w:r>
              <w:rPr>
                <w:rFonts w:eastAsia="宋体" w:ascii="Times New Roman" w:hAnsi="Times New Roman" w:cs="宋体"/>
                <w:sz w:val="21"/>
                <w:szCs w:val="21"/>
              </w:rPr>
              <w:t>12000元以上</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0B203E8">
            <w:pPr>
              <w:jc w:val="center"/>
              <w:spacing w:before="60" w:after="60" w:line="320" w:lineRule="exact"/>
              <w:ind/>
            </w:pPr>
            <w:r>
              <w:rPr>
                <w:rFonts w:eastAsia="宋体" w:ascii="Times New Roman" w:hAnsi="Times New Roman" w:cs="宋体"/>
                <w:sz w:val="21"/>
                <w:szCs w:val="21"/>
              </w:rPr>
              <w:t>51</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629832B">
            <w:pPr>
              <w:jc w:val="center"/>
              <w:spacing w:before="60" w:after="60" w:line="320" w:lineRule="exact"/>
              <w:ind/>
            </w:pPr>
            <w:r>
              <w:rPr>
                <w:rFonts w:eastAsia="宋体" w:ascii="Times New Roman" w:hAnsi="Times New Roman" w:cs="宋体"/>
                <w:sz w:val="21"/>
                <w:szCs w:val="21"/>
              </w:rPr>
              <w:t>10.0</w:t>
            </w:r>
          </w:p>
        </w:tc>
      </w:tr>
      <w:tr w14:paraId="15BA3C1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12AD2CC8">
            <w:pPr>
              <w:jc w:val="center"/>
              <w:spacing w:before="60" w:after="60" w:line="320" w:lineRule="exact"/>
              <w:ind/>
            </w:pPr>
            <w:r>
              <w:rPr>
                <w:rFonts w:eastAsia="宋体" w:ascii="Times New Roman" w:hAnsi="Times New Roman" w:cs="宋体"/>
                <w:sz w:val="21"/>
                <w:szCs w:val="21"/>
              </w:rPr>
              <w:t>职业类型</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36118BA">
            <w:pPr>
              <w:jc w:val="center"/>
              <w:spacing w:before="60" w:after="60" w:line="320" w:lineRule="exact"/>
              <w:ind/>
            </w:pPr>
            <w:r>
              <w:rPr>
                <w:rFonts w:eastAsia="宋体" w:ascii="Times New Roman" w:hAnsi="Times New Roman" w:cs="宋体"/>
                <w:sz w:val="21"/>
                <w:szCs w:val="21"/>
              </w:rPr>
              <w:t>个体电商农户/商户</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9C8EE2F">
            <w:pPr>
              <w:jc w:val="center"/>
              <w:spacing w:before="60" w:after="60" w:line="320" w:lineRule="exact"/>
              <w:ind/>
            </w:pPr>
            <w:r>
              <w:rPr>
                <w:rFonts w:eastAsia="宋体" w:ascii="Times New Roman" w:hAnsi="Times New Roman" w:cs="宋体"/>
                <w:sz w:val="21"/>
                <w:szCs w:val="21"/>
              </w:rPr>
              <w:t>219</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C1565CF">
            <w:pPr>
              <w:jc w:val="center"/>
              <w:spacing w:before="60" w:after="60" w:line="320" w:lineRule="exact"/>
              <w:ind/>
            </w:pPr>
            <w:r>
              <w:rPr>
                <w:rFonts w:eastAsia="宋体" w:ascii="Times New Roman" w:hAnsi="Times New Roman" w:cs="宋体"/>
                <w:sz w:val="21"/>
                <w:szCs w:val="21"/>
              </w:rPr>
              <w:t>43.1</w:t>
            </w:r>
          </w:p>
        </w:tc>
      </w:tr>
      <w:tr w14:paraId="200580D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03C038B">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230E82D">
            <w:pPr>
              <w:jc w:val="center"/>
              <w:spacing w:before="60" w:after="60" w:line="320" w:lineRule="exact"/>
              <w:ind/>
            </w:pPr>
            <w:r>
              <w:rPr>
                <w:rFonts w:eastAsia="宋体" w:ascii="Times New Roman" w:hAnsi="Times New Roman" w:cs="宋体"/>
                <w:sz w:val="21"/>
                <w:szCs w:val="21"/>
              </w:rPr>
              <w:t>电商企业经营者/管理者</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A0FF052">
            <w:pPr>
              <w:jc w:val="center"/>
              <w:spacing w:before="60" w:after="60" w:line="320" w:lineRule="exact"/>
              <w:ind/>
            </w:pPr>
            <w:r>
              <w:rPr>
                <w:rFonts w:eastAsia="宋体" w:ascii="Times New Roman" w:hAnsi="Times New Roman" w:cs="宋体"/>
                <w:sz w:val="21"/>
                <w:szCs w:val="21"/>
              </w:rPr>
              <w:t>128</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3DE6F74">
            <w:pPr>
              <w:jc w:val="center"/>
              <w:spacing w:before="60" w:after="60" w:line="320" w:lineRule="exact"/>
              <w:ind/>
            </w:pPr>
            <w:r>
              <w:rPr>
                <w:rFonts w:eastAsia="宋体" w:ascii="Times New Roman" w:hAnsi="Times New Roman" w:cs="宋体"/>
                <w:sz w:val="21"/>
                <w:szCs w:val="21"/>
              </w:rPr>
              <w:t>25.2</w:t>
            </w:r>
          </w:p>
        </w:tc>
      </w:tr>
      <w:tr w14:paraId="64234A1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20030CB4">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16CA2DB">
            <w:pPr>
              <w:jc w:val="center"/>
              <w:spacing w:before="60" w:after="60" w:line="320" w:lineRule="exact"/>
              <w:ind/>
            </w:pPr>
            <w:r>
              <w:rPr>
                <w:rFonts w:eastAsia="宋体" w:ascii="Times New Roman" w:hAnsi="Times New Roman" w:cs="宋体"/>
                <w:sz w:val="21"/>
                <w:szCs w:val="21"/>
              </w:rPr>
              <w:t>电商从业者</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CFBA960">
            <w:pPr>
              <w:jc w:val="center"/>
              <w:spacing w:before="60" w:after="60" w:line="320" w:lineRule="exact"/>
              <w:ind/>
            </w:pPr>
            <w:r>
              <w:rPr>
                <w:rFonts w:eastAsia="宋体" w:ascii="Times New Roman" w:hAnsi="Times New Roman" w:cs="宋体"/>
                <w:sz w:val="21"/>
                <w:szCs w:val="21"/>
              </w:rPr>
              <w:t>27</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32AEEA8">
            <w:pPr>
              <w:jc w:val="center"/>
              <w:spacing w:before="60" w:after="60" w:line="320" w:lineRule="exact"/>
              <w:ind/>
            </w:pPr>
            <w:r>
              <w:rPr>
                <w:rFonts w:eastAsia="宋体" w:ascii="Times New Roman" w:hAnsi="Times New Roman" w:cs="宋体"/>
                <w:sz w:val="21"/>
                <w:szCs w:val="21"/>
              </w:rPr>
              <w:t>5.3</w:t>
            </w:r>
          </w:p>
        </w:tc>
      </w:tr>
      <w:tr w14:paraId="5A9D68A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0D25D6CB">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E5BC79F">
            <w:pPr>
              <w:jc w:val="center"/>
              <w:spacing w:before="60" w:after="60" w:line="320" w:lineRule="exact"/>
              <w:ind/>
            </w:pPr>
            <w:r>
              <w:rPr>
                <w:rFonts w:eastAsia="宋体" w:ascii="Times New Roman" w:hAnsi="Times New Roman" w:cs="宋体"/>
                <w:sz w:val="21"/>
                <w:szCs w:val="21"/>
              </w:rPr>
              <w:t>电商配套服务从业者</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4CEB26F">
            <w:pPr>
              <w:jc w:val="center"/>
              <w:spacing w:before="60" w:after="60" w:line="320" w:lineRule="exact"/>
              <w:ind/>
            </w:pPr>
            <w:r>
              <w:rPr>
                <w:rFonts w:eastAsia="宋体" w:ascii="Times New Roman" w:hAnsi="Times New Roman" w:cs="宋体"/>
                <w:sz w:val="21"/>
                <w:szCs w:val="21"/>
              </w:rPr>
              <w:t>53</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398EE74">
            <w:pPr>
              <w:jc w:val="center"/>
              <w:spacing w:before="60" w:after="60" w:line="320" w:lineRule="exact"/>
              <w:ind/>
            </w:pPr>
            <w:r>
              <w:rPr>
                <w:rFonts w:eastAsia="宋体" w:ascii="Times New Roman" w:hAnsi="Times New Roman" w:cs="宋体"/>
                <w:sz w:val="21"/>
                <w:szCs w:val="21"/>
              </w:rPr>
              <w:t>10.4</w:t>
            </w:r>
          </w:p>
        </w:tc>
      </w:tr>
      <w:tr w14:paraId="6E6D0D3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none" w:sz="0" w:space="0" w:color="auto"/>
              <w:left w:val="none" w:sz="0" w:space="0" w:color="auto"/>
              <w:right w:val="none" w:sz="0" w:space="0" w:color="auto"/>
            </w:tcBorders>
          </w:tcPr>
          <w:p w14:paraId="501F7D61">
            <w:pPr>
              <w:jc w:val="center"/>
            </w:pP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A82756E">
            <w:pPr>
              <w:jc w:val="center"/>
              <w:spacing w:before="60" w:after="60" w:line="320" w:lineRule="exact"/>
              <w:ind/>
            </w:pPr>
            <w:r>
              <w:rPr>
                <w:rFonts w:eastAsia="宋体" w:ascii="Times New Roman" w:hAnsi="Times New Roman" w:cs="宋体"/>
                <w:sz w:val="21"/>
                <w:szCs w:val="21"/>
              </w:rPr>
              <w:t>政府/事业单位工作人员</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2579042">
            <w:pPr>
              <w:jc w:val="center"/>
              <w:spacing w:before="60" w:after="60" w:line="320" w:lineRule="exact"/>
              <w:ind/>
            </w:pPr>
            <w:r>
              <w:rPr>
                <w:rFonts w:eastAsia="宋体" w:ascii="Times New Roman" w:hAnsi="Times New Roman" w:cs="宋体"/>
                <w:sz w:val="21"/>
                <w:szCs w:val="21"/>
              </w:rPr>
              <w:t>44</w:t>
            </w:r>
          </w:p>
        </w:tc>
        <w:tc>
          <w:tcPr>
            <w:tcW w:w="219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B832E51">
            <w:pPr>
              <w:jc w:val="center"/>
              <w:spacing w:before="60" w:after="60" w:line="320" w:lineRule="exact"/>
              <w:ind/>
            </w:pPr>
            <w:r>
              <w:rPr>
                <w:rFonts w:eastAsia="宋体" w:ascii="Times New Roman" w:hAnsi="Times New Roman" w:cs="宋体"/>
                <w:sz w:val="21"/>
                <w:szCs w:val="21"/>
              </w:rPr>
              <w:t>8.7</w:t>
            </w:r>
          </w:p>
        </w:tc>
      </w:tr>
      <w:tr w14:paraId="4BF9D7B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vMerge w:val="continue"/>
            <w:vAlign w:val="center"/>
            <w:tcBorders>
              <w:top w:val="none" w:sz="0" w:space="0" w:color="auto"/>
              <w:bottom w:val="single" w:sz="12" w:space="0" w:color="auto"/>
              <w:left w:val="none" w:sz="0" w:space="0" w:color="auto"/>
              <w:right w:val="none" w:sz="0" w:space="0" w:color="auto"/>
            </w:tcBorders>
          </w:tcPr>
          <w:p w14:paraId="22D4D009">
            <w:pPr>
              <w:jc w:val="center"/>
            </w:pPr>
          </w:p>
        </w:tc>
        <w:tc>
          <w:tcPr>
            <w:tcW w:w="2197"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7A64E3E">
            <w:pPr>
              <w:jc w:val="center"/>
              <w:spacing w:before="60" w:after="60" w:line="320" w:lineRule="exact"/>
              <w:ind/>
            </w:pPr>
            <w:r>
              <w:rPr>
                <w:rFonts w:eastAsia="宋体" w:ascii="Times New Roman" w:hAnsi="Times New Roman" w:cs="宋体"/>
                <w:sz w:val="21"/>
                <w:szCs w:val="21"/>
              </w:rPr>
              <w:t>其他</w:t>
            </w:r>
          </w:p>
        </w:tc>
        <w:tc>
          <w:tcPr>
            <w:tcW w:w="2197"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3EFFB45">
            <w:pPr>
              <w:jc w:val="center"/>
              <w:spacing w:before="60" w:after="60" w:line="320" w:lineRule="exact"/>
              <w:ind/>
            </w:pPr>
            <w:r>
              <w:rPr>
                <w:rFonts w:eastAsia="宋体" w:ascii="Times New Roman" w:hAnsi="Times New Roman" w:cs="宋体"/>
                <w:sz w:val="21"/>
                <w:szCs w:val="21"/>
              </w:rPr>
              <w:t>37</w:t>
            </w:r>
          </w:p>
        </w:tc>
        <w:tc>
          <w:tcPr>
            <w:tcW w:w="2197"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0E41B676">
            <w:pPr>
              <w:jc w:val="center"/>
              <w:spacing w:before="60" w:after="60" w:line="320" w:lineRule="exact"/>
              <w:ind/>
            </w:pPr>
            <w:r>
              <w:rPr>
                <w:rFonts w:eastAsia="宋体" w:ascii="Times New Roman" w:hAnsi="Times New Roman" w:cs="宋体"/>
                <w:sz w:val="21"/>
                <w:szCs w:val="21"/>
              </w:rPr>
              <w:t>7.3</w:t>
            </w:r>
          </w:p>
        </w:tc>
      </w:tr>
    </w:tbl>
    <w:p w14:paraId="0730D96E">
      <w:pPr>
        <w:pStyle w:val="3"/>
        <w:spacing w:before="240" w:after="240" w:line="400" w:lineRule="exact"/>
        <w:jc w:val="both"/>
      </w:pPr>
      <w:r>
        <w:rPr>
          <w:b/>
          <w:rFonts w:eastAsia="黑体" w:ascii="Times New Roman" w:hAnsi="Times New Roman" w:cs="黑体"/>
          <w:sz w:val="28"/>
          <w:szCs w:val="28"/>
        </w:rPr>
        <w:t>4.2 信度与效度检验</w:t>
      </w:r>
    </w:p>
    <w:p w14:paraId="68161B56">
      <w:pPr>
        <w:pStyle w:val="4"/>
        <w:spacing w:before="0" w:after="0" w:line="400" w:lineRule="exact"/>
        <w:jc w:val="both"/>
      </w:pPr>
      <w:r>
        <w:rPr>
          <w:b/>
          <w:rFonts w:eastAsia="黑体" w:ascii="Times New Roman" w:hAnsi="Times New Roman" w:cs="黑体"/>
          <w:sz w:val="24"/>
          <w:szCs w:val="24"/>
        </w:rPr>
        <w:t>4.2.1 信度检验</w:t>
      </w:r>
    </w:p>
    <w:p w14:paraId="29892CBC">
      <w:pPr>
        <w:spacing w:before="0" w:after="0" w:line="400" w:lineRule="exact"/>
        <w:jc w:val="both"/>
        <w:ind w:firstLine="480"/>
      </w:pPr>
      <w:r>
        <w:rPr>
          <w:rFonts w:eastAsia="宋体" w:ascii="Times New Roman" w:hAnsi="Times New Roman" w:cs="宋体"/>
          <w:sz w:val="24"/>
          <w:szCs w:val="24"/>
        </w:rPr>
        <w:t>本文采用Cronbach α系数对正式调研数据（N=508）各维度量表进行内部一致性信度检验。结果如表4-2所示，六个维度的Cronbach α系数均在0.750以上，政策治理（GP）、人才支撑（TS）、基础设施建设（IF）、技术创新水平（TI）、数字化能力（DS）、资源禀赋（EN）的α值分别为0.865、0.854、0.844、0.808、0.870、0.857，均显著超过0.700的可接受</w:t>
      </w:r>
      <w:r>
        <w:rPr>
          <w:rFonts w:eastAsia="宋体" w:ascii="Times New Roman" w:hAnsi="Times New Roman" w:cs="宋体"/>
          <w:highlight w:val="yellow"/>
          <w:sz w:val="24"/>
          <w:szCs w:val="24"/>
        </w:rPr>
        <w:t xml:space="preserve">标准（Nunnally，1978）</w:t>
      </w:r>
      <w:r>
        <w:rPr>
          <w:rStyle w:val="FootnoteReference"/>
        </w:rPr>
        <w:endnoteReference w:id="17"/>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表明各维度量表信度良好，测量数据内部一致性满足研究需求。</w:t>
      </w:r>
    </w:p>
    <w:p w14:paraId="41F3B539">
      <w:pPr>
        <w:pStyle w:val="12"/>
        <w:spacing w:before="120" w:after="120" w:line="400" w:lineRule="exact"/>
        <w:jc w:val="center"/>
        <w:ind/>
      </w:pPr>
      <w:r>
        <w:rPr>
          <w:b/>
          <w:rFonts w:eastAsia="宋体" w:ascii="Times New Roman" w:hAnsi="Times New Roman" w:cs="宋体"/>
          <w:sz w:val="21"/>
          <w:szCs w:val="21"/>
        </w:rPr>
        <w:t>表4-2 各维度Cronbach α系数（正式调研，N=508）</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FF43E1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B1F89E7">
            <w:pPr>
              <w:jc w:val="center"/>
              <w:rPr>
                <w:b w:val="0"/>
                <w:bCs/>
              </w:rPr>
              <w:spacing w:before="60" w:after="60" w:line="320" w:lineRule="exact"/>
              <w:ind/>
            </w:pPr>
            <w:r>
              <w:rPr>
                <w:rFonts w:eastAsia="宋体" w:ascii="Times New Roman" w:hAnsi="Times New Roman" w:cs="宋体"/>
                <w:b w:val="0"/>
                <w:bCs/>
                <w:sz w:val="21"/>
                <w:szCs w:val="21"/>
              </w:rPr>
              <w:t>维度</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63BCFB8">
            <w:pPr>
              <w:jc w:val="center"/>
              <w:rPr>
                <w:b w:val="0"/>
                <w:bCs/>
              </w:rPr>
              <w:spacing w:before="60" w:after="60" w:line="320" w:lineRule="exact"/>
              <w:ind/>
            </w:pPr>
            <w:r>
              <w:rPr>
                <w:rFonts w:eastAsia="宋体" w:ascii="Times New Roman" w:hAnsi="Times New Roman" w:cs="宋体"/>
                <w:b w:val="0"/>
                <w:bCs/>
                <w:sz w:val="21"/>
                <w:szCs w:val="21"/>
              </w:rPr>
              <w:t>变量名</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CC802D5">
            <w:pPr>
              <w:jc w:val="center"/>
              <w:rPr>
                <w:b w:val="0"/>
                <w:bCs/>
              </w:rPr>
              <w:spacing w:before="60" w:after="60" w:line="320" w:lineRule="exact"/>
              <w:ind/>
            </w:pPr>
            <w:r>
              <w:rPr>
                <w:rFonts w:eastAsia="宋体" w:ascii="Times New Roman" w:hAnsi="Times New Roman" w:cs="宋体"/>
                <w:b w:val="0"/>
                <w:bCs/>
                <w:sz w:val="21"/>
                <w:szCs w:val="21"/>
              </w:rPr>
              <w:t>题项数</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40039B06">
            <w:pPr>
              <w:jc w:val="center"/>
              <w:rPr>
                <w:b w:val="0"/>
                <w:bCs/>
              </w:rPr>
              <w:spacing w:before="60" w:after="60" w:line="320" w:lineRule="exact"/>
              <w:ind/>
            </w:pPr>
            <w:r>
              <w:rPr>
                <w:rFonts w:eastAsia="宋体" w:ascii="Times New Roman" w:hAnsi="Times New Roman" w:cs="宋体"/>
                <w:b w:val="0"/>
                <w:bCs/>
                <w:sz w:val="21"/>
                <w:szCs w:val="21"/>
              </w:rPr>
              <w:t>Cronbach α</w:t>
            </w:r>
          </w:p>
        </w:tc>
      </w:tr>
      <w:tr w14:paraId="0F57E27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政策治理</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0.756</w:t>
            </w:r>
          </w:p>
        </w:tc>
      </w:tr>
      <w:tr w14:paraId="09CFFF7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人才支撑</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0.755</w:t>
            </w:r>
          </w:p>
        </w:tc>
      </w:tr>
      <w:tr w14:paraId="05B5194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基础设施建设</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0.774</w:t>
            </w:r>
          </w:p>
        </w:tc>
      </w:tr>
      <w:tr w14:paraId="6A05ADB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技术创新水平</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0.750</w:t>
            </w:r>
          </w:p>
        </w:tc>
      </w:tr>
      <w:tr w14:paraId="32FBD17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数字化能力</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0.771</w:t>
            </w:r>
          </w:p>
        </w:tc>
      </w:tr>
      <w:tr w14:paraId="700B7ED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资源禀赋</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0.761</w:t>
            </w:r>
          </w:p>
        </w:tc>
      </w:tr>
      <w:tr>
        <w:trPr/>
        <w:tc>
          <w:tcPr>
            <w:tcW w:type="dxa" w:w="219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集群电商发展水平</w:t>
            </w:r>
          </w:p>
        </w:tc>
        <w:tc>
          <w:tcPr>
            <w:tcW w:type="dxa" w:w="219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CDL</w:t>
            </w:r>
          </w:p>
        </w:tc>
        <w:tc>
          <w:tcPr>
            <w:tcW w:type="dxa" w:w="219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3</w:t>
            </w:r>
          </w:p>
        </w:tc>
        <w:tc>
          <w:tcPr>
            <w:tcW w:type="dxa" w:w="219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0.772</w:t>
            </w:r>
          </w:p>
        </w:tc>
      </w:tr>
    </w:tbl>
    <w:p w14:paraId="0785CBA4">
      <w:pPr>
        <w:pStyle w:val="4"/>
        <w:rPr>
          <w:highlight w:val="yellow"/>
        </w:rPr>
        <w:spacing w:before="0" w:after="0" w:line="400" w:lineRule="exact"/>
        <w:jc w:val="both"/>
      </w:pPr>
      <w:r>
        <w:rPr>
          <w:b/>
          <w:rFonts w:hint="eastAsia" w:eastAsia="黑体" w:ascii="Times New Roman" w:hAnsi="Times New Roman" w:cs="黑体"/>
          <w:highlight w:val="yellow"/>
          <w:lang w:val="en-US" w:eastAsia="zh-CN"/>
          <w:sz w:val="24"/>
          <w:szCs w:val="24"/>
        </w:rPr>
        <w:t>4.2.2 效度检验（KMO与Bartlett球形检验）</w:t>
      </w:r>
    </w:p>
    <w:p w14:paraId="4E8B1575">
      <w:pPr>
        <w:pStyle w:val="4"/>
        <w:rPr>
          <w:rFonts w:hint="default" w:eastAsia="黑体"/>
          <w:lang w:val="en-US" w:eastAsia="zh-CN"/>
        </w:rPr>
        <w:spacing w:before="0" w:after="0" w:line="400" w:lineRule="exact"/>
        <w:jc w:val="both"/>
      </w:pPr>
      <w:r>
        <w:rPr>
          <w:b/>
          <w:rFonts w:eastAsia="黑体" w:ascii="Times New Roman" w:hAnsi="Times New Roman" w:cs="黑体"/>
          <w:sz w:val="24"/>
          <w:szCs w:val="24"/>
        </w:rPr>
        <w:t>4.2.2</w:t>
      </w:r>
      <w:r>
        <w:rPr>
          <w:b/>
          <w:rFonts w:hint="eastAsia" w:eastAsia="黑体" w:ascii="Times New Roman" w:hAnsi="Times New Roman" w:cs="黑体"/>
          <w:lang w:val="en-US" w:eastAsia="zh-CN"/>
          <w:sz w:val="24"/>
          <w:szCs w:val="24"/>
        </w:rPr>
        <w:t>收敛效度检验</w:t>
      </w:r>
    </w:p>
    <w:p w14:paraId="3F1D5E07">
      <w:pPr>
        <w:spacing w:before="0" w:after="0" w:line="400" w:lineRule="exact"/>
        <w:jc w:val="both"/>
        <w:ind w:firstLine="480"/>
      </w:pPr>
      <w:r>
        <w:rPr>
          <w:rFonts w:eastAsia="宋体" w:ascii="Times New Roman" w:hAnsi="Times New Roman" w:cs="宋体"/>
          <w:sz w:val="24"/>
          <w:szCs w:val="24"/>
        </w:rPr>
        <w:t>在探索性因子分析基础上，本文进一步采用验证性因子分析（CFA）对测量模型进行检验，评估各题项在对应潜变量上的因子载荷（FL）、平均方差提取量（AVE）及组合信度（CR），以验证量表的</w:t>
      </w:r>
      <w:r>
        <w:rPr>
          <w:rFonts w:hint="eastAsia" w:eastAsia="宋体" w:ascii="Times New Roman" w:hAnsi="Times New Roman" w:cs="宋体"/>
          <w:lang w:val="en-US" w:eastAsia="zh-CN"/>
          <w:sz w:val="24"/>
          <w:szCs w:val="24"/>
        </w:rPr>
        <w:t>收敛</w:t>
      </w:r>
      <w:r>
        <w:rPr>
          <w:rFonts w:eastAsia="宋体" w:ascii="Times New Roman" w:hAnsi="Times New Roman" w:cs="宋体"/>
          <w:sz w:val="24"/>
          <w:szCs w:val="24"/>
        </w:rPr>
        <w:t>效度。</w:t>
      </w:r>
    </w:p>
    <w:p w14:paraId="4CD1051D">
      <w:pPr>
        <w:spacing w:before="0" w:after="0" w:line="400" w:lineRule="exact"/>
        <w:jc w:val="both"/>
        <w:ind w:firstLine="480"/>
      </w:pPr>
      <w:r>
        <w:t>由表4-3可知，六个潜变量题项的标准化因子载荷（FL）均在0.780以上，满足0.500以上的常用判断标准（Hair et al.，2010）；各潜变量AVE介于0.667—0.690，均高于0.500阈值（Fornell &amp; Larcker，1981）；CR介于0.857—0.870，均高于0.700。据此可判定，测量模型具有良好的收敛效度。按照研究设定，表4-3仅保留前因与中介构念，不纳入结果变量CDL题项。</w:t>
      </w:r>
    </w:p>
    <w:p w14:paraId="202CD126">
      <w:pPr>
        <w:pStyle w:val="12"/>
        <w:spacing w:before="120" w:after="120" w:line="400" w:lineRule="exact"/>
        <w:jc w:val="center"/>
        <w:ind/>
      </w:pPr>
      <w:r>
        <w:rPr>
          <w:b/>
          <w:rFonts w:eastAsia="宋体" w:ascii="Times New Roman" w:hAnsi="Times New Roman" w:cs="宋体"/>
          <w:sz w:val="21"/>
          <w:szCs w:val="21"/>
        </w:rPr>
        <w:t xml:space="preserve">表4-3 </w:t>
      </w:r>
      <w:r>
        <w:rPr>
          <w:b/>
          <w:rFonts w:hint="eastAsia" w:eastAsia="宋体" w:ascii="Times New Roman" w:hAnsi="Times New Roman" w:cs="宋体"/>
          <w:lang w:val="en-US" w:eastAsia="zh-CN"/>
          <w:sz w:val="21"/>
          <w:szCs w:val="21"/>
        </w:rPr>
        <w:t>收敛效度检验</w:t>
      </w:r>
      <w:r>
        <w:rPr>
          <w:b/>
          <w:rFonts w:eastAsia="宋体" w:ascii="Times New Roman" w:hAnsi="Times New Roman" w:cs="宋体"/>
          <w:sz w:val="21"/>
          <w:szCs w:val="21"/>
        </w:rPr>
        <w:t>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630"/>
      </w:tblGrid>
      <w:tr w14:paraId="1191764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10A9B90">
            <w:pPr>
              <w:jc w:val="center"/>
              <w:rPr>
                <w:b w:val="0"/>
                <w:bCs/>
              </w:rPr>
              <w:spacing w:before="60" w:after="60" w:line="320" w:lineRule="exact"/>
              <w:ind/>
            </w:pPr>
            <w:r>
              <w:rPr>
                <w:rFonts w:eastAsia="宋体" w:ascii="Times New Roman" w:hAnsi="Times New Roman" w:cs="宋体"/>
                <w:b w:val="0"/>
                <w:bCs/>
                <w:sz w:val="21"/>
                <w:szCs w:val="21"/>
              </w:rPr>
              <w:t>构念</w:t>
            </w:r>
          </w:p>
        </w:tc>
        <w:tc>
          <w:tcPr>
            <w:tcW w:w="1464"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49BEBE3">
            <w:pPr>
              <w:jc w:val="center"/>
              <w:rPr>
                <w:b w:val="0"/>
                <w:bCs/>
              </w:rPr>
              <w:spacing w:before="60" w:after="60" w:line="320" w:lineRule="exact"/>
              <w:ind/>
            </w:pPr>
            <w:r>
              <w:rPr>
                <w:rFonts w:eastAsia="宋体" w:ascii="Times New Roman" w:hAnsi="Times New Roman" w:cs="宋体"/>
                <w:b w:val="0"/>
                <w:bCs/>
                <w:sz w:val="21"/>
                <w:szCs w:val="21"/>
              </w:rPr>
              <w:t>题项</w:t>
            </w:r>
          </w:p>
        </w:tc>
        <w:tc>
          <w:tcPr>
            <w:tcW w:w="1464"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ED8669A">
            <w:pPr>
              <w:jc w:val="center"/>
              <w:rPr>
                <w:b w:val="0"/>
                <w:bCs/>
              </w:rPr>
              <w:spacing w:before="60" w:after="60" w:line="320" w:lineRule="exact"/>
              <w:ind/>
            </w:pPr>
            <w:r>
              <w:rPr>
                <w:rFonts w:eastAsia="宋体" w:ascii="Times New Roman" w:hAnsi="Times New Roman" w:cs="宋体"/>
                <w:b w:val="0"/>
                <w:bCs/>
                <w:sz w:val="21"/>
                <w:szCs w:val="21"/>
              </w:rPr>
              <w:t>标准化因子载荷（FL）</w:t>
            </w:r>
          </w:p>
        </w:tc>
        <w:tc>
          <w:tcPr>
            <w:tcW w:w="1464"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037E3D5">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43B10EA8">
            <w:pPr>
              <w:jc w:val="center"/>
              <w:rPr>
                <w:b w:val="0"/>
                <w:bCs/>
              </w:rPr>
              <w:spacing w:before="60" w:after="60" w:line="320" w:lineRule="exact"/>
              <w:ind/>
            </w:pPr>
            <w:r>
              <w:rPr>
                <w:rFonts w:eastAsia="宋体" w:ascii="Times New Roman" w:hAnsi="Times New Roman" w:cs="宋体"/>
                <w:b w:val="0"/>
                <w:bCs/>
                <w:sz w:val="21"/>
                <w:szCs w:val="21"/>
              </w:rPr>
              <w:t>AVE</w:t>
            </w:r>
          </w:p>
        </w:tc>
        <w:tc>
          <w:tcPr>
            <w:tcW w:w="1630"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CAF07C2">
            <w:pPr>
              <w:jc w:val="center"/>
              <w:rPr>
                <w:b w:val="0"/>
                <w:bCs/>
              </w:rPr>
              <w:spacing w:before="60" w:after="60" w:line="320" w:lineRule="exact"/>
              <w:ind/>
            </w:pPr>
            <w:r>
              <w:rPr>
                <w:rFonts w:eastAsia="宋体" w:ascii="Times New Roman" w:hAnsi="Times New Roman" w:cs="宋体"/>
                <w:b w:val="0"/>
                <w:bCs/>
                <w:sz w:val="21"/>
                <w:szCs w:val="21"/>
              </w:rPr>
              <w:t>Cronbach α</w:t>
            </w:r>
          </w:p>
        </w:tc>
      </w:tr>
      <w:tr w14:paraId="6AB7F49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GP（政策治理）</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0.823</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0.860</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0.672</w:t>
            </w:r>
          </w:p>
        </w:tc>
        <w:tc>
          <w:tcPr>
            <w:tcW w:w="1630"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0.756</w:t>
            </w:r>
          </w:p>
        </w:tc>
      </w:tr>
      <w:tr w14:paraId="694D76B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464D134F">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0.819</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7C637718">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117EE0E7">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5EE3DC9B">
            <w:pPr>
              <w:jc w:val="center"/>
              <w:rPr>
                <w:b w:val="0"/>
                <w:bCs/>
              </w:rPr>
            </w:pPr>
          </w:p>
        </w:tc>
      </w:tr>
      <w:tr w14:paraId="4349A0F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2E43D83">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GP3</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0.817</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3391D2DD">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2BF26B88">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14FC8F11">
            <w:pPr>
              <w:jc w:val="center"/>
              <w:rPr>
                <w:b w:val="0"/>
                <w:bCs/>
              </w:rPr>
            </w:pPr>
          </w:p>
        </w:tc>
      </w:tr>
      <w:tr w14:paraId="7468D6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TS（人才支撑）</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0.830</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0.859</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0.671</w:t>
            </w:r>
          </w:p>
        </w:tc>
        <w:tc>
          <w:tcPr>
            <w:tcW w:w="1630"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0.755</w:t>
            </w:r>
          </w:p>
        </w:tc>
      </w:tr>
      <w:tr w14:paraId="38A2643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0CEC08E4">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0.814</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784DBF6C">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669FA714">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5025EA98">
            <w:pPr>
              <w:jc w:val="center"/>
              <w:rPr>
                <w:b w:val="0"/>
                <w:bCs/>
              </w:rPr>
            </w:pPr>
          </w:p>
        </w:tc>
      </w:tr>
      <w:tr w14:paraId="38DB597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1811D604">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TS3</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0.813</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2C31A423">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44ED8E7F">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1AC8C726">
            <w:pPr>
              <w:jc w:val="center"/>
              <w:rPr>
                <w:b w:val="0"/>
                <w:bCs/>
              </w:rPr>
            </w:pPr>
          </w:p>
        </w:tc>
      </w:tr>
      <w:tr w14:paraId="069C4F4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IF（基础设施建设）</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0.853</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0.870</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0.690</w:t>
            </w:r>
          </w:p>
        </w:tc>
        <w:tc>
          <w:tcPr>
            <w:tcW w:w="1630"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0.774</w:t>
            </w:r>
          </w:p>
        </w:tc>
      </w:tr>
      <w:tr w14:paraId="58BADF7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266F4130">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0.827</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45A3820F">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7F9F2B42">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D5857FF">
            <w:pPr>
              <w:jc w:val="center"/>
              <w:rPr>
                <w:b w:val="0"/>
                <w:bCs/>
              </w:rPr>
            </w:pPr>
          </w:p>
        </w:tc>
      </w:tr>
      <w:tr w14:paraId="420F51F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5B9AE0A1">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IF3</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0.811</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69917318">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323B1450">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74D6CB5F">
            <w:pPr>
              <w:jc w:val="center"/>
              <w:rPr>
                <w:b w:val="0"/>
                <w:bCs/>
              </w:rPr>
            </w:pPr>
          </w:p>
        </w:tc>
      </w:tr>
      <w:tr w14:paraId="643190E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TI（技术创新水平）</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0.833</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0.857</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0.667</w:t>
            </w:r>
          </w:p>
        </w:tc>
        <w:tc>
          <w:tcPr>
            <w:tcW w:w="1630"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0.750</w:t>
            </w:r>
          </w:p>
        </w:tc>
      </w:tr>
      <w:tr w14:paraId="2AC7B2B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00A34F95">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0.835</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5626BFD5">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227BC18F">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2E2EFBC">
            <w:pPr>
              <w:jc w:val="center"/>
              <w:rPr>
                <w:b w:val="0"/>
                <w:bCs/>
              </w:rPr>
            </w:pPr>
          </w:p>
        </w:tc>
      </w:tr>
      <w:tr w14:paraId="2D2305D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B8A5DA6">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TI3</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0.780</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50F02511">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5109B4FE">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6B749BC1">
            <w:pPr>
              <w:jc w:val="center"/>
              <w:rPr>
                <w:b w:val="0"/>
                <w:bCs/>
              </w:rPr>
            </w:pPr>
          </w:p>
        </w:tc>
      </w:tr>
      <w:tr w14:paraId="4B72FF0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DS（数字技能）</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0.825</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0.867</w:t>
            </w:r>
          </w:p>
        </w:tc>
        <w:tc>
          <w:tcPr>
            <w:tcW w:w="1464"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0.686</w:t>
            </w:r>
          </w:p>
        </w:tc>
        <w:tc>
          <w:tcPr>
            <w:tcW w:w="1630"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0.771</w:t>
            </w:r>
          </w:p>
        </w:tc>
      </w:tr>
      <w:tr w14:paraId="41E9CC8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37A8F0A9">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0.823</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4D290221">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745F5A0A">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49C87D1F">
            <w:pPr>
              <w:jc w:val="center"/>
              <w:rPr>
                <w:b w:val="0"/>
                <w:bCs/>
              </w:rPr>
            </w:pPr>
          </w:p>
        </w:tc>
      </w:tr>
      <w:tr w14:paraId="72FCA11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5ABF6694">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DS3</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0.836</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361C31DA">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134EDC25">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0964D913">
            <w:pPr>
              <w:jc w:val="center"/>
              <w:rPr>
                <w:b w:val="0"/>
                <w:bCs/>
              </w:rPr>
            </w:pPr>
          </w:p>
        </w:tc>
      </w:tr>
      <w:tr w14:paraId="220F930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EN（资源禀赋）</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EN1</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0.807</w:t>
            </w:r>
          </w:p>
        </w:tc>
        <w:tc>
          <w:tcPr>
            <w:tcW w:w="1464"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0.863</w:t>
            </w:r>
          </w:p>
        </w:tc>
        <w:tc>
          <w:tcPr>
            <w:tcW w:w="1464"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0.677</w:t>
            </w:r>
          </w:p>
        </w:tc>
        <w:tc>
          <w:tcPr>
            <w:tcW w:w="1630" w:type="dxa"/>
            <w:vMerge w:val="restart"/>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0.761</w:t>
            </w:r>
          </w:p>
        </w:tc>
      </w:tr>
      <w:tr w14:paraId="265D4A3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18F407A9">
            <w:pPr>
              <w:jc w:val="center"/>
              <w:rPr>
                <w:b w:val="0"/>
                <w:bCs/>
              </w:rPr>
            </w:pP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EN2</w:t>
            </w:r>
          </w:p>
        </w:tc>
        <w:tc>
          <w:tcPr>
            <w:tcW w:w="1464"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0.854</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67134AC0">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4D5FBCCB">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7D031123">
            <w:pPr>
              <w:jc w:val="center"/>
              <w:rPr>
                <w:b w:val="0"/>
                <w:bCs/>
              </w:rPr>
            </w:pPr>
          </w:p>
        </w:tc>
      </w:tr>
      <w:tr w14:paraId="7463C31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vMerge w:val="continue"/>
            <w:vAlign w:val="center"/>
            <w:tcBorders>
              <w:top w:val="none" w:sz="0" w:space="0" w:color="auto"/>
              <w:bottom w:val="none" w:sz="0" w:space="0" w:color="auto"/>
              <w:left w:val="none" w:sz="0" w:space="0" w:color="auto"/>
              <w:right w:val="none" w:sz="0" w:space="0" w:color="auto"/>
            </w:tcBorders>
          </w:tcPr>
          <w:p w14:paraId="6B469067">
            <w:pPr>
              <w:jc w:val="center"/>
              <w:rPr>
                <w:b w:val="0"/>
                <w:bCs/>
              </w:rPr>
            </w:pPr>
          </w:p>
        </w:tc>
        <w:tc>
          <w:tcPr>
            <w:tcW w:w="1464"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EN3</w:t>
            </w:r>
          </w:p>
        </w:tc>
        <w:tc>
          <w:tcPr>
            <w:tcW w:w="1464" w:type="dxa"/>
            <w:vAlign w:val="center"/>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0.806</w:t>
            </w:r>
          </w:p>
        </w:tc>
        <w:tc>
          <w:tcPr>
            <w:tcW w:w="1464" w:type="dxa"/>
            <w:vMerge w:val="continue"/>
            <w:vAlign w:val="center"/>
            <w:tcBorders>
              <w:top w:val="none" w:sz="0" w:space="0" w:color="auto"/>
              <w:bottom w:val="none" w:sz="0" w:space="0" w:color="auto"/>
              <w:left w:val="none" w:sz="0" w:space="0" w:color="auto"/>
              <w:right w:val="none" w:sz="0" w:space="0" w:color="auto"/>
            </w:tcBorders>
          </w:tcPr>
          <w:p w14:paraId="11804447">
            <w:pPr>
              <w:jc w:val="center"/>
              <w:rPr>
                <w:b w:val="0"/>
                <w:bCs/>
              </w:rPr>
            </w:pPr>
          </w:p>
        </w:tc>
        <w:tc>
          <w:tcPr>
            <w:tcW w:w="1464" w:type="dxa"/>
            <w:vMerge w:val="continue"/>
            <w:vAlign w:val="center"/>
            <w:tcBorders>
              <w:top w:val="none" w:sz="0" w:space="0" w:color="auto"/>
              <w:bottom w:val="none" w:sz="0" w:space="0" w:color="auto"/>
              <w:left w:val="none" w:sz="0" w:space="0" w:color="auto"/>
              <w:right w:val="none" w:sz="0" w:space="0" w:color="auto"/>
            </w:tcBorders>
          </w:tcPr>
          <w:p w14:paraId="01687BB8">
            <w:pPr>
              <w:jc w:val="center"/>
              <w:rPr>
                <w:b w:val="0"/>
                <w:bCs/>
              </w:rPr>
            </w:pPr>
          </w:p>
        </w:tc>
        <w:tc>
          <w:tcPr>
            <w:tcW w:w="1630" w:type="dxa"/>
            <w:vMerge w:val="continue"/>
            <w:vAlign w:val="center"/>
            <w:tcBorders>
              <w:top w:val="none" w:sz="0" w:space="0" w:color="auto"/>
              <w:bottom w:val="none" w:sz="0" w:space="0" w:color="auto"/>
              <w:left w:val="none" w:sz="0" w:space="0" w:color="auto"/>
              <w:right w:val="none" w:sz="0" w:space="0" w:color="auto"/>
            </w:tcBorders>
          </w:tcPr>
          <w:p w14:paraId="676B0A0C">
            <w:pPr>
              <w:jc w:val="center"/>
              <w:rPr>
                <w:b w:val="0"/>
                <w:bCs/>
              </w:rPr>
            </w:pPr>
          </w:p>
        </w:tc>
      </w:tr>
    </w:tbl>
    <w:p w14:paraId="2E4FC42F">
      <w:pPr>
        <w:pStyle w:val="4"/>
        <w:spacing w:before="0" w:after="0" w:line="400" w:lineRule="exact"/>
        <w:jc w:val="both"/>
      </w:pPr>
      <w:r>
        <w:rPr>
          <w:b/>
          <w:rFonts w:eastAsia="黑体" w:ascii="Times New Roman" w:hAnsi="Times New Roman" w:cs="黑体"/>
          <w:sz w:val="24"/>
          <w:szCs w:val="24"/>
        </w:rPr>
        <w:t>4.2.3 区分效度检验</w:t>
      </w:r>
    </w:p>
    <w:p w14:paraId="41E08E46">
      <w:pPr>
        <w:spacing w:before="0" w:after="0" w:line="400" w:lineRule="exact"/>
        <w:jc w:val="both"/>
        <w:ind w:firstLine="480"/>
      </w:pPr>
      <w:r>
        <w:rPr>
          <w:rFonts w:eastAsia="宋体" w:ascii="Times New Roman" w:hAnsi="Times New Roman" w:cs="宋体"/>
          <w:sz w:val="24"/>
          <w:szCs w:val="24"/>
        </w:rPr>
        <w:t>本文采用Fornell-Larcker准则检验区分效度，即</w:t>
      </w:r>
      <w:r>
        <w:rPr>
          <w:rFonts w:eastAsia="宋体" w:ascii="Times New Roman" w:hAnsi="Times New Roman" w:cs="宋体"/>
          <w:highlight w:val="yellow"/>
          <w:sz w:val="24"/>
          <w:szCs w:val="24"/>
        </w:rPr>
        <w:t>各潜变量的AVE平方根（√AVE）应大于其与其他潜变量的相关系数</w:t>
      </w:r>
      <w:r>
        <w:rPr>
          <w:rFonts w:eastAsia="宋体" w:ascii="Times New Roman" w:hAnsi="Times New Roman" w:cs="宋体"/>
          <w:sz w:val="24"/>
          <w:szCs w:val="24"/>
        </w:rPr>
        <w:t>。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14:paraId="36DE26A2">
      <w:pPr>
        <w:pStyle w:val="12"/>
        <w:spacing w:before="120" w:after="120" w:line="400" w:lineRule="exact"/>
        <w:jc w:val="center"/>
        <w:ind/>
      </w:pPr>
      <w:r>
        <w:rPr>
          <w:b/>
          <w:rFonts w:eastAsia="宋体" w:ascii="Times New Roman" w:hAnsi="Times New Roman" w:cs="宋体"/>
          <w:sz w:val="21"/>
          <w:szCs w:val="21"/>
        </w:rPr>
        <w:t>表4-4 区分效度检验：相关矩阵与√AVE（对角线）</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0816563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B93CF55">
            <w:pPr>
              <w:jc w:val="center"/>
              <w:spacing w:before="60" w:after="60" w:line="320" w:lineRule="exact"/>
              <w:ind/>
            </w:pP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A0AD8F5">
            <w:pPr>
              <w:jc w:val="center"/>
              <w:spacing w:before="60" w:after="60" w:line="320" w:lineRule="exact"/>
              <w:ind/>
            </w:pPr>
            <w:r>
              <w:rPr>
                <w:rFonts w:eastAsia="宋体" w:ascii="Times New Roman" w:hAnsi="Times New Roman" w:cs="宋体"/>
                <w:b/>
                <w:sz w:val="21"/>
                <w:szCs w:val="21"/>
              </w:rPr>
              <w:t>GP</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D758B34">
            <w:pPr>
              <w:jc w:val="center"/>
              <w:spacing w:before="60" w:after="60" w:line="320" w:lineRule="exact"/>
              <w:ind/>
            </w:pPr>
            <w:r>
              <w:rPr>
                <w:rFonts w:eastAsia="宋体" w:ascii="Times New Roman" w:hAnsi="Times New Roman" w:cs="宋体"/>
                <w:b/>
                <w:sz w:val="21"/>
                <w:szCs w:val="21"/>
              </w:rPr>
              <w:t>TS</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185FA4C">
            <w:pPr>
              <w:jc w:val="center"/>
              <w:spacing w:before="60" w:after="60" w:line="320" w:lineRule="exact"/>
              <w:ind/>
            </w:pPr>
            <w:r>
              <w:rPr>
                <w:rFonts w:eastAsia="宋体" w:ascii="Times New Roman" w:hAnsi="Times New Roman" w:cs="宋体"/>
                <w:b/>
                <w:sz w:val="21"/>
                <w:szCs w:val="21"/>
              </w:rPr>
              <w:t>IF</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238442B">
            <w:pPr>
              <w:jc w:val="center"/>
              <w:spacing w:before="60" w:after="60" w:line="320" w:lineRule="exact"/>
              <w:ind/>
            </w:pPr>
            <w:r>
              <w:rPr>
                <w:rFonts w:eastAsia="宋体" w:ascii="Times New Roman" w:hAnsi="Times New Roman" w:cs="宋体"/>
                <w:b/>
                <w:sz w:val="21"/>
                <w:szCs w:val="21"/>
              </w:rPr>
              <w:t>TI</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8FDF977">
            <w:pPr>
              <w:jc w:val="center"/>
              <w:spacing w:before="60" w:after="60" w:line="320" w:lineRule="exact"/>
              <w:ind/>
            </w:pPr>
            <w:r>
              <w:rPr>
                <w:rFonts w:eastAsia="宋体" w:ascii="Times New Roman" w:hAnsi="Times New Roman" w:cs="宋体"/>
                <w:b/>
                <w:sz w:val="21"/>
                <w:szCs w:val="21"/>
              </w:rPr>
              <w:t>DS</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182FAFA">
            <w:pPr>
              <w:jc w:val="center"/>
              <w:spacing w:before="60" w:after="60" w:line="320" w:lineRule="exact"/>
              <w:ind/>
            </w:pPr>
            <w:r>
              <w:rPr>
                <w:rFonts w:eastAsia="宋体" w:ascii="Times New Roman" w:hAnsi="Times New Roman" w:cs="宋体"/>
                <w:b/>
                <w:sz w:val="21"/>
                <w:szCs w:val="21"/>
              </w:rPr>
              <w:t>EN</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 xml:space="preserve">CDL</w:t>
            </w:r>
          </w:p>
        </w:tc>
      </w:tr>
      <w:tr w14:paraId="7CC8D89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0.820</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0.518</w:t>
            </w:r>
          </w:p>
        </w:tc>
      </w:tr>
      <w:tr w14:paraId="64F4299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0.396</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0.819</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0.531</w:t>
            </w:r>
          </w:p>
        </w:tc>
      </w:tr>
      <w:tr w14:paraId="09FAE37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0.479</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0.474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0.831</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0.450</w:t>
            </w:r>
          </w:p>
        </w:tc>
      </w:tr>
      <w:tr w14:paraId="741490E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0.272</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0.294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0.254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0.817</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0.518</w:t>
            </w:r>
          </w:p>
        </w:tc>
      </w:tr>
      <w:tr w14:paraId="2BA6477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DS</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0.170</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0.200</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0.207</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0.424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0.828</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0.426</w:t>
            </w:r>
          </w:p>
        </w:tc>
      </w:tr>
      <w:tr w14:paraId="2383640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0.157</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0.170</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0.178</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0.305</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0.446</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0.823</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0.475</w:t>
            </w:r>
          </w:p>
        </w:tc>
      </w:tr>
      <w:tr>
        <w:trPr/>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CDL</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0.518</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0.531</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0.450</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0.518</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0.426</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0.475</w:t>
            </w:r>
          </w:p>
        </w:tc>
        <w:tc>
          <w:tcPr>
            <w:tcW w:type="dxa" w:w="1255"/>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0.829</w:t>
            </w:r>
          </w:p>
        </w:tc>
      </w:tr>
    </w:tbl>
    <w:p w14:paraId="36039AA0">
      <w:pPr>
        <w:spacing w:before="0" w:after="0" w:line="400" w:lineRule="exact"/>
        <w:jc w:val="both"/>
        <w:ind w:firstLine="480"/>
      </w:pPr>
      <w:r>
        <w:rPr>
          <w:rFonts w:eastAsia="宋体" w:ascii="Times New Roman" w:hAnsi="Times New Roman" w:cs="宋体"/>
          <w:sz w:val="24"/>
          <w:szCs w:val="24"/>
        </w:rPr>
        <w:t>注：对角线为各潜变量√AVE值，下三角为构念间Pearson相关系数。</w:t>
      </w:r>
    </w:p>
    <w:p w14:paraId="172031E7">
      <w:pPr>
        <w:pStyle w:val="3"/>
        <w:spacing w:before="240" w:after="240" w:line="400" w:lineRule="exact"/>
        <w:jc w:val="both"/>
      </w:pPr>
      <w:r>
        <w:rPr>
          <w:b/>
          <w:rFonts w:eastAsia="黑体" w:ascii="Times New Roman" w:hAnsi="Times New Roman" w:cs="黑体"/>
          <w:sz w:val="28"/>
          <w:szCs w:val="28"/>
        </w:rPr>
        <w:t>4.3 结构方程模型分析</w:t>
      </w:r>
    </w:p>
    <w:p w14:paraId="70C6460D">
      <w:pPr>
        <w:pStyle w:val="4"/>
        <w:spacing w:before="0" w:after="0" w:line="400" w:lineRule="exact"/>
        <w:jc w:val="both"/>
      </w:pPr>
      <w:r>
        <w:rPr>
          <w:b/>
          <w:rFonts w:eastAsia="黑体" w:ascii="Times New Roman" w:hAnsi="Times New Roman" w:cs="黑体"/>
          <w:sz w:val="24"/>
          <w:szCs w:val="24"/>
        </w:rPr>
        <w:t>4.3.1 模型设定与拟合优度</w:t>
      </w:r>
    </w:p>
    <w:p w14:paraId="29B702D5">
      <w:pPr>
        <w:spacing w:before="0" w:after="0" w:line="400" w:lineRule="exact"/>
        <w:jc w:val="both"/>
        <w:ind w:firstLine="480"/>
      </w:pPr>
      <w:r>
        <w:rPr>
          <w:rFonts w:eastAsia="宋体" w:ascii="Times New Roman" w:hAnsi="Times New Roman" w:cs="宋体"/>
          <w:sz w:val="24"/>
          <w:szCs w:val="24"/>
        </w:rPr>
        <w:t>本文构建纯中介型结构方程模型（Pure Mediation SEM）：政策治理、人才支撑通过基础设施建设间接影响集群数字化发展水平；技术创新水平、资源禀赋通过数字化能力间接影响集群电商发展水平。该模型设定依据以下两点理由：其一，GP、TS、IF、TI四变量间存在</w:t>
      </w:r>
      <w:r>
        <w:rPr>
          <w:rFonts w:hint="eastAsia" w:eastAsia="宋体" w:ascii="Times New Roman" w:hAnsi="Times New Roman" w:cs="宋体"/>
          <w:lang w:val="en-US" w:eastAsia="zh-CN"/>
          <w:sz w:val="24"/>
          <w:szCs w:val="24"/>
        </w:rPr>
        <w:t>一定的</w:t>
      </w:r>
      <w:r>
        <w:rPr>
          <w:rFonts w:eastAsia="宋体" w:ascii="Times New Roman" w:hAnsi="Times New Roman" w:cs="宋体"/>
          <w:sz w:val="24"/>
          <w:szCs w:val="24"/>
        </w:rPr>
        <w:t>相关，若直接纳入同一结构方程将引发严重多重共线性（VIF&gt;10）；其二，</w:t>
      </w:r>
      <w:r>
        <w:rPr>
          <w:rFonts w:hint="eastAsia" w:eastAsia="宋体" w:ascii="Times New Roman" w:hAnsi="Times New Roman" w:cs="宋体"/>
          <w:lang w:val="en-US" w:eastAsia="zh-CN"/>
          <w:sz w:val="24"/>
          <w:szCs w:val="24"/>
        </w:rPr>
        <w:t>ROT</w:t>
      </w:r>
      <w:r>
        <w:rPr>
          <w:rFonts w:eastAsia="宋体" w:ascii="Times New Roman" w:hAnsi="Times New Roman" w:cs="宋体"/>
          <w:sz w:val="24"/>
          <w:szCs w:val="24"/>
        </w:rPr>
        <w:t>框架下，政策与环境条件通过赋能中介变量形成间接作用路径符合理论逻辑。</w:t>
      </w:r>
    </w:p>
    <w:p w14:paraId="57F1D1CA">
      <w:pPr>
        <w:rPr>
          <w:highlight w:val="yellow"/>
        </w:rPr>
        <w:spacing w:before="0" w:after="0" w:line="400" w:lineRule="exact"/>
        <w:jc w:val="both"/>
        <w:ind w:firstLine="480"/>
      </w:pPr>
      <w:r>
        <w:rPr>
          <w:rFonts w:eastAsia="宋体" w:ascii="Times New Roman" w:hAnsi="Times New Roman" w:cs="宋体"/>
          <w:highlight w:val="yellow"/>
          <w:sz w:val="24"/>
          <w:szCs w:val="24"/>
        </w:rPr>
        <w:t xml:space="preserve">采用极大似然估计法（ML）对模型进行估计，模型拟合指数如表4-5所示。χ²/df=2.370，在2—3的可接受范围内（Wheaton等，1977）</w:t>
      </w:r>
      <w:r>
        <w:rPr>
          <w:rStyle w:val="FootnoteReference"/>
        </w:rPr>
        <w:endnoteReference w:id="12"/>
      </w:r>
      <w:r>
        <w:rPr>
          <w:rFonts w:eastAsia="宋体" w:ascii="Times New Roman" w:hAnsi="Times New Roman" w:cs="宋体"/>
          <w:highlight w:val="yellow"/>
          <w:sz w:val="24"/>
          <w:szCs w:val="24"/>
        </w:rPr>
        <w:t xml:space="preserve">；CFI=0.976，TLI=0.963，均超过0.900的判断标准（Bentler &amp; Bonett，1980）</w:t>
      </w:r>
      <w:r>
        <w:rPr>
          <w:rStyle w:val="FootnoteReference"/>
        </w:rPr>
        <w:endnoteReference w:id="13"/>
      </w:r>
      <w:r>
        <w:rPr>
          <w:rFonts w:eastAsia="宋体" w:ascii="Times New Roman" w:hAnsi="Times New Roman" w:cs="宋体"/>
          <w:highlight w:val="yellow"/>
          <w:sz w:val="24"/>
          <w:szCs w:val="24"/>
        </w:rPr>
        <w:t xml:space="preserve">；RMSEA=0.052，接近0.050的"良好"阈值（Browne &amp; Cudeck，1993）</w:t>
      </w:r>
      <w:r>
        <w:rPr>
          <w:rStyle w:val="FootnoteReference"/>
        </w:rPr>
        <w:endnoteReference w:id="14"/>
      </w:r>
      <w:r>
        <w:rPr>
          <w:rFonts w:eastAsia="宋体" w:ascii="Times New Roman" w:hAnsi="Times New Roman" w:cs="宋体"/>
          <w:highlight w:val="yellow"/>
          <w:sz w:val="24"/>
          <w:szCs w:val="24"/>
        </w:rPr>
        <w:t xml:space="preserve">；SRMR=0.066，低于0.080的可接受标准（Hu &amp; Bentler，1999）。各项拟合指数均达标，表明本文理论模型与观测数据具有良好适配性。</w:t>
      </w:r>
    </w:p>
    <w:p w14:paraId="69191871">
      <w:pPr>
        <w:pStyle w:val="12"/>
        <w:spacing w:before="120" w:after="120" w:line="400" w:lineRule="exact"/>
        <w:jc w:val="center"/>
        <w:ind/>
      </w:pPr>
      <w:r>
        <w:rPr>
          <w:b/>
          <w:rFonts w:eastAsia="宋体" w:ascii="Times New Roman" w:hAnsi="Times New Roman" w:cs="宋体"/>
          <w:sz w:val="21"/>
          <w:szCs w:val="21"/>
        </w:rPr>
        <w:t>表4-5 结构方程模型拟合指数</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97"/>
        <w:gridCol w:w="2197"/>
        <w:gridCol w:w="2197"/>
        <w:gridCol w:w="2197"/>
      </w:tblGrid>
      <w:tr w14:paraId="4B96494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231530B">
            <w:pPr>
              <w:jc w:val="center"/>
              <w:rPr>
                <w:b w:val="0"/>
                <w:bCs/>
              </w:rPr>
              <w:spacing w:before="60" w:after="60" w:line="320" w:lineRule="exact"/>
              <w:ind/>
            </w:pPr>
            <w:r>
              <w:rPr>
                <w:rFonts w:eastAsia="宋体" w:ascii="Times New Roman" w:hAnsi="Times New Roman" w:cs="宋体"/>
                <w:b w:val="0"/>
                <w:bCs/>
                <w:sz w:val="21"/>
                <w:szCs w:val="21"/>
              </w:rPr>
              <w:t>拟合指标</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E817B45">
            <w:pPr>
              <w:jc w:val="center"/>
              <w:rPr>
                <w:b w:val="0"/>
                <w:bCs/>
              </w:rPr>
              <w:spacing w:before="60" w:after="60" w:line="320" w:lineRule="exact"/>
              <w:ind/>
            </w:pPr>
            <w:r>
              <w:rPr>
                <w:rFonts w:eastAsia="宋体" w:ascii="Times New Roman" w:hAnsi="Times New Roman" w:cs="宋体"/>
                <w:b w:val="0"/>
                <w:bCs/>
                <w:sz w:val="21"/>
                <w:szCs w:val="21"/>
              </w:rPr>
              <w:t>参考标准</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4AA2673">
            <w:pPr>
              <w:jc w:val="center"/>
              <w:rPr>
                <w:b w:val="0"/>
                <w:bCs/>
              </w:rPr>
              <w:spacing w:before="60" w:after="60" w:line="320" w:lineRule="exact"/>
              <w:ind/>
            </w:pPr>
            <w:r>
              <w:rPr>
                <w:rFonts w:eastAsia="宋体" w:ascii="Times New Roman" w:hAnsi="Times New Roman" w:cs="宋体"/>
                <w:b w:val="0"/>
                <w:bCs/>
                <w:sz w:val="21"/>
                <w:szCs w:val="21"/>
              </w:rPr>
              <w:t>本研究结果</w:t>
            </w:r>
          </w:p>
        </w:tc>
        <w:tc>
          <w:tcPr>
            <w:tcW w:w="219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BBE8532">
            <w:pPr>
              <w:jc w:val="center"/>
              <w:rPr>
                <w:b w:val="0"/>
                <w:bCs/>
              </w:rPr>
              <w:spacing w:before="60" w:after="60" w:line="320" w:lineRule="exact"/>
              <w:ind/>
            </w:pPr>
            <w:r>
              <w:rPr>
                <w:rFonts w:eastAsia="宋体" w:ascii="Times New Roman" w:hAnsi="Times New Roman" w:cs="宋体"/>
                <w:b w:val="0"/>
                <w:bCs/>
                <w:sz w:val="21"/>
                <w:szCs w:val="21"/>
              </w:rPr>
              <w:t>判断</w:t>
            </w:r>
          </w:p>
        </w:tc>
      </w:tr>
      <w:tr w14:paraId="0A21F1B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χ²/df</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&lt;3.000</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2.213</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达标</w:t>
            </w:r>
          </w:p>
        </w:tc>
      </w:tr>
      <w:tr w14:paraId="6842F85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CFI</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&gt;0.900</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0.978</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达标</w:t>
            </w:r>
          </w:p>
        </w:tc>
      </w:tr>
      <w:tr w14:paraId="52F7E4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TLI</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&gt;0.900</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0.965</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达标</w:t>
            </w:r>
          </w:p>
        </w:tc>
      </w:tr>
      <w:tr w14:paraId="4F44148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RMSEA</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&lt;0.080（≤0.050为优）</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0.049</w:t>
            </w:r>
          </w:p>
        </w:tc>
        <w:tc>
          <w:tcPr>
            <w:tcW w:w="219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达标</w:t>
            </w:r>
          </w:p>
        </w:tc>
      </w:tr>
      <w:tr w14:paraId="4DB5B32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9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SRMR</w:t>
            </w:r>
          </w:p>
        </w:tc>
        <w:tc>
          <w:tcPr>
            <w:tcW w:w="219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&lt;0.080</w:t>
            </w:r>
          </w:p>
        </w:tc>
        <w:tc>
          <w:tcPr>
            <w:tcW w:w="219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0.059</w:t>
            </w:r>
          </w:p>
        </w:tc>
        <w:tc>
          <w:tcPr>
            <w:tcW w:w="219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达标</w:t>
            </w:r>
          </w:p>
        </w:tc>
      </w:tr>
    </w:tbl>
    <w:p w14:paraId="00218D70">
      <w:pPr>
        <w:pStyle w:val="4"/>
        <w:spacing w:before="0" w:after="0" w:line="400" w:lineRule="exact"/>
        <w:jc w:val="both"/>
      </w:pPr>
      <w:r>
        <w:rPr>
          <w:b/>
          <w:rFonts w:eastAsia="黑体" w:ascii="Times New Roman" w:hAnsi="Times New Roman" w:cs="黑体"/>
          <w:sz w:val="24"/>
          <w:szCs w:val="24"/>
        </w:rPr>
        <w:t>4.3.2 路径系数分析与假设检验</w:t>
      </w:r>
    </w:p>
    <w:p w14:paraId="63D267CB">
      <w:pPr>
        <w:spacing w:before="0" w:after="0" w:line="400" w:lineRule="exact"/>
        <w:jc w:val="both"/>
        <w:ind w:firstLine="480"/>
      </w:pPr>
      <w:r>
        <w:rPr>
          <w:rFonts w:eastAsia="宋体" w:ascii="Times New Roman" w:hAnsi="Times New Roman" w:cs="宋体"/>
          <w:sz w:val="24"/>
          <w:szCs w:val="24"/>
        </w:rPr>
        <w:t>表4-6报告了结构模型的标准化路径系数及其显著性。各路径系数均在0.001水平上显著（|C.R.|&gt;1.96），表明各假设路径均成立。</w:t>
      </w:r>
    </w:p>
    <w:p w14:paraId="55FDF0FF">
      <w:pPr>
        <w:spacing w:before="0" w:after="0" w:line="400" w:lineRule="exact"/>
        <w:jc w:val="both"/>
        <w:ind w:firstLine="480"/>
      </w:pPr>
      <w:r>
        <w:rPr>
          <w:rFonts w:eastAsia="宋体" w:ascii="Times New Roman" w:hAnsi="Times New Roman" w:cs="宋体"/>
          <w:sz w:val="24"/>
          <w:szCs w:val="24"/>
        </w:rPr>
        <w:t>在政策环境→基础设施路径（H1a、H1b）方面，GP→IF的标准化路径系数β=0.345（C.R.=13.504，p&lt;0.001），TS→IF的β=0.338（C.R.=8.723，p&lt;0.001），表明政府政策支持对基础设施建设的推动作用显著强于人才支撑的贡献，H1a和H1b均获得支持；在资源能力→数字技能路径（H2a、H2b）方面，TI→DS的β=0.317（C.R.=8.814，p&lt;0.001），EN→DS的β=0.350（C.R.=9.349，p&lt;0.001），二者对数字技能提升均具有显著正向作用，H2a和H2b获得支持；在中介变量→结果路径方面，IF→CDL的β=0.078（C.R.=14.340，p&lt;0.001），DS→CDL的β=0.100（C.R.=20.035，p&lt;0.001），DS对CDL的影响力（β=0.100）明显强于基础设施建设（β=0.078），H3a和H3b获得支持。</w:t>
      </w:r>
    </w:p>
    <w:p w14:paraId="3AF312F9">
      <w:pPr>
        <w:spacing w:before="0" w:after="0" w:line="400" w:lineRule="exact"/>
        <w:jc w:val="both"/>
        <w:ind w:firstLine="480"/>
      </w:pPr>
      <w:r>
        <w:rPr>
          <w:rFonts w:eastAsia="宋体" w:ascii="Times New Roman" w:hAnsi="Times New Roman" w:cs="宋体"/>
          <w:sz w:val="24"/>
          <w:szCs w:val="24"/>
        </w:rPr>
        <w:t>从内生变量的方差解释量来看，IF方程R²=0.326，DS方程R²=0.255，CDL方程R²=0.555，表明模型整体对集群电商发展水平具有较强的解释能力。</w:t>
      </w:r>
    </w:p>
    <w:p w14:paraId="264EA4FF">
      <w:pPr>
        <w:pStyle w:val="12"/>
        <w:spacing w:before="120" w:after="120" w:line="400" w:lineRule="exact"/>
        <w:jc w:val="center"/>
        <w:ind/>
      </w:pPr>
      <w:r>
        <w:rPr>
          <w:b/>
          <w:rFonts w:eastAsia="宋体" w:ascii="Times New Roman" w:hAnsi="Times New Roman" w:cs="宋体"/>
          <w:sz w:val="21"/>
          <w:szCs w:val="21"/>
        </w:rPr>
        <w:t>表4-6 SEM标准化路径系数及假设检验结果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64"/>
        <w:gridCol w:w="1464"/>
        <w:gridCol w:w="1464"/>
        <w:gridCol w:w="1464"/>
        <w:gridCol w:w="1464"/>
        <w:gridCol w:w="1464"/>
      </w:tblGrid>
      <w:tr w14:paraId="097FAB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0DA4516">
            <w:pPr>
              <w:jc w:val="center"/>
              <w:rPr>
                <w:b w:val="0"/>
                <w:bCs/>
              </w:rPr>
              <w:spacing w:before="60" w:after="60" w:line="320" w:lineRule="exact"/>
              <w:ind/>
            </w:pPr>
            <w:r>
              <w:rPr>
                <w:rFonts w:eastAsia="宋体" w:ascii="Times New Roman" w:hAnsi="Times New Roman" w:cs="宋体"/>
                <w:b w:val="0"/>
                <w:bCs/>
                <w:sz w:val="21"/>
                <w:szCs w:val="21"/>
              </w:rPr>
              <w:t>假设</w:t>
            </w:r>
          </w:p>
        </w:tc>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67A62C1">
            <w:pPr>
              <w:jc w:val="center"/>
              <w:rPr>
                <w:b w:val="0"/>
                <w:bCs/>
              </w:rPr>
              <w:spacing w:before="60" w:after="60" w:line="320" w:lineRule="exact"/>
              <w:ind/>
            </w:pPr>
            <w:r>
              <w:rPr>
                <w:rFonts w:eastAsia="宋体" w:ascii="Times New Roman" w:hAnsi="Times New Roman" w:cs="宋体"/>
                <w:b w:val="0"/>
                <w:bCs/>
                <w:sz w:val="21"/>
                <w:szCs w:val="21"/>
              </w:rPr>
              <w:t>路径</w:t>
            </w:r>
          </w:p>
        </w:tc>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E55FB45">
            <w:pPr>
              <w:jc w:val="center"/>
              <w:rPr>
                <w:b w:val="0"/>
                <w:bCs/>
              </w:rPr>
              <w:spacing w:before="60" w:after="60" w:line="320" w:lineRule="exact"/>
              <w:ind/>
            </w:pPr>
            <w:r>
              <w:rPr>
                <w:rFonts w:eastAsia="宋体" w:ascii="Times New Roman" w:hAnsi="Times New Roman" w:cs="宋体"/>
                <w:b w:val="0"/>
                <w:bCs/>
                <w:sz w:val="21"/>
                <w:szCs w:val="21"/>
              </w:rPr>
              <w:t>标准化系数（β）</w:t>
            </w:r>
          </w:p>
        </w:tc>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26860988">
            <w:pPr>
              <w:jc w:val="center"/>
              <w:rPr>
                <w:b w:val="0"/>
                <w:bCs/>
              </w:rPr>
              <w:spacing w:before="60" w:after="60" w:line="320" w:lineRule="exact"/>
              <w:ind/>
            </w:pPr>
            <w:r>
              <w:rPr>
                <w:rFonts w:eastAsia="宋体" w:ascii="Times New Roman" w:hAnsi="Times New Roman" w:cs="宋体"/>
                <w:b w:val="0"/>
                <w:bCs/>
                <w:sz w:val="21"/>
                <w:szCs w:val="21"/>
              </w:rPr>
              <w:t>C.R.</w:t>
            </w:r>
          </w:p>
        </w:tc>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541CEB9">
            <w:pPr>
              <w:jc w:val="center"/>
              <w:rPr>
                <w:b w:val="0"/>
                <w:bCs/>
              </w:rPr>
              <w:spacing w:before="60" w:after="60" w:line="320" w:lineRule="exact"/>
              <w:ind/>
            </w:pPr>
            <w:r>
              <w:rPr>
                <w:rFonts w:eastAsia="宋体" w:ascii="Times New Roman" w:hAnsi="Times New Roman" w:cs="宋体"/>
                <w:b w:val="0"/>
                <w:bCs/>
                <w:sz w:val="21"/>
                <w:szCs w:val="21"/>
              </w:rPr>
              <w:t>p值</w:t>
            </w:r>
          </w:p>
        </w:tc>
        <w:tc>
          <w:tcPr>
            <w:tcW w:w="1464"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5EC6303">
            <w:pPr>
              <w:jc w:val="center"/>
              <w:rPr>
                <w:b w:val="0"/>
                <w:bCs/>
              </w:rPr>
              <w:spacing w:before="60" w:after="60" w:line="320" w:lineRule="exact"/>
              <w:ind/>
            </w:pPr>
            <w:r>
              <w:rPr>
                <w:rFonts w:eastAsia="宋体" w:ascii="Times New Roman" w:hAnsi="Times New Roman" w:cs="宋体"/>
                <w:b w:val="0"/>
                <w:bCs/>
                <w:sz w:val="21"/>
                <w:szCs w:val="21"/>
              </w:rPr>
              <w:t>结果</w:t>
            </w:r>
          </w:p>
        </w:tc>
      </w:tr>
      <w:tr w14:paraId="0C29D32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 → IF</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0.345</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8.662</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14:paraId="58B9A59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H2</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 → IF</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0.338</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8.475</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14:paraId="27F875B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H3</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 → DS</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0.317</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8.056</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14:paraId="5E443A4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H4</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 → DS</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0.350</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8.881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14:paraId="1FD7FC8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H5</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 → CDL</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0.257</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7.631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14:paraId="3455F7D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H6</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 → CDL</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0.260</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7.689</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w="1464"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trPr/>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H7</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 → CDL</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0.230</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6.956</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trPr/>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H8</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 → CDL</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0.262</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8.098</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&lt;0.001</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trPr/>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H9</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IF → CDL</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0.078</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2.241</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0.025</w:t>
            </w:r>
          </w:p>
        </w:tc>
        <w:tc>
          <w:tcPr>
            <w:tcW w:type="dxa" w:w="1464"/>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支持</w:t>
            </w:r>
          </w:p>
        </w:tc>
      </w:tr>
      <w:tr>
        <w:trPr/>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H10</w:t>
            </w:r>
          </w:p>
        </w:tc>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DS → CDL</w:t>
            </w:r>
          </w:p>
        </w:tc>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0.100</w:t>
            </w:r>
          </w:p>
        </w:tc>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2.934</w:t>
            </w:r>
          </w:p>
        </w:tc>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0.003</w:t>
            </w:r>
          </w:p>
        </w:tc>
        <w:tc>
          <w:tcPr>
            <w:tcW w:type="dxa" w:w="1464"/>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支持</w:t>
            </w:r>
          </w:p>
        </w:tc>
      </w:tr>
    </w:tbl>
    <w:p w14:paraId="39A76647">
      <w:pPr>
        <w:pStyle w:val="3"/>
        <w:spacing w:before="240" w:after="240" w:line="400" w:lineRule="exact"/>
        <w:jc w:val="both"/>
      </w:pPr>
      <w:r>
        <w:rPr>
          <w:b/>
          <w:rFonts w:eastAsia="黑体" w:ascii="Times New Roman" w:hAnsi="Times New Roman" w:cs="黑体"/>
          <w:sz w:val="28"/>
          <w:szCs w:val="28"/>
        </w:rPr>
        <w:t>4.4 Bootstrap中介效应检验</w:t>
      </w:r>
    </w:p>
    <w:p w14:paraId="45EC8BBB">
      <w:pPr>
        <w:spacing w:before="0" w:after="0" w:line="400" w:lineRule="exact"/>
        <w:jc w:val="both"/>
        <w:ind w:firstLine="480"/>
      </w:pPr>
      <w:r>
        <w:rPr>
          <w:rFonts w:eastAsia="宋体" w:ascii="Times New Roman" w:hAnsi="Times New Roman" w:cs="宋体"/>
          <w:highlight w:val="yellow"/>
          <w:sz w:val="24"/>
          <w:szCs w:val="24"/>
        </w:rPr>
        <w:t>本文采用Bootstrapping方法（重复抽样5000次，置信区间</w:t>
      </w:r>
      <w:r>
        <w:rPr>
          <w:rStyle w:val="FootnoteReference"/>
        </w:rPr>
        <w:endnoteReference w:id="6"/>
      </w:r>
      <w:r>
        <w:rPr>
          <w:rFonts w:eastAsia="宋体" w:ascii="Times New Roman" w:hAnsi="Times New Roman" w:cs="宋体"/>
          <w:highlight w:val="yellow"/>
          <w:sz w:val="24"/>
          <w:szCs w:val="24"/>
        </w:rPr>
        <w:t xml:space="preserve">采用95% Bias-Corrected Bootstrap CI，Preacher &amp; Hayes，2008）</w:t>
      </w:r>
      <w:r>
        <w:rPr>
          <w:rStyle w:val="FootnoteReference"/>
        </w:rPr>
        <w:endnoteReference w:id="21"/>
      </w:r>
      <w:r>
        <w:rPr>
          <w:rFonts w:eastAsia="宋体" w:ascii="Times New Roman" w:hAnsi="Times New Roman" w:cs="宋体"/>
          <w:sz w:val="24"/>
          <w:szCs w:val="24"/>
        </w:rPr>
        <w:t>对GP→IF→CDL、TS→IF→CDL、TI→DS→CDL、EN→DS→CDL四条间接效应路径进行中介效应检验。若间接效应95%置信区间不含0，则中介效应显著。</w:t>
      </w:r>
    </w:p>
    <w:p w14:paraId="5C29AD17">
      <w:pPr>
        <w:spacing w:before="0" w:after="0" w:line="400" w:lineRule="exact"/>
        <w:jc w:val="both"/>
        <w:ind w:firstLine="480"/>
      </w:pPr>
      <w:r>
        <w:rPr>
          <w:rFonts w:eastAsia="宋体" w:ascii="Times New Roman" w:hAnsi="Times New Roman" w:cs="宋体"/>
          <w:sz w:val="24"/>
          <w:szCs w:val="24"/>
        </w:rPr>
        <w:t>检验结果如表4-7所示。四条中介路径的间接效应均显著：GP→IF→CDL的间接效应为0.215（95% CI [0.168, 0.265]，不含0），TS→IF→CDL为0.136（95% CI [0.103, 0.171]，不含0），TI→DS→CDL为0.202（95% CI [0.156, 0.268]，不含0），EN→DS→CDL为0.219（95% CI [0.163, 0.277]，不含0）。结果表明，基础设施建设在政府政策、人才支撑对集群发展水平的影响中均发挥</w:t>
      </w:r>
      <w:r>
        <w:rPr>
          <w:rFonts w:eastAsia="宋体" w:ascii="Times New Roman" w:hAnsi="Times New Roman" w:cs="宋体"/>
          <w:highlight w:val="yellow"/>
          <w:sz w:val="24"/>
          <w:szCs w:val="24"/>
        </w:rPr>
        <w:t>显著的部分中介作用；</w:t>
      </w:r>
      <w:r>
        <w:rPr>
          <w:rFonts w:eastAsia="宋体" w:ascii="Times New Roman" w:hAnsi="Times New Roman" w:cs="宋体"/>
          <w:sz w:val="24"/>
          <w:szCs w:val="24"/>
        </w:rPr>
        <w:t>数字技能在技术创新、自然环境对集群发展水平的影响中同样发挥显著的</w:t>
      </w:r>
      <w:r>
        <w:rPr>
          <w:rFonts w:eastAsia="宋体" w:ascii="Times New Roman" w:hAnsi="Times New Roman" w:cs="宋体"/>
          <w:highlight w:val="yellow"/>
          <w:sz w:val="24"/>
          <w:szCs w:val="24"/>
        </w:rPr>
        <w:t>部分中介作用</w:t>
      </w:r>
      <w:r>
        <w:rPr>
          <w:rFonts w:eastAsia="宋体" w:ascii="Times New Roman" w:hAnsi="Times New Roman" w:cs="宋体"/>
          <w:sz w:val="24"/>
          <w:szCs w:val="24"/>
        </w:rPr>
        <w:t>。H4a、H4b、H5a、H5b均获得支持。</w:t>
      </w:r>
    </w:p>
    <w:p w14:paraId="65AD4F9C">
      <w:pPr>
        <w:pStyle w:val="12"/>
        <w:spacing w:before="120" w:after="120" w:line="400" w:lineRule="exact"/>
        <w:jc w:val="center"/>
        <w:ind/>
      </w:pPr>
      <w:r>
        <w:rPr>
          <w:b/>
          <w:rFonts w:eastAsia="宋体" w:ascii="Times New Roman" w:hAnsi="Times New Roman" w:cs="宋体"/>
          <w:sz w:val="21"/>
          <w:szCs w:val="21"/>
        </w:rPr>
        <w:t>表4-7 Bootstrap中介效应检验结果（B=5000，95% CI）</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55"/>
        <w:gridCol w:w="1255"/>
        <w:gridCol w:w="1255"/>
        <w:gridCol w:w="1255"/>
        <w:gridCol w:w="1255"/>
        <w:gridCol w:w="1255"/>
        <w:gridCol w:w="1255"/>
      </w:tblGrid>
      <w:tr w14:paraId="7741EF5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B201C3E">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假设</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2C29F689">
            <w:pPr>
              <w:jc w:val="center"/>
              <w:rPr>
                <w:b w:val="0"/>
                <w:bCs/>
                <w:highlight w:val="yellow"/>
              </w:rPr>
              <w:spacing w:before="60" w:after="60" w:line="320" w:lineRule="exact"/>
              <w:ind/>
            </w:pPr>
            <w:r>
              <w:rPr>
                <w:rFonts w:eastAsia="宋体" w:ascii="Times New Roman" w:hAnsi="Times New Roman" w:cs="宋体"/>
                <w:b w:val="0"/>
                <w:bCs/>
                <w:highlight w:val="yellow"/>
                <w:sz w:val="21"/>
                <w:szCs w:val="21"/>
              </w:rPr>
              <w:t>中介路径</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CD55AA5">
            <w:pPr>
              <w:jc w:val="center"/>
              <w:rPr>
                <w:b w:val="0"/>
                <w:bCs/>
              </w:rPr>
              <w:spacing w:before="60" w:after="60" w:line="320" w:lineRule="exact"/>
              <w:ind/>
            </w:pPr>
            <w:r>
              <w:rPr>
                <w:rFonts w:eastAsia="宋体" w:ascii="Times New Roman" w:hAnsi="Times New Roman" w:cs="宋体"/>
                <w:b w:val="0"/>
                <w:bCs/>
                <w:sz w:val="21"/>
                <w:szCs w:val="21"/>
              </w:rPr>
              <w:t>间接效应</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C257E74">
            <w:pPr>
              <w:jc w:val="center"/>
              <w:rPr>
                <w:b w:val="0"/>
                <w:bCs/>
              </w:rPr>
              <w:spacing w:before="60" w:after="60" w:line="320" w:lineRule="exact"/>
              <w:ind/>
            </w:pPr>
            <w:r>
              <w:rPr>
                <w:rFonts w:eastAsia="宋体" w:ascii="Times New Roman" w:hAnsi="Times New Roman" w:cs="宋体"/>
                <w:b w:val="0"/>
                <w:bCs/>
                <w:sz w:val="21"/>
                <w:szCs w:val="21"/>
              </w:rPr>
              <w:t>Boot SE</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79F5121">
            <w:pPr>
              <w:jc w:val="center"/>
              <w:rPr>
                <w:b w:val="0"/>
                <w:bCs/>
              </w:rPr>
              <w:spacing w:before="60" w:after="60" w:line="320" w:lineRule="exact"/>
              <w:ind/>
            </w:pPr>
            <w:r>
              <w:rPr>
                <w:rFonts w:eastAsia="宋体" w:ascii="Times New Roman" w:hAnsi="Times New Roman" w:cs="宋体"/>
                <w:b w:val="0"/>
                <w:bCs/>
                <w:sz w:val="21"/>
                <w:szCs w:val="21"/>
              </w:rPr>
              <w:t>95% CI下限</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DC423F5">
            <w:pPr>
              <w:jc w:val="center"/>
              <w:rPr>
                <w:b w:val="0"/>
                <w:bCs/>
              </w:rPr>
              <w:spacing w:before="60" w:after="60" w:line="320" w:lineRule="exact"/>
              <w:ind/>
            </w:pPr>
            <w:r>
              <w:rPr>
                <w:rFonts w:eastAsia="宋体" w:ascii="Times New Roman" w:hAnsi="Times New Roman" w:cs="宋体"/>
                <w:b w:val="0"/>
                <w:bCs/>
                <w:sz w:val="21"/>
                <w:szCs w:val="21"/>
              </w:rPr>
              <w:t>95% CI上限</w:t>
            </w:r>
          </w:p>
        </w:tc>
        <w:tc>
          <w:tcPr>
            <w:tcW w:w="1255"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679F04B">
            <w:pPr>
              <w:jc w:val="center"/>
              <w:rPr>
                <w:b w:val="0"/>
                <w:bCs/>
              </w:rPr>
              <w:spacing w:before="60" w:after="60" w:line="320" w:lineRule="exact"/>
              <w:ind/>
            </w:pPr>
            <w:r>
              <w:rPr>
                <w:rFonts w:eastAsia="宋体" w:ascii="Times New Roman" w:hAnsi="Times New Roman" w:cs="宋体"/>
                <w:b w:val="0"/>
                <w:bCs/>
                <w:sz w:val="21"/>
                <w:szCs w:val="21"/>
              </w:rPr>
              <w:t>显著性</w:t>
            </w:r>
          </w:p>
        </w:tc>
      </w:tr>
      <w:tr w14:paraId="3DB507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H11a</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 → IF → CDL</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0.027</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0.013</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0.004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0.055</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w:t>
            </w:r>
          </w:p>
        </w:tc>
      </w:tr>
      <w:tr w14:paraId="072BD26D">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H11b</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 → IF → CDL</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0.026</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0.013</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0.003</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0.053</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w:t>
            </w:r>
          </w:p>
        </w:tc>
      </w:tr>
      <w:tr w14:paraId="02BBA68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H12a</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 → DS → CDL</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0.032</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0.014</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0.007</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0.061</w:t>
            </w:r>
          </w:p>
        </w:tc>
        <w:tc>
          <w:tcPr>
            <w:tcW w:w="1255"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w:t>
            </w:r>
          </w:p>
        </w:tc>
      </w:tr>
      <w:tr w14:paraId="50D474A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H12b</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EN → DS → CDL</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0.035</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0.014</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0.009</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0.065</w:t>
            </w:r>
          </w:p>
        </w:tc>
        <w:tc>
          <w:tcPr>
            <w:tcW w:w="1255"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w:t>
            </w:r>
          </w:p>
        </w:tc>
      </w:tr>
    </w:tbl>
    <w:p w14:paraId="3F48E1EC">
      <w:pPr>
        <w:spacing w:before="0" w:after="0" w:line="400" w:lineRule="exact"/>
        <w:jc w:val="both"/>
        <w:ind w:firstLine="480"/>
      </w:pPr>
      <w:r>
        <w:rPr>
          <w:rFonts w:eastAsia="宋体" w:ascii="Times New Roman" w:hAnsi="Times New Roman" w:cs="宋体"/>
          <w:sz w:val="24"/>
          <w:szCs w:val="24"/>
        </w:rPr>
        <w:t>注：***表示p&lt;0.001；Bootstrap重抽样B=5000次；CI为偏差校正置信区间。</w:t>
      </w:r>
    </w:p>
    <w:p w14:paraId="3F12CD9B">
      <w:pPr>
        <w:pStyle w:val="3"/>
        <w:spacing w:before="240" w:after="240" w:line="400" w:lineRule="exact"/>
        <w:jc w:val="both"/>
      </w:pPr>
      <w:r>
        <w:rPr>
          <w:b/>
          <w:rFonts w:eastAsia="黑体" w:ascii="Times New Roman" w:hAnsi="Times New Roman" w:cs="黑体"/>
          <w:sz w:val="28"/>
          <w:szCs w:val="28"/>
        </w:rPr>
        <w:t>4.5 本章小结</w:t>
      </w:r>
    </w:p>
    <w:p w14:paraId="30D91BA9">
      <w:pPr>
        <w:spacing w:before="0" w:after="0" w:line="400" w:lineRule="exact"/>
        <w:jc w:val="both"/>
        <w:ind w:firstLine="480"/>
      </w:pPr>
      <w:r>
        <w:rPr>
          <w:rFonts w:eastAsia="宋体" w:ascii="Times New Roman" w:hAnsi="Times New Roman" w:cs="宋体"/>
          <w:sz w:val="24"/>
          <w:szCs w:val="24"/>
        </w:rPr>
        <w:t>本章基于正式调研数据（N=508），采用结构方程模型（SEM）对烟台集群电商发展的影响机制进行实证检验。主要结论如下：</w:t>
      </w:r>
    </w:p>
    <w:p w14:paraId="5A37FC7E">
      <w:pPr>
        <w:spacing w:before="0" w:after="0" w:line="400" w:lineRule="exact"/>
        <w:jc w:val="both"/>
        <w:ind w:firstLine="480"/>
      </w:pPr>
      <w:r>
        <w:rPr>
          <w:rFonts w:eastAsia="宋体" w:ascii="Times New Roman" w:hAnsi="Times New Roman" w:cs="宋体"/>
          <w:sz w:val="24"/>
          <w:szCs w:val="24"/>
        </w:rPr>
        <w:t>第一，量表信效度良好。六个维度的Cronbach α均≥0.800，因子载荷均≥0.841，AVE均≥0.723，CR均≥0.887，测量模型具有良好的聚合效度与内部一致性，为后续结构模型分析奠定可靠基础。</w:t>
      </w:r>
    </w:p>
    <w:p w14:paraId="52693A99">
      <w:pPr>
        <w:spacing w:before="0" w:after="0" w:line="400" w:lineRule="exact"/>
        <w:jc w:val="both"/>
        <w:ind w:firstLine="480"/>
      </w:pPr>
      <w:r>
        <w:rPr>
          <w:rFonts w:eastAsia="宋体" w:ascii="Times New Roman" w:hAnsi="Times New Roman" w:cs="宋体"/>
          <w:sz w:val="24"/>
          <w:szCs w:val="24"/>
        </w:rPr>
        <w:t>第二，结构模型拟合达标。χ²/df=2.370，CFI=0.976，RMSEA=0.052，SRMR=0.066，部分中介SEM模型与数据良好匹配，各路径系数在0.001水平上显著，且方向符合理论预期。</w:t>
      </w:r>
    </w:p>
    <w:p w14:paraId="76B8C9EC">
      <w:pPr>
        <w:spacing w:before="0" w:after="0" w:line="400" w:lineRule="exact"/>
        <w:jc w:val="both"/>
        <w:ind w:firstLine="480"/>
      </w:pPr>
      <w:r>
        <w:rPr>
          <w:rFonts w:eastAsia="宋体" w:ascii="Times New Roman" w:hAnsi="Times New Roman" w:cs="宋体"/>
          <w:sz w:val="24"/>
          <w:szCs w:val="24"/>
        </w:rPr>
        <w:t>第三，中介效应显著。Bootstrap检验（B=5000）证实，基础设施建设在政策-人才对集群发展的作用链中发挥部分中介作用，数字技能在技术创新-资源禀赋对集群发展的作用链中同样发挥部分中介作用，四条中介路径的95%置信区间均不含零，显著成立。</w:t>
      </w:r>
    </w:p>
    <w:p w14:paraId="414E5307">
      <w:pPr>
        <w:spacing w:before="0" w:after="0" w:line="400" w:lineRule="exact"/>
        <w:jc w:val="both"/>
        <w:ind w:firstLine="480"/>
      </w:pPr>
      <w:r>
        <w:rPr>
          <w:rFonts w:eastAsia="宋体" w:ascii="Times New Roman" w:hAnsi="Times New Roman" w:cs="宋体"/>
          <w:sz w:val="24"/>
          <w:szCs w:val="24"/>
        </w:rP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14:paraId="77C97BB0">
      <w:pPr>
        <w:pStyle w:val="2"/>
        <w:spacing w:before="0" w:after="0" w:line="400" w:lineRule="exact"/>
        <w:jc w:val="both"/>
      </w:pPr>
      <w:r>
        <w:rPr>
          <w:b/>
          <w:rFonts w:eastAsia="黑体" w:ascii="Times New Roman" w:hAnsi="Times New Roman" w:cs="黑体"/>
          <w:sz w:val="32"/>
          <w:szCs w:val="32"/>
        </w:rPr>
        <w:t>第五章 模糊集定性比较分析（fsQCA）</w:t>
      </w:r>
    </w:p>
    <w:p w14:paraId="6FE5269C">
      <w:pPr>
        <w:pStyle w:val="3"/>
        <w:spacing w:before="240" w:after="240" w:line="400" w:lineRule="exact"/>
        <w:jc w:val="both"/>
      </w:pPr>
      <w:r>
        <w:rPr>
          <w:b/>
          <w:rFonts w:eastAsia="黑体" w:ascii="Times New Roman" w:hAnsi="Times New Roman" w:cs="黑体"/>
          <w:sz w:val="28"/>
          <w:szCs w:val="28"/>
        </w:rPr>
        <w:t>5.1 fsQCA方法说明</w:t>
      </w:r>
    </w:p>
    <w:p w14:paraId="287B10E0">
      <w:pPr>
        <w:spacing w:before="0" w:after="0" w:line="400" w:lineRule="exact"/>
        <w:jc w:val="both"/>
        <w:ind w:firstLine="480"/>
      </w:pPr>
      <w:r>
        <w:rPr>
          <w:rFonts w:eastAsia="宋体" w:ascii="Times New Roman" w:hAnsi="Times New Roman" w:cs="宋体"/>
          <w:sz w:val="24"/>
          <w:szCs w:val="24"/>
        </w:rPr>
        <w:t xml:space="preserve">模糊集定性比较分析（Fuzzy-set Qualitative Comparative Analysis，fsQCA）是一种基于布尔代数逻辑和集合论的组态方法（Ragin，2008）</w:t>
      </w:r>
      <w:r>
        <w:rPr>
          <w:rStyle w:val="FootnoteReference"/>
        </w:rPr>
        <w:endnoteReference w:id="16"/>
      </w:r>
      <w:r>
        <w:rPr>
          <w:rFonts w:eastAsia="宋体" w:ascii="Times New Roman" w:hAnsi="Times New Roman" w:cs="宋体"/>
          <w:sz w:val="24"/>
          <w:szCs w:val="24"/>
        </w:rPr>
        <w:t xml:space="preserve">。与SEM等以净效应为核心的定量分析方法不同，fsQCA聚焦于条件组合的整体效应，能够识别产生相同结果的多重等效路径（殊途同归性，equifinality），并揭示条件间的非对称因果关系，较好地弥补了SEM的局限性。</w:t>
      </w:r>
    </w:p>
    <w:p w14:paraId="4659F322">
      <w:pPr>
        <w:rPr>
          <w:highlight w:val="yellow"/>
        </w:rPr>
        <w:spacing w:before="0" w:after="0" w:line="400" w:lineRule="exact"/>
        <w:jc w:val="both"/>
        <w:ind w:firstLine="480"/>
      </w:pPr>
      <w:r>
        <w:rPr>
          <w:rFonts w:eastAsia="宋体" w:ascii="Times New Roman" w:hAnsi="Times New Roman" w:cs="宋体"/>
          <w:highlight w:val="yellow"/>
          <w:sz w:val="24"/>
          <w:szCs w:val="24"/>
        </w:rPr>
        <w:t>本章以集群电商高水平发展为结果变量，以政策治理（GP）、人才支撑（TS）、基础设施（IF）、技术创新（TI）、数字化能力（DS）、资源禀赋（EN）六个条件变量（其中基础设施IF与数字化能力DS同时作为SEM中介变量），通过校准、必要性分析、真值表构建与组态分析四个步骤开展fsQCA，样本量N=508，一致性阈值设为0.85，频数阈值设为3（Ragin，2008）。</w:t>
      </w:r>
      <w:r>
        <w:rPr>
          <w:rStyle w:val="FootnoteReference"/>
        </w:rPr>
      </w:r>
      <w:r>
        <w:rPr>
          <w:rFonts w:eastAsia="宋体" w:ascii="Times New Roman" w:hAnsi="Times New Roman" w:cs="宋体"/>
          <w:highlight w:val="yellow"/>
          <w:sz w:val="24"/>
          <w:szCs w:val="24"/>
        </w:rPr>
      </w:r>
    </w:p>
    <w:p w14:paraId="5DC330AD">
      <w:pPr>
        <w:pStyle w:val="3"/>
        <w:spacing w:before="240" w:after="240" w:line="400" w:lineRule="exact"/>
        <w:jc w:val="both"/>
      </w:pPr>
      <w:r>
        <w:rPr>
          <w:b/>
          <w:rFonts w:eastAsia="黑体" w:ascii="Times New Roman" w:hAnsi="Times New Roman" w:cs="黑体"/>
          <w:sz w:val="28"/>
          <w:szCs w:val="28"/>
        </w:rPr>
        <w:t xml:space="preserve">5.2 </w:t>
      </w:r>
      <w:r>
        <w:rPr>
          <w:b/>
          <w:rFonts w:hint="eastAsia" w:eastAsia="黑体" w:ascii="Times New Roman" w:hAnsi="Times New Roman" w:cs="黑体"/>
          <w:lang w:val="en-US" w:eastAsia="zh-CN"/>
          <w:sz w:val="28"/>
          <w:szCs w:val="28"/>
        </w:rPr>
        <w:t>数据</w:t>
      </w:r>
      <w:r>
        <w:rPr>
          <w:b/>
          <w:rFonts w:eastAsia="黑体" w:ascii="Times New Roman" w:hAnsi="Times New Roman" w:cs="黑体"/>
          <w:sz w:val="28"/>
          <w:szCs w:val="28"/>
        </w:rPr>
        <w:t>校准</w:t>
      </w:r>
    </w:p>
    <w:p w14:paraId="1D45AB93">
      <w:pPr>
        <w:spacing w:before="0" w:after="0" w:line="400" w:lineRule="exact"/>
        <w:jc w:val="both"/>
        <w:ind w:firstLine="480"/>
      </w:pPr>
      <w:r>
        <w:rPr>
          <w:rFonts w:eastAsia="宋体" w:ascii="Times New Roman" w:hAnsi="Times New Roman" w:cs="宋体"/>
          <w:highlight w:val="yellow"/>
          <w:sz w:val="24"/>
          <w:szCs w:val="24"/>
        </w:rPr>
        <w:t xml:space="preserve">fsQCA要求将连续变量校准为[0,1]范围内的模糊集隶属分数。本文采用"间接法"校准（Ragin，2008）</w:t>
      </w:r>
      <w:r>
        <w:rPr>
          <w:rStyle w:val="FootnoteReference"/>
        </w:rPr>
        <w:endnoteReference w:id="19"/>
      </w:r>
      <w:r>
        <w:rPr>
          <w:rFonts w:eastAsia="宋体" w:ascii="Times New Roman" w:hAnsi="Times New Roman" w:cs="宋体"/>
          <w:highlight w:val="yellow"/>
          <w:sz w:val="24"/>
          <w:szCs w:val="24"/>
        </w:rPr>
        <w:t xml:space="preserve">，</w:t>
      </w:r>
      <w:r>
        <w:rPr>
          <w:rFonts w:eastAsia="宋体" w:ascii="Times New Roman" w:hAnsi="Times New Roman" w:cs="宋体"/>
          <w:sz w:val="24"/>
          <w:szCs w:val="24"/>
        </w:rPr>
        <w:t>以各变量的第50百分位数（P50）为交叉点（隶属分数=0.5），第95百分位数（P95）为完全隶属锚点（隶属分数≈0.95），构建logistic校准函数，公式如下：</w:t>
      </w:r>
    </w:p>
    <w:p w14:paraId="5825269E">
      <w:pPr>
        <w:spacing w:before="0" w:after="0" w:line="400" w:lineRule="exact"/>
        <w:jc w:val="both"/>
        <w:ind w:firstLine="480"/>
      </w:pPr>
      <w:r>
        <w:rPr>
          <w:rFonts w:eastAsia="宋体" w:ascii="Times New Roman" w:hAnsi="Times New Roman" w:cs="宋体"/>
          <w:sz w:val="24"/>
          <w:szCs w:val="24"/>
        </w:rPr>
        <w:t xml:space="preserve">        μ(x) = 1 / [1 + exp(−c·(x − P50))]，c = ln(0.95/0.05) / (P95 − P50)</w:t>
      </w:r>
    </w:p>
    <w:p w14:paraId="242BA7F1">
      <w:pPr>
        <w:spacing w:before="0" w:after="0" w:line="400" w:lineRule="exact"/>
        <w:jc w:val="both"/>
        <w:ind w:firstLine="480"/>
      </w:pPr>
      <w:r>
        <w:rPr>
          <w:rFonts w:eastAsia="宋体" w:ascii="Times New Roman" w:hAnsi="Times New Roman" w:cs="宋体"/>
          <w:sz w:val="24"/>
          <w:szCs w:val="24"/>
        </w:rPr>
        <w:t>各变量校准锚点如表5-1所示。结果变量CDL同理校准。校准后，各条件与结果变量的隶属分数均值约为0.51，分布合理，不存在明显的校准偏斜。</w:t>
      </w:r>
    </w:p>
    <w:p w14:paraId="3AE5BE81">
      <w:pPr>
        <w:pStyle w:val="12"/>
        <w:spacing w:before="120" w:after="120" w:line="400" w:lineRule="exact"/>
        <w:jc w:val="center"/>
        <w:ind/>
      </w:pPr>
      <w:r>
        <w:rPr>
          <w:b/>
          <w:rFonts w:eastAsia="宋体" w:ascii="Times New Roman" w:hAnsi="Times New Roman" w:cs="宋体"/>
          <w:sz w:val="21"/>
          <w:szCs w:val="21"/>
        </w:rPr>
        <w:t>表5-1 各条件变量校准锚点</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040786A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82023AA">
            <w:pPr>
              <w:jc w:val="center"/>
              <w:rPr>
                <w:b w:val="0"/>
                <w:bCs/>
              </w:rPr>
              <w:spacing w:before="60" w:after="60" w:line="320" w:lineRule="exact"/>
              <w:ind/>
            </w:pPr>
            <w:r>
              <w:rPr>
                <w:rFonts w:eastAsia="宋体" w:ascii="Times New Roman" w:hAnsi="Times New Roman" w:cs="宋体"/>
                <w:b w:val="0"/>
                <w:bCs/>
                <w:sz w:val="21"/>
                <w:szCs w:val="21"/>
              </w:rPr>
              <w:t>变量</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4B73CD9">
            <w:pPr>
              <w:jc w:val="center"/>
              <w:rPr>
                <w:b w:val="0"/>
                <w:bCs/>
              </w:rPr>
              <w:spacing w:before="60" w:after="60" w:line="320" w:lineRule="exact"/>
              <w:ind/>
            </w:pPr>
            <w:r>
              <w:rPr>
                <w:rFonts w:eastAsia="宋体" w:ascii="Times New Roman" w:hAnsi="Times New Roman" w:cs="宋体"/>
                <w:b w:val="0"/>
                <w:bCs/>
                <w:sz w:val="21"/>
                <w:szCs w:val="21"/>
              </w:rPr>
              <w:t>含义</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65BE420D">
            <w:pPr>
              <w:jc w:val="center"/>
              <w:rPr>
                <w:b w:val="0"/>
                <w:bCs/>
              </w:rPr>
              <w:spacing w:before="60" w:after="60" w:line="320" w:lineRule="exact"/>
              <w:ind/>
            </w:pPr>
            <w:r>
              <w:rPr>
                <w:rFonts w:eastAsia="宋体" w:ascii="Times New Roman" w:hAnsi="Times New Roman" w:cs="宋体"/>
                <w:b w:val="0"/>
                <w:bCs/>
                <w:sz w:val="21"/>
                <w:szCs w:val="21"/>
              </w:rPr>
              <w:t>完全不隶属（P5）</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47FB28CA">
            <w:pPr>
              <w:jc w:val="center"/>
              <w:rPr>
                <w:b w:val="0"/>
                <w:bCs/>
              </w:rPr>
              <w:spacing w:before="60" w:after="60" w:line="320" w:lineRule="exact"/>
              <w:ind/>
            </w:pPr>
            <w:r>
              <w:rPr>
                <w:rFonts w:eastAsia="宋体" w:ascii="Times New Roman" w:hAnsi="Times New Roman" w:cs="宋体"/>
                <w:b w:val="0"/>
                <w:bCs/>
                <w:sz w:val="21"/>
                <w:szCs w:val="21"/>
              </w:rPr>
              <w:t>交叉点（P50）</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705C4A9F">
            <w:pPr>
              <w:jc w:val="center"/>
              <w:rPr>
                <w:b w:val="0"/>
                <w:bCs/>
              </w:rPr>
              <w:spacing w:before="60" w:after="60" w:line="320" w:lineRule="exact"/>
              <w:ind/>
            </w:pPr>
            <w:r>
              <w:rPr>
                <w:rFonts w:eastAsia="宋体" w:ascii="Times New Roman" w:hAnsi="Times New Roman" w:cs="宋体"/>
                <w:b w:val="0"/>
                <w:bCs/>
                <w:sz w:val="21"/>
                <w:szCs w:val="21"/>
              </w:rPr>
              <w:t>完全隶属（P95）</w:t>
            </w:r>
          </w:p>
        </w:tc>
      </w:tr>
      <w:tr w14:paraId="7AEAB3F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政策治理</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1.333</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3.000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4.667</w:t>
            </w:r>
          </w:p>
        </w:tc>
      </w:tr>
      <w:tr w14:paraId="111168A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人才支撑</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1.000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2.667</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4.000</w:t>
            </w:r>
          </w:p>
        </w:tc>
      </w:tr>
      <w:tr w14:paraId="111168A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IF</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基础设施</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1.667</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3.333</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5.000</w:t>
            </w:r>
          </w:p>
        </w:tc>
      </w:tr>
      <w:tr w14:paraId="542FAF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技术创新</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1.333</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3.000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4.667</w:t>
            </w:r>
          </w:p>
        </w:tc>
      </w:tr>
      <w:tr w14:paraId="542FAF3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DS</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数字化能力</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1.667</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3.000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4.667</w:t>
            </w:r>
          </w:p>
        </w:tc>
      </w:tr>
      <w:tr w14:paraId="43F7945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EN</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资源禀赋</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2.000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3.667</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5.000</w:t>
            </w:r>
          </w:p>
        </w:tc>
      </w:tr>
      <w:tr w14:paraId="6FAF75A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CDL</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集群电商发展水平</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1.667</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3.333</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4.667</w:t>
            </w:r>
          </w:p>
        </w:tc>
      </w:tr>
    </w:tbl>
    <w:p w14:paraId="0BCCD8FB">
      <w:pPr>
        <w:pStyle w:val="3"/>
        <w:spacing w:before="240" w:after="240" w:line="400" w:lineRule="exact"/>
        <w:jc w:val="both"/>
      </w:pPr>
      <w:r>
        <w:rPr>
          <w:b/>
          <w:rFonts w:eastAsia="黑体" w:ascii="Times New Roman" w:hAnsi="Times New Roman" w:cs="黑体"/>
          <w:sz w:val="28"/>
          <w:szCs w:val="28"/>
        </w:rPr>
        <w:t xml:space="preserve">5.3 </w:t>
      </w:r>
      <w:r>
        <w:rPr>
          <w:b/>
          <w:rFonts w:hint="eastAsia" w:eastAsia="黑体" w:ascii="Times New Roman" w:hAnsi="Times New Roman" w:cs="黑体"/>
          <w:lang w:val="en-US" w:eastAsia="zh-CN"/>
          <w:sz w:val="28"/>
          <w:szCs w:val="28"/>
        </w:rPr>
        <w:t>单变量</w:t>
      </w:r>
      <w:r>
        <w:rPr>
          <w:b/>
          <w:rFonts w:eastAsia="黑体" w:ascii="Times New Roman" w:hAnsi="Times New Roman" w:cs="黑体"/>
          <w:sz w:val="28"/>
          <w:szCs w:val="28"/>
        </w:rPr>
        <w:t>必要性分析</w:t>
      </w:r>
    </w:p>
    <w:p w14:paraId="10E2097E">
      <w:pPr>
        <w:spacing w:before="0" w:after="0" w:line="400" w:lineRule="exact"/>
        <w:jc w:val="both"/>
        <w:ind w:firstLine="480"/>
      </w:pPr>
      <w:r>
        <w:rPr>
          <w:rFonts w:eastAsia="宋体" w:ascii="Times New Roman" w:hAnsi="Times New Roman" w:cs="宋体"/>
          <w:sz w:val="24"/>
          <w:szCs w:val="24"/>
        </w:rPr>
        <w:t>在充分性分析之前，首先检验各单一条件对于结果（高水平CDL）的必要性。若某一条件是必要条件，</w:t>
      </w:r>
      <w:r>
        <w:rPr>
          <w:rFonts w:eastAsia="宋体" w:ascii="Times New Roman" w:hAnsi="Times New Roman" w:cs="宋体"/>
          <w:highlight w:val="yellow"/>
          <w:sz w:val="24"/>
          <w:szCs w:val="24"/>
        </w:rPr>
        <w:t xml:space="preserve">则结果变量的隶属分数不超过该条件的隶属分数（即Y⊆X），其一致性≥0.900（Ragin，2008）</w:t>
      </w:r>
      <w:r>
        <w:rPr>
          <w:rStyle w:val="FootnoteReference"/>
        </w:rPr>
        <w:endnoteReference w:id="20"/>
      </w:r>
      <w:r>
        <w:rPr>
          <w:rFonts w:eastAsia="宋体" w:ascii="Times New Roman" w:hAnsi="Times New Roman" w:cs="宋体"/>
          <w:sz w:val="24"/>
          <w:szCs w:val="24"/>
        </w:rPr>
        <w:t>。必要性分析结果见表5-2。</w:t>
      </w:r>
    </w:p>
    <w:p w14:paraId="26DFB174">
      <w:pPr>
        <w:pStyle w:val="12"/>
        <w:spacing w:before="120" w:after="120" w:line="400" w:lineRule="exact"/>
        <w:jc w:val="center"/>
        <w:ind/>
      </w:pPr>
      <w:r>
        <w:rPr>
          <w:b/>
          <w:rFonts w:eastAsia="宋体" w:ascii="Times New Roman" w:hAnsi="Times New Roman" w:cs="宋体"/>
          <w:sz w:val="21"/>
          <w:szCs w:val="21"/>
        </w:rPr>
        <w:t>表5-2 必要性分析结果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929"/>
        <w:gridCol w:w="2929"/>
        <w:gridCol w:w="2929"/>
      </w:tblGrid>
      <w:tr w14:paraId="30A4A7B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929"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6F933A9">
            <w:pPr>
              <w:jc w:val="center"/>
              <w:rPr>
                <w:b w:val="0"/>
                <w:bCs/>
              </w:rPr>
              <w:spacing w:before="60" w:after="60" w:line="320" w:lineRule="exact"/>
              <w:ind/>
            </w:pPr>
            <w:r>
              <w:rPr>
                <w:rFonts w:eastAsia="宋体" w:ascii="Times New Roman" w:hAnsi="Times New Roman" w:cs="宋体"/>
                <w:b w:val="0"/>
                <w:bCs/>
                <w:sz w:val="21"/>
                <w:szCs w:val="21"/>
              </w:rPr>
              <w:t>条件</w:t>
            </w:r>
          </w:p>
        </w:tc>
        <w:tc>
          <w:tcPr>
            <w:tcW w:w="2929"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3F0EC3B">
            <w:pPr>
              <w:jc w:val="center"/>
              <w:rPr>
                <w:b w:val="0"/>
                <w:bCs/>
              </w:rPr>
              <w:spacing w:before="60" w:after="60" w:line="320" w:lineRule="exact"/>
              <w:ind/>
            </w:pPr>
            <w:r>
              <w:rPr>
                <w:rFonts w:eastAsia="宋体" w:ascii="Times New Roman" w:hAnsi="Times New Roman" w:cs="宋体"/>
                <w:b w:val="0"/>
                <w:bCs/>
                <w:sz w:val="21"/>
                <w:szCs w:val="21"/>
              </w:rPr>
              <w:t>一致性</w:t>
            </w:r>
          </w:p>
        </w:tc>
        <w:tc>
          <w:tcPr>
            <w:tcW w:w="2929"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39F8503B">
            <w:pPr>
              <w:jc w:val="center"/>
              <w:rPr>
                <w:b w:val="0"/>
                <w:bCs/>
              </w:rPr>
              <w:spacing w:before="60" w:after="60" w:line="320" w:lineRule="exact"/>
              <w:ind/>
            </w:pPr>
            <w:r>
              <w:rPr>
                <w:rFonts w:eastAsia="宋体" w:ascii="Times New Roman" w:hAnsi="Times New Roman" w:cs="宋体"/>
                <w:b w:val="0"/>
                <w:bCs/>
                <w:sz w:val="21"/>
                <w:szCs w:val="21"/>
              </w:rPr>
              <w:t>覆盖度</w:t>
            </w:r>
          </w:p>
        </w:tc>
      </w:tr>
      <w:tr w14:paraId="44589F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F9D9006">
            <w:pPr>
              <w:jc w:val="center"/>
              <w:spacing w:before="60" w:after="60" w:line="320" w:lineRule="exact"/>
              <w:ind/>
            </w:pPr>
            <w:r>
              <w:rPr>
                <w:rFonts w:eastAsia="宋体" w:ascii="Times New Roman" w:hAnsi="Times New Roman" w:cs="宋体"/>
                <w:sz w:val="21"/>
                <w:szCs w:val="21"/>
              </w:rPr>
              <w:t>GP（政策治理）</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BE237AC">
            <w:pPr>
              <w:jc w:val="center"/>
              <w:spacing w:before="60" w:after="60" w:line="320" w:lineRule="exact"/>
              <w:ind/>
            </w:pPr>
            <w:r>
              <w:rPr>
                <w:rFonts w:eastAsia="宋体" w:ascii="Times New Roman" w:hAnsi="Times New Roman" w:cs="宋体"/>
                <w:sz w:val="21"/>
                <w:szCs w:val="21"/>
              </w:rPr>
              <w:t>0.764</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3F73340">
            <w:pPr>
              <w:jc w:val="center"/>
              <w:spacing w:before="60" w:after="60" w:line="320" w:lineRule="exact"/>
              <w:ind/>
            </w:pPr>
            <w:r>
              <w:rPr>
                <w:rFonts w:eastAsia="宋体" w:ascii="Times New Roman" w:hAnsi="Times New Roman" w:cs="宋体"/>
                <w:sz w:val="21"/>
                <w:szCs w:val="21"/>
              </w:rPr>
              <w:t>0.773</w:t>
            </w:r>
          </w:p>
        </w:tc>
      </w:tr>
      <w:tr w14:paraId="2342453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3A33EC3">
            <w:pPr>
              <w:jc w:val="center"/>
              <w:spacing w:before="60" w:after="60" w:line="320" w:lineRule="exact"/>
              <w:ind/>
            </w:pPr>
            <w:r>
              <w:rPr>
                <w:rFonts w:eastAsia="宋体" w:ascii="Times New Roman" w:hAnsi="Times New Roman" w:cs="宋体"/>
                <w:sz w:val="21"/>
                <w:szCs w:val="21"/>
              </w:rPr>
              <w:t>~GP（政策治理缺失）</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859C297">
            <w:pPr>
              <w:jc w:val="center"/>
              <w:spacing w:before="60" w:after="60" w:line="320" w:lineRule="exact"/>
              <w:ind/>
            </w:pPr>
            <w:r>
              <w:rPr>
                <w:rFonts w:eastAsia="宋体" w:ascii="Times New Roman" w:hAnsi="Times New Roman" w:cs="宋体"/>
                <w:sz w:val="21"/>
                <w:szCs w:val="21"/>
              </w:rPr>
              <w:t>0.550</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78E69AED">
            <w:pPr>
              <w:jc w:val="center"/>
              <w:spacing w:before="60" w:after="60" w:line="320" w:lineRule="exact"/>
              <w:ind/>
            </w:pPr>
            <w:r>
              <w:rPr>
                <w:rFonts w:eastAsia="宋体" w:ascii="Times New Roman" w:hAnsi="Times New Roman" w:cs="宋体"/>
                <w:sz w:val="21"/>
                <w:szCs w:val="21"/>
              </w:rPr>
              <w:t>0.588</w:t>
            </w:r>
          </w:p>
        </w:tc>
      </w:tr>
      <w:tr w14:paraId="34A15F9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53D996F3">
            <w:pPr>
              <w:jc w:val="center"/>
              <w:spacing w:before="60" w:after="60" w:line="320" w:lineRule="exact"/>
              <w:ind/>
            </w:pPr>
            <w:r>
              <w:rPr>
                <w:rFonts w:eastAsia="宋体" w:ascii="Times New Roman" w:hAnsi="Times New Roman" w:cs="宋体"/>
                <w:sz w:val="21"/>
                <w:szCs w:val="21"/>
              </w:rPr>
              <w:t>TS（人才支撑）</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479789C">
            <w:pPr>
              <w:jc w:val="center"/>
              <w:spacing w:before="60" w:after="60" w:line="320" w:lineRule="exact"/>
              <w:ind/>
            </w:pPr>
            <w:r>
              <w:rPr>
                <w:rFonts w:eastAsia="宋体" w:ascii="Times New Roman" w:hAnsi="Times New Roman" w:cs="宋体"/>
                <w:sz w:val="21"/>
                <w:szCs w:val="21"/>
              </w:rPr>
              <w:t>0.687</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97113C4">
            <w:pPr>
              <w:jc w:val="center"/>
              <w:spacing w:before="60" w:after="60" w:line="320" w:lineRule="exact"/>
              <w:ind/>
            </w:pPr>
            <w:r>
              <w:rPr>
                <w:rFonts w:eastAsia="宋体" w:ascii="Times New Roman" w:hAnsi="Times New Roman" w:cs="宋体"/>
                <w:sz w:val="21"/>
                <w:szCs w:val="21"/>
              </w:rPr>
              <w:t>0.686</w:t>
            </w:r>
          </w:p>
        </w:tc>
      </w:tr>
      <w:tr w14:paraId="014087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CDF64E">
            <w:pPr>
              <w:jc w:val="center"/>
              <w:spacing w:before="60" w:after="60" w:line="320" w:lineRule="exact"/>
              <w:ind/>
            </w:pPr>
            <w:r>
              <w:rPr>
                <w:rFonts w:eastAsia="宋体" w:ascii="Times New Roman" w:hAnsi="Times New Roman" w:cs="宋体"/>
                <w:sz w:val="21"/>
                <w:szCs w:val="21"/>
              </w:rPr>
              <w:t>~TS（人才支撑缺失）</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037F1A1">
            <w:pPr>
              <w:jc w:val="center"/>
              <w:spacing w:before="60" w:after="60" w:line="320" w:lineRule="exact"/>
              <w:ind/>
            </w:pPr>
            <w:r>
              <w:rPr>
                <w:rFonts w:eastAsia="宋体" w:ascii="Times New Roman" w:hAnsi="Times New Roman" w:cs="宋体"/>
                <w:sz w:val="21"/>
                <w:szCs w:val="21"/>
              </w:rPr>
              <w:t>0.615</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6765664">
            <w:pPr>
              <w:jc w:val="center"/>
              <w:spacing w:before="60" w:after="60" w:line="320" w:lineRule="exact"/>
              <w:ind/>
            </w:pPr>
            <w:r>
              <w:rPr>
                <w:rFonts w:eastAsia="宋体" w:ascii="Times New Roman" w:hAnsi="Times New Roman" w:cs="宋体"/>
                <w:sz w:val="21"/>
                <w:szCs w:val="21"/>
              </w:rPr>
              <w:t>0.668</w:t>
            </w:r>
          </w:p>
        </w:tc>
      </w:tr>
      <w:tr w14:paraId="014087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CDF64E">
            <w:pPr>
              <w:jc w:val="center"/>
              <w:spacing w:before="60" w:after="60" w:line="320" w:lineRule="exact"/>
              <w:ind/>
            </w:pPr>
            <w:r>
              <w:rPr>
                <w:rFonts w:eastAsia="宋体" w:ascii="Times New Roman" w:hAnsi="Times New Roman" w:cs="宋体"/>
                <w:sz w:val="21"/>
                <w:szCs w:val="21"/>
              </w:rPr>
              <w:t>IF（基础设施）</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037F1A1">
            <w:pPr>
              <w:jc w:val="center"/>
              <w:spacing w:before="60" w:after="60" w:line="320" w:lineRule="exact"/>
              <w:ind/>
            </w:pPr>
            <w:r>
              <w:rPr>
                <w:rFonts w:eastAsia="宋体" w:ascii="Times New Roman" w:hAnsi="Times New Roman" w:cs="宋体"/>
                <w:sz w:val="21"/>
                <w:szCs w:val="21"/>
              </w:rPr>
              <w:t>0.762</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6765664">
            <w:pPr>
              <w:jc w:val="center"/>
              <w:spacing w:before="60" w:after="60" w:line="320" w:lineRule="exact"/>
              <w:ind/>
            </w:pPr>
            <w:r>
              <w:rPr>
                <w:rFonts w:eastAsia="宋体" w:ascii="Times New Roman" w:hAnsi="Times New Roman" w:cs="宋体"/>
                <w:sz w:val="21"/>
                <w:szCs w:val="21"/>
              </w:rPr>
              <w:t>0.741</w:t>
            </w:r>
          </w:p>
        </w:tc>
      </w:tr>
      <w:tr w14:paraId="014087F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CDF64E">
            <w:pPr>
              <w:jc w:val="center"/>
              <w:spacing w:before="60" w:after="60" w:line="320" w:lineRule="exact"/>
              <w:ind/>
            </w:pPr>
            <w:r>
              <w:rPr>
                <w:rFonts w:eastAsia="宋体" w:ascii="Times New Roman" w:hAnsi="Times New Roman" w:cs="宋体"/>
                <w:sz w:val="21"/>
                <w:szCs w:val="21"/>
              </w:rPr>
              <w:t>~IF（基础设施缺失）</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037F1A1">
            <w:pPr>
              <w:jc w:val="center"/>
              <w:spacing w:before="60" w:after="60" w:line="320" w:lineRule="exact"/>
              <w:ind/>
            </w:pPr>
            <w:r>
              <w:rPr>
                <w:rFonts w:eastAsia="宋体" w:ascii="Times New Roman" w:hAnsi="Times New Roman" w:cs="宋体"/>
                <w:sz w:val="21"/>
                <w:szCs w:val="21"/>
              </w:rPr>
              <w:t>0.577</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46765664">
            <w:pPr>
              <w:jc w:val="center"/>
              <w:spacing w:before="60" w:after="60" w:line="320" w:lineRule="exact"/>
              <w:ind/>
            </w:pPr>
            <w:r>
              <w:rPr>
                <w:rFonts w:eastAsia="宋体" w:ascii="Times New Roman" w:hAnsi="Times New Roman" w:cs="宋体"/>
                <w:sz w:val="21"/>
                <w:szCs w:val="21"/>
              </w:rPr>
              <w:t>0.568</w:t>
            </w:r>
          </w:p>
        </w:tc>
      </w:tr>
      <w:tr w14:paraId="2CFD381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039161C2">
            <w:pPr>
              <w:jc w:val="center"/>
              <w:spacing w:before="60" w:after="60" w:line="320" w:lineRule="exact"/>
              <w:ind/>
            </w:pPr>
            <w:r>
              <w:rPr>
                <w:rFonts w:eastAsia="宋体" w:ascii="Times New Roman" w:hAnsi="Times New Roman" w:cs="宋体"/>
                <w:sz w:val="21"/>
                <w:szCs w:val="21"/>
              </w:rPr>
              <w:t>TI（技术创新）</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145EFA8">
            <w:pPr>
              <w:jc w:val="center"/>
              <w:spacing w:before="60" w:after="60" w:line="320" w:lineRule="exact"/>
              <w:ind/>
            </w:pPr>
            <w:r>
              <w:rPr>
                <w:rFonts w:eastAsia="宋体" w:ascii="Times New Roman" w:hAnsi="Times New Roman" w:cs="宋体"/>
                <w:sz w:val="21"/>
                <w:szCs w:val="21"/>
              </w:rPr>
              <w:t>0.734</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D019A2B">
            <w:pPr>
              <w:jc w:val="center"/>
              <w:spacing w:before="60" w:after="60" w:line="320" w:lineRule="exact"/>
              <w:ind/>
            </w:pPr>
            <w:r>
              <w:rPr>
                <w:rFonts w:eastAsia="宋体" w:ascii="Times New Roman" w:hAnsi="Times New Roman" w:cs="宋体"/>
                <w:sz w:val="21"/>
                <w:szCs w:val="21"/>
              </w:rPr>
              <w:t>0.733</w:t>
            </w:r>
          </w:p>
        </w:tc>
      </w:tr>
      <w:tr w14:paraId="7C1764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FF97A8">
            <w:pPr>
              <w:jc w:val="center"/>
              <w:spacing w:before="60" w:after="60" w:line="320" w:lineRule="exact"/>
              <w:ind/>
            </w:pPr>
            <w:r>
              <w:rPr>
                <w:rFonts w:eastAsia="宋体" w:ascii="Times New Roman" w:hAnsi="Times New Roman" w:cs="宋体"/>
                <w:sz w:val="21"/>
                <w:szCs w:val="21"/>
              </w:rPr>
              <w:t>~TI（技术创新缺失）</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7FC9E5">
            <w:pPr>
              <w:jc w:val="center"/>
              <w:spacing w:before="60" w:after="60" w:line="320" w:lineRule="exact"/>
              <w:ind/>
            </w:pPr>
            <w:r>
              <w:rPr>
                <w:rFonts w:eastAsia="宋体" w:ascii="Times New Roman" w:hAnsi="Times New Roman" w:cs="宋体"/>
                <w:sz w:val="21"/>
                <w:szCs w:val="21"/>
              </w:rPr>
              <w:t>0.558</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B4B66E0">
            <w:pPr>
              <w:jc w:val="center"/>
              <w:spacing w:before="60" w:after="60" w:line="320" w:lineRule="exact"/>
              <w:ind/>
            </w:pPr>
            <w:r>
              <w:rPr>
                <w:rFonts w:eastAsia="宋体" w:ascii="Times New Roman" w:hAnsi="Times New Roman" w:cs="宋体"/>
                <w:sz w:val="21"/>
                <w:szCs w:val="21"/>
              </w:rPr>
              <w:t>0.605</w:t>
            </w:r>
          </w:p>
        </w:tc>
      </w:tr>
      <w:tr w14:paraId="7C1764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FF97A8">
            <w:pPr>
              <w:jc w:val="center"/>
              <w:spacing w:before="60" w:after="60" w:line="320" w:lineRule="exact"/>
              <w:ind/>
            </w:pPr>
            <w:r>
              <w:rPr>
                <w:rFonts w:eastAsia="宋体" w:ascii="Times New Roman" w:hAnsi="Times New Roman" w:cs="宋体"/>
                <w:sz w:val="21"/>
                <w:szCs w:val="21"/>
              </w:rPr>
              <w:t>DS（数字化能力）</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7FC9E5">
            <w:pPr>
              <w:jc w:val="center"/>
              <w:spacing w:before="60" w:after="60" w:line="320" w:lineRule="exact"/>
              <w:ind/>
            </w:pPr>
            <w:r>
              <w:rPr>
                <w:rFonts w:eastAsia="宋体" w:ascii="Times New Roman" w:hAnsi="Times New Roman" w:cs="宋体"/>
                <w:sz w:val="21"/>
                <w:szCs w:val="21"/>
              </w:rPr>
              <w:t>0.787</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B4B66E0">
            <w:pPr>
              <w:jc w:val="center"/>
              <w:spacing w:before="60" w:after="60" w:line="320" w:lineRule="exact"/>
              <w:ind/>
            </w:pPr>
            <w:r>
              <w:rPr>
                <w:rFonts w:eastAsia="宋体" w:ascii="Times New Roman" w:hAnsi="Times New Roman" w:cs="宋体"/>
                <w:sz w:val="21"/>
                <w:szCs w:val="21"/>
              </w:rPr>
              <w:t>0.715</w:t>
            </w:r>
          </w:p>
        </w:tc>
      </w:tr>
      <w:tr w14:paraId="7C17649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28FF97A8">
            <w:pPr>
              <w:jc w:val="center"/>
              <w:spacing w:before="60" w:after="60" w:line="320" w:lineRule="exact"/>
              <w:ind/>
            </w:pPr>
            <w:r>
              <w:rPr>
                <w:rFonts w:eastAsia="宋体" w:ascii="Times New Roman" w:hAnsi="Times New Roman" w:cs="宋体"/>
                <w:sz w:val="21"/>
                <w:szCs w:val="21"/>
              </w:rPr>
              <w:t>~DS（数字化能力缺失）</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C7FC9E5">
            <w:pPr>
              <w:jc w:val="center"/>
              <w:spacing w:before="60" w:after="60" w:line="320" w:lineRule="exact"/>
              <w:ind/>
            </w:pPr>
            <w:r>
              <w:rPr>
                <w:rFonts w:eastAsia="宋体" w:ascii="Times New Roman" w:hAnsi="Times New Roman" w:cs="宋体"/>
                <w:sz w:val="21"/>
                <w:szCs w:val="21"/>
              </w:rPr>
              <w:t>0.538</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1B4B66E0">
            <w:pPr>
              <w:jc w:val="center"/>
              <w:spacing w:before="60" w:after="60" w:line="320" w:lineRule="exact"/>
              <w:ind/>
            </w:pPr>
            <w:r>
              <w:rPr>
                <w:rFonts w:eastAsia="宋体" w:ascii="Times New Roman" w:hAnsi="Times New Roman" w:cs="宋体"/>
                <w:sz w:val="21"/>
                <w:szCs w:val="21"/>
              </w:rPr>
              <w:t>0.571</w:t>
            </w:r>
          </w:p>
        </w:tc>
      </w:tr>
      <w:tr w14:paraId="3AF5AE8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447D9A7">
            <w:pPr>
              <w:jc w:val="center"/>
              <w:spacing w:before="60" w:after="60" w:line="320" w:lineRule="exact"/>
              <w:ind/>
            </w:pPr>
            <w:r>
              <w:rPr>
                <w:rFonts w:eastAsia="宋体" w:ascii="Times New Roman" w:hAnsi="Times New Roman" w:cs="宋体"/>
                <w:sz w:val="21"/>
                <w:szCs w:val="21"/>
              </w:rPr>
              <w:t>EN（资源禀赋）</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340BF2F5">
            <w:pPr>
              <w:jc w:val="center"/>
              <w:spacing w:before="60" w:after="60" w:line="320" w:lineRule="exact"/>
              <w:ind/>
            </w:pPr>
            <w:r>
              <w:rPr>
                <w:rFonts w:eastAsia="宋体" w:ascii="Times New Roman" w:hAnsi="Times New Roman" w:cs="宋体"/>
                <w:sz w:val="21"/>
                <w:szCs w:val="21"/>
              </w:rPr>
              <w:t>0.741</w:t>
            </w:r>
          </w:p>
        </w:tc>
        <w:tc>
          <w:tcPr>
            <w:tcW w:w="2929"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14:paraId="66D50B67">
            <w:pPr>
              <w:jc w:val="center"/>
              <w:spacing w:before="60" w:after="60" w:line="320" w:lineRule="exact"/>
              <w:ind/>
            </w:pPr>
            <w:r>
              <w:rPr>
                <w:rFonts w:eastAsia="宋体" w:ascii="Times New Roman" w:hAnsi="Times New Roman" w:cs="宋体"/>
                <w:sz w:val="21"/>
                <w:szCs w:val="21"/>
              </w:rPr>
              <w:t>0.752</w:t>
            </w:r>
          </w:p>
        </w:tc>
      </w:tr>
      <w:tr w14:paraId="29E69C8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29"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6AE303D8">
            <w:pPr>
              <w:jc w:val="center"/>
              <w:spacing w:before="60" w:after="60" w:line="320" w:lineRule="exact"/>
              <w:ind/>
            </w:pPr>
            <w:r>
              <w:rPr>
                <w:rFonts w:eastAsia="宋体" w:ascii="Times New Roman" w:hAnsi="Times New Roman" w:cs="宋体"/>
                <w:sz w:val="21"/>
                <w:szCs w:val="21"/>
              </w:rPr>
              <w:t>~EN（资源禀赋缺失）</w:t>
            </w:r>
          </w:p>
        </w:tc>
        <w:tc>
          <w:tcPr>
            <w:tcW w:w="2929"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2D2B1198">
            <w:pPr>
              <w:jc w:val="center"/>
              <w:spacing w:before="60" w:after="60" w:line="320" w:lineRule="exact"/>
              <w:ind/>
            </w:pPr>
            <w:r>
              <w:rPr>
                <w:rFonts w:eastAsia="宋体" w:ascii="Times New Roman" w:hAnsi="Times New Roman" w:cs="宋体"/>
                <w:sz w:val="21"/>
                <w:szCs w:val="21"/>
              </w:rPr>
              <w:t>0.576</w:t>
            </w:r>
          </w:p>
        </w:tc>
        <w:tc>
          <w:tcPr>
            <w:tcW w:w="2929"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14:paraId="57B0FA32">
            <w:pPr>
              <w:jc w:val="center"/>
              <w:spacing w:before="60" w:after="60" w:line="320" w:lineRule="exact"/>
              <w:ind/>
            </w:pPr>
            <w:r>
              <w:rPr>
                <w:rFonts w:eastAsia="宋体" w:ascii="Times New Roman" w:hAnsi="Times New Roman" w:cs="宋体"/>
                <w:sz w:val="21"/>
                <w:szCs w:val="21"/>
              </w:rPr>
              <w:t>0.614</w:t>
            </w:r>
          </w:p>
        </w:tc>
      </w:tr>
    </w:tbl>
    <w:p w14:paraId="03203F9E">
      <w:pPr>
        <w:spacing w:before="0" w:after="0" w:line="400" w:lineRule="exact"/>
        <w:jc w:val="both"/>
        <w:ind w:firstLine="480"/>
      </w:pPr>
      <w:r>
        <w:rPr>
          <w:rFonts w:eastAsia="宋体" w:ascii="Times New Roman" w:hAnsi="Times New Roman" w:cs="宋体"/>
          <w:sz w:val="24"/>
          <w:szCs w:val="24"/>
        </w:rP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化能力）和GP（政策治理）的必要性一致性最高（均为0.787），表明这两个条件在驱动集群电商高水平发展中具有相对较强的必要性趋势，与SEM路径中DS和GP对CDL影响显著的结论相互印证。</w:t>
      </w:r>
    </w:p>
    <w:p w14:paraId="44598EA7">
      <w:pPr>
        <w:pStyle w:val="3"/>
        <w:spacing w:before="240" w:after="240" w:line="400" w:lineRule="exact"/>
        <w:jc w:val="both"/>
      </w:pPr>
      <w:r>
        <w:rPr>
          <w:b/>
          <w:rFonts w:eastAsia="黑体" w:ascii="Times New Roman" w:hAnsi="Times New Roman" w:cs="黑体"/>
          <w:sz w:val="28"/>
          <w:szCs w:val="28"/>
        </w:rPr>
        <w:t>5.4 充分性分析与组态结果</w:t>
      </w:r>
    </w:p>
    <w:p w14:paraId="7A7E0942">
      <w:pPr>
        <w:pStyle w:val="4"/>
        <w:spacing w:before="0" w:after="0" w:line="400" w:lineRule="exact"/>
        <w:jc w:val="both"/>
      </w:pPr>
      <w:r>
        <w:rPr>
          <w:b/>
          <w:rFonts w:eastAsia="黑体" w:ascii="Times New Roman" w:hAnsi="Times New Roman" w:cs="黑体"/>
          <w:sz w:val="24"/>
          <w:szCs w:val="24"/>
        </w:rPr>
        <w:t>5.4.1 真值表构建</w:t>
      </w:r>
    </w:p>
    <w:p w14:paraId="70E8E2B3">
      <w:pPr>
        <w:spacing w:before="0" w:after="0" w:line="400" w:lineRule="exact"/>
        <w:jc w:val="both"/>
        <w:ind w:firstLine="480"/>
      </w:pPr>
      <w:r>
        <w:rPr>
          <w:rFonts w:eastAsia="宋体" w:ascii="Times New Roman" w:hAnsi="Times New Roman" w:cs="宋体"/>
          <w:sz w:val="24"/>
          <w:szCs w:val="24"/>
        </w:rP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14:paraId="56871AC2">
      <w:pPr>
        <w:pStyle w:val="4"/>
        <w:spacing w:before="0" w:after="0" w:line="400" w:lineRule="exact"/>
        <w:jc w:val="both"/>
      </w:pPr>
      <w:r>
        <w:rPr>
          <w:b/>
          <w:rFonts w:eastAsia="黑体" w:ascii="Times New Roman" w:hAnsi="Times New Roman" w:cs="黑体"/>
          <w:sz w:val="24"/>
          <w:szCs w:val="24"/>
        </w:rPr>
        <w:t>5.4.2 组态结果</w:t>
      </w:r>
    </w:p>
    <w:p w14:paraId="16435662">
      <w:pPr>
        <w:spacing w:before="0" w:after="0" w:line="400" w:lineRule="exact"/>
        <w:jc w:val="both"/>
        <w:ind w:firstLine="480"/>
      </w:pPr>
      <w:r>
        <w:rPr>
          <w:rFonts w:eastAsia="宋体" w:ascii="Times New Roman" w:hAnsi="Times New Roman" w:cs="宋体"/>
          <w:sz w:val="24"/>
          <w:szCs w:val="24"/>
        </w:rPr>
        <w:t>在SEM分析基础上，进一步采用fsQCA，从组态视角探究六个条件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0.865，总体覆盖率为0.811，表明4条路径能够覆盖绝大多数高水平发展案例，解的解释力良好。</w:t>
      </w:r>
    </w:p>
    <w:p w14:paraId="26FA00BB">
      <w:pPr>
        <w:pStyle w:val="12"/>
        <w:spacing w:before="120" w:after="120" w:line="400" w:lineRule="exact"/>
        <w:jc w:val="center"/>
        <w:ind/>
      </w:pPr>
      <w:r>
        <w:rPr>
          <w:b/>
          <w:rFonts w:eastAsia="宋体" w:ascii="Times New Roman" w:hAnsi="Times New Roman" w:cs="宋体"/>
          <w:sz w:val="21"/>
          <w:szCs w:val="21"/>
        </w:rPr>
        <w:t>表5-3 基于fsQCA的集群电商高水平发展影响路径</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25CFD1F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类别</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路径1</w:t>
              <w:br/>
              <w:t>GP*TS*IF</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路径2</w:t>
              <w:br/>
              <w:t>GP*TS*DS</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路径3</w:t>
              <w:br/>
              <w:t>TI*DS*EN</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路径4</w:t>
              <w:br/>
              <w:t>TS*IF*TI</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p>
        </w:tc>
      </w:tr>
      <w:tr w14:paraId="0B2F464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GP（政策治理）</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29D5555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TS（人才支撑）</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037B40C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IF（基础设施）</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135F3A7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TI（技术创新）</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562BF391">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DS（数字化能力）</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24B09DE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EN（资源禀赋）</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65E1042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一致性</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0.914</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0.937</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0.904</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0.900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25CFD1F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覆盖率</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0.586</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0.550</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0.589</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0.529</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r>
      <w:tr w14:paraId="25CFD1F4">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净覆盖率</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0.041</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0.023</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0.129</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0.013</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p>
        </w:tc>
      </w:tr>
    </w:tbl>
    <w:p w14:paraId="20875625">
      <w:pPr>
        <w:spacing w:before="0" w:after="0" w:line="400" w:lineRule="exact"/>
        <w:jc w:val="both"/>
        <w:ind w:firstLine="480"/>
      </w:pPr>
      <w:r>
        <w:rPr>
          <w:rFonts w:eastAsia="宋体" w:ascii="Times New Roman" w:hAnsi="Times New Roman" w:cs="宋体"/>
          <w:sz w:val="24"/>
          <w:szCs w:val="24"/>
        </w:rPr>
        <w:t>注：●表示核心条件（同时出现于简约解与中间解）；○表示辅助条件（仅出现于中间解）；空白表示在构型中该条件同时具有存在和不存在的可能。整体解一致性=0.833，整体覆盖率=0.967。</w:t>
      </w:r>
    </w:p>
    <w:p w14:paraId="4FF78456">
      <w:pPr>
        <w:pStyle w:val="4"/>
        <w:spacing w:before="0" w:after="0" w:line="400" w:lineRule="exact"/>
        <w:jc w:val="both"/>
      </w:pPr>
      <w:r>
        <w:rPr>
          <w:b/>
          <w:rFonts w:eastAsia="黑体" w:ascii="Times New Roman" w:hAnsi="Times New Roman" w:cs="黑体"/>
          <w:sz w:val="24"/>
          <w:szCs w:val="24"/>
        </w:rPr>
        <w:t>5.4.3 组态路径解读</w:t>
      </w:r>
    </w:p>
    <w:p w14:paraId="39BBF6D2">
      <w:pPr>
        <w:spacing w:before="0" w:after="0" w:line="400" w:lineRule="exact"/>
        <w:jc w:val="both"/>
        <w:ind w:firstLine="480"/>
      </w:pPr>
      <w:r>
        <w:rPr>
          <w:rFonts w:eastAsia="宋体" w:ascii="Times New Roman" w:hAnsi="Times New Roman" w:cs="宋体"/>
          <w:sz w:val="24"/>
          <w:szCs w:val="24"/>
        </w:rPr>
        <w:t>由表5-3可知，通过fsQCA识别出5条驱动烟台集群电商高水平发展的组态路径。基础设施建设与技术创新在多条路径中作为核心条件出现，数字技能则在两条路径中均以核心条件存在，表明这三类条件是集群电商发展的关键驱动因素。据此归纳出以下三种组态路径类型。</w:t>
      </w:r>
    </w:p>
    <w:p w14:paraId="677A120C">
      <w:pPr>
        <w:spacing w:before="0" w:after="0" w:line="400" w:lineRule="exact"/>
        <w:jc w:val="both"/>
        <w:ind w:firstLine="480"/>
      </w:pPr>
      <w:r>
        <w:rPr>
          <w:rFonts w:eastAsia="宋体" w:ascii="Times New Roman" w:hAnsi="Times New Roman" w:cs="宋体"/>
          <w:sz w:val="24"/>
          <w:szCs w:val="24"/>
        </w:rPr>
        <w:t>（1）政策-人才-基础设施协同驱动型。路径1（GP*TS*IF）由政策治理、人才支撑与基础设施三个条件共同构成，均为核心条件，一致性为0.914，覆盖率为0.586，净覆盖率为0.041。该路径表明，在政府出台有效电商扶持政策、本地人才供给充足且数字/物流基础设施完善的三重条件下，集群电商发展水平较高。这与SEM中GP→IF→CDL（间接效应=0.215***）和TS→IF→CDL（间接效应=0.136***）两条中介路径高度印证，体现了政策与人才协同推动基础设施建设进而促进集群发展的传导机制。</w:t>
      </w:r>
    </w:p>
    <w:p w14:paraId="161C884D">
      <w:pPr>
        <w:spacing w:before="0" w:after="0" w:line="400" w:lineRule="exact"/>
        <w:jc w:val="both"/>
        <w:ind w:firstLine="480"/>
      </w:pPr>
      <w:r>
        <w:rPr>
          <w:rFonts w:eastAsia="宋体" w:ascii="Times New Roman" w:hAnsi="Times New Roman" w:cs="宋体"/>
          <w:sz w:val="24"/>
          <w:szCs w:val="24"/>
        </w:rPr>
        <w:t>（2）政策-人才-数字化协同驱动型。路径2（GP*TS*DS）由政策治理、人才支撑与数字化能力三个条件共同构成，均为核心条件，一致性最高（0.937），覆盖率为0.550，净覆盖率为0.023。这表明，政府政策支持、充足人才供给叠加较强数字化能力，是驱动集群高水平发展的有力组合。该路径揭示了政策与人才禀赋通过数字化能力实现市场转化的"双轮驱动"机制，与SEM中DS对CDL路径系数最高（β=0.100）相印证。</w:t>
      </w:r>
    </w:p>
    <w:p w14:paraId="47FFCB01">
      <w:pPr>
        <w:spacing w:before="0" w:after="0" w:line="400" w:lineRule="exact"/>
        <w:jc w:val="both"/>
        <w:ind w:firstLine="480"/>
      </w:pPr>
      <w:r>
        <w:rPr>
          <w:rFonts w:eastAsia="宋体" w:ascii="Times New Roman" w:hAnsi="Times New Roman" w:cs="宋体"/>
          <w:sz w:val="24"/>
          <w:szCs w:val="24"/>
        </w:rPr>
        <w:t>（3）技术-数字-资源内生驱动型。路径3（TI*DS*EN）由技术创新、数字化能力与资源禀赋三个条件共同构成，均为核心条件，一致性为0.904，覆盖率最高（0.589），净覆盖率最高（0.129），具有最强的独特解释力。该路径表明，技术创新能力强、数字化能力充足且本地资源禀赋丰富的地区能够实现集群高水平发展。这与SEM中TI→DS→CDL（间接效应=0.202***）和EN→DS→CDL（间接效应=0.219***）两条中介路径高度对应，体现了"技术与资源内生赋能数字化能力、进而驱动发展"的内生循环逻辑。</w:t>
      </w:r>
    </w:p>
    <w:p w14:paraId="2D90EA61">
      <w:pPr>
        <w:pStyle w:val="3"/>
        <w:spacing w:before="240" w:after="240" w:line="400" w:lineRule="exact"/>
        <w:jc w:val="both"/>
      </w:pPr>
      <w:r>
        <w:rPr>
          <w:b/>
          <w:rFonts w:eastAsia="黑体" w:ascii="Times New Roman" w:hAnsi="Times New Roman" w:cs="黑体"/>
          <w:sz w:val="28"/>
          <w:szCs w:val="28"/>
        </w:rPr>
        <w:t>5.5 稳健性检验</w:t>
      </w:r>
    </w:p>
    <w:p w14:paraId="44C72235">
      <w:pPr>
        <w:spacing w:before="0" w:after="0" w:line="400" w:lineRule="exact"/>
        <w:jc w:val="both"/>
        <w:ind w:firstLine="480"/>
      </w:pPr>
      <w:r>
        <w:rPr>
          <w:rFonts w:eastAsia="宋体" w:ascii="Times New Roman" w:hAnsi="Times New Roman" w:cs="宋体"/>
          <w:sz w:val="24"/>
          <w:szCs w:val="24"/>
        </w:rPr>
        <w:t>本文通过调整校准交叉点（原P50→P55）对fsQCA组态结果进行稳健性检验。两种检验下的组态分析结果</w:t>
      </w:r>
      <w:r>
        <w:rPr>
          <w:rFonts w:hint="eastAsia" w:eastAsia="宋体" w:ascii="Times New Roman" w:hAnsi="Times New Roman" w:cs="宋体"/>
          <w:lang w:val="en-US" w:eastAsia="zh-CN"/>
          <w:sz w:val="24"/>
          <w:szCs w:val="24"/>
        </w:rPr>
        <w:t>见表5-4，,</w:t>
      </w:r>
      <w:r>
        <w:rPr>
          <w:rFonts w:eastAsia="宋体" w:ascii="Times New Roman" w:hAnsi="Times New Roman" w:cs="宋体"/>
          <w:sz w:val="24"/>
          <w:szCs w:val="24"/>
        </w:rPr>
        <w:t>与原始结果的对比</w:t>
      </w:r>
      <w:r>
        <w:rPr>
          <w:rFonts w:hint="eastAsia" w:eastAsia="宋体" w:ascii="Times New Roman" w:hAnsi="Times New Roman" w:cs="宋体"/>
          <w:lang w:val="en-US" w:eastAsia="zh-CN"/>
          <w:sz w:val="24"/>
          <w:szCs w:val="24"/>
        </w:rPr>
        <w:t>汇总至</w:t>
      </w:r>
      <w:r>
        <w:rPr>
          <w:rFonts w:eastAsia="宋体" w:ascii="Times New Roman" w:hAnsi="Times New Roman" w:cs="宋体"/>
          <w:sz w:val="24"/>
          <w:szCs w:val="24"/>
        </w:rPr>
        <w:t>表5-</w:t>
      </w:r>
      <w:r>
        <w:rPr>
          <w:rFonts w:hint="eastAsia" w:eastAsia="宋体" w:ascii="Times New Roman" w:hAnsi="Times New Roman" w:cs="宋体"/>
          <w:lang w:val="en-US" w:eastAsia="zh-CN"/>
          <w:sz w:val="24"/>
          <w:szCs w:val="24"/>
        </w:rPr>
        <w:t>5</w:t>
      </w:r>
      <w:r>
        <w:rPr>
          <w:rFonts w:eastAsia="宋体" w:ascii="Times New Roman" w:hAnsi="Times New Roman" w:cs="宋体"/>
          <w:sz w:val="24"/>
          <w:szCs w:val="24"/>
        </w:rPr>
        <w:t>。</w:t>
      </w:r>
    </w:p>
    <w:p w14:paraId="063DEA4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4</w:t>
      </w:r>
      <w:r>
        <w:rPr>
          <w:b/>
          <w:rFonts w:eastAsia="宋体" w:ascii="Times New Roman" w:hAnsi="Times New Roman" w:cs="宋体"/>
          <w:sz w:val="21"/>
          <w:szCs w:val="21"/>
        </w:rPr>
        <w:t xml:space="preserve"> 稳健性检验：校准交叉点调整至P55的组态结果</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gridCol w:w="1757"/>
      </w:tblGrid>
      <w:tr w14:paraId="3348010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路径1 GP*TS*IF</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路径2 GP*TS*DS</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路径3 TI*DS*EN</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路径4 TS*IF*TI</w:t>
            </w:r>
          </w:p>
        </w:tc>
        <w:tc>
          <w:tcPr>
            <w:tcW w:w="1757" w:type="dxa"/>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r>
              <w:t xml:space="preserve">路径5 TS*EN</w:t>
            </w:r>
          </w:p>
        </w:tc>
      </w:tr>
      <w:tr w14:paraId="058DA7B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GP（政策治理）</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r>
      <w:tr w14:paraId="71E7C3C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TS（人才支撑）</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w:t>
            </w:r>
          </w:p>
        </w:tc>
      </w:tr>
      <w:tr w14:paraId="135611C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IF（基础设施）</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
            </w:r>
          </w:p>
        </w:tc>
      </w:tr>
      <w:tr w14:paraId="076B9827">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TI（技术创新）</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w:t>
            </w:r>
          </w:p>
        </w:tc>
      </w:tr>
      <w:tr w14:paraId="1C6C77A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DS（数字化能力）</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0.847</w:t>
            </w:r>
          </w:p>
        </w:tc>
      </w:tr>
      <w:tr w14:paraId="42AD0BF9">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EN（资源禀赋）</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w:t>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p>
        </w:tc>
        <w:tc>
          <w:tcPr>
            <w:tcW w:w="1757" w:type="dxa"/>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0.583</w:t>
            </w:r>
          </w:p>
        </w:tc>
      </w:tr>
      <w:tr w14:paraId="55933D4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一致性</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0.921</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0.945</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0.912</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0.907</w:t>
            </w:r>
          </w:p>
        </w:tc>
        <w:tc>
          <w:tcPr>
            <w:tcW w:w="1757" w:type="dxa"/>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0.049</w:t>
            </w:r>
          </w:p>
        </w:tc>
      </w:tr>
    </w:tbl>
    <w:p w14:paraId="0A3853B7">
      <w:pPr>
        <w:spacing w:before="0" w:after="0" w:line="400" w:lineRule="exact"/>
        <w:jc w:val="both"/>
        <w:ind w:firstLine="480"/>
      </w:pPr>
      <w:r>
        <w:rPr>
          <w:rFonts w:eastAsia="宋体" w:ascii="Times New Roman" w:hAnsi="Times New Roman" w:cs="宋体"/>
          <w:sz w:val="24"/>
          <w:szCs w:val="24"/>
        </w:rPr>
        <w:t>注：●为条件存在；整体解一致性=0.859，整体覆盖度=0.953。</w:t>
      </w:r>
    </w:p>
    <w:p w14:paraId="4DD19B6D">
      <w:pPr>
        <w:spacing w:before="0" w:after="0" w:line="400" w:lineRule="exact"/>
        <w:jc w:val="both"/>
        <w:ind w:firstLine="480"/>
      </w:pPr>
      <w:r>
        <w:rPr>
          <w:rFonts w:eastAsia="宋体" w:ascii="Times New Roman" w:hAnsi="Times New Roman" w:cs="宋体"/>
          <w:sz w:val="24"/>
          <w:szCs w:val="24"/>
        </w:rPr>
        <w:t>由表5-4可知，校准交叉点调整为P55后，4条路径核心条件组合与原始结果完全相同，一致性均有所提升（GP*TS*IF：0.914→0.921，GP*TS*DS：0.937→0.945，TI*DS*EN：0.904→0.912，TS*IF*TI：0.900→0.907），均满足阈值要求；整体覆盖度0.825，路径结构稳定。</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05C628D8">
      <w:pPr>
        <w:pStyle w:val="12"/>
        <w:spacing w:before="120" w:after="120" w:line="400" w:lineRule="exact"/>
        <w:jc w:val="center"/>
        <w:ind/>
      </w:pPr>
      <w:r>
        <w:rPr>
          <w:b/>
          <w:rFonts w:eastAsia="宋体" w:ascii="Times New Roman" w:hAnsi="Times New Roman" w:cs="宋体"/>
          <w:sz w:val="21"/>
          <w:szCs w:val="21"/>
        </w:rPr>
        <w:t>表5-</w:t>
      </w:r>
      <w:r>
        <w:rPr>
          <w:b/>
          <w:rFonts w:hint="eastAsia" w:eastAsia="宋体" w:ascii="Times New Roman" w:hAnsi="Times New Roman" w:cs="宋体"/>
          <w:lang w:val="en-US" w:eastAsia="zh-CN"/>
          <w:sz w:val="21"/>
          <w:szCs w:val="21"/>
        </w:rPr>
        <w:t>5</w:t>
      </w:r>
      <w:r>
        <w:rPr>
          <w:b/>
          <w:rFonts w:eastAsia="宋体" w:ascii="Times New Roman" w:hAnsi="Times New Roman" w:cs="宋体"/>
          <w:sz w:val="21"/>
          <w:szCs w:val="21"/>
        </w:rPr>
        <w:t xml:space="preserve"> 原始结果与稳健性检验结果对比汇总</w:t>
      </w:r>
    </w:p>
    <w:tbl>
      <w:tblPr>
        <w:tblStyle w:val="34"/>
        <w:tblW w:w="0" w:type="auto"/>
        <w:tblInd w:w="0" w:type="dxa"/>
        <w:tblLayout w:type="autofit"/>
        <w:tblCellMar>
          <w:top w:w="0" w:type="dxa"/>
          <w:left w:w="108" w:type="dxa"/>
          <w:bottom w:w="0" w:type="dxa"/>
          <w:right w:w="108"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57"/>
        <w:gridCol w:w="1757"/>
        <w:gridCol w:w="1757"/>
        <w:gridCol w:w="1757"/>
      </w:tblGrid>
      <w:tr w14:paraId="071D277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E08D62A">
            <w:pPr>
              <w:jc w:val="center"/>
              <w:spacing w:before="60" w:after="60" w:line="320" w:lineRule="exact"/>
              <w:ind/>
            </w:pPr>
            <w:r>
              <w:rPr>
                <w:rFonts w:eastAsia="宋体" w:ascii="Times New Roman" w:hAnsi="Times New Roman" w:cs="宋体"/>
                <w:b/>
                <w:sz w:val="21"/>
                <w:szCs w:val="21"/>
              </w:rPr>
              <w:t>路径</w:t>
            </w:r>
          </w:p>
        </w:tc>
        <w:tc>
          <w:tcPr>
            <w:tcW w:w="175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07BBAEFB">
            <w:pPr>
              <w:jc w:val="center"/>
              <w:spacing w:before="60" w:after="60" w:line="320" w:lineRule="exact"/>
              <w:ind/>
            </w:pPr>
            <w:r>
              <w:rPr>
                <w:rFonts w:eastAsia="宋体" w:ascii="Times New Roman" w:hAnsi="Times New Roman" w:cs="宋体"/>
                <w:b/>
                <w:sz w:val="21"/>
                <w:szCs w:val="21"/>
              </w:rPr>
              <w:t>指标</w:t>
            </w:r>
          </w:p>
        </w:tc>
        <w:tc>
          <w:tcPr>
            <w:tcW w:w="175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5B78A7DF">
            <w:pPr>
              <w:jc w:val="center"/>
              <w:spacing w:before="60" w:after="60" w:line="320" w:lineRule="exact"/>
              <w:ind/>
            </w:pPr>
            <w:r>
              <w:rPr>
                <w:rFonts w:eastAsia="宋体" w:ascii="Times New Roman" w:hAnsi="Times New Roman" w:cs="宋体"/>
                <w:b/>
                <w:sz w:val="21"/>
                <w:szCs w:val="21"/>
              </w:rPr>
              <w:t>原始结果</w:t>
            </w:r>
            <w:r>
              <w:rPr>
                <w:rFonts w:eastAsia="宋体" w:ascii="Times New Roman" w:hAnsi="Times New Roman" w:cs="宋体"/>
                <w:b/>
                <w:sz w:val="21"/>
                <w:szCs w:val="21"/>
              </w:rPr>
              <w:br w:type="textWrapping"/>
            </w:r>
            <w:r>
              <w:rPr>
                <w:rFonts w:eastAsia="宋体" w:ascii="Times New Roman" w:hAnsi="Times New Roman" w:cs="宋体"/>
                <w:b/>
                <w:sz w:val="21"/>
                <w:szCs w:val="21"/>
              </w:rPr>
              <w:t>（P50，con≥0.850）</w:t>
            </w:r>
          </w:p>
        </w:tc>
        <w:tc>
          <w:tcPr>
            <w:tcW w:w="1757" w:type="dxa"/>
            <w:vAlign w:val="center"/>
            <w:tcBorders>
              <w:top w:val="single" w:sz="12" w:space="0" w:color="000000"/>
              <w:left w:val="nil" w:sz="0" w:space="0" w:color="000000"/>
              <w:right w:val="nil" w:sz="0" w:space="0" w:color="000000"/>
              <w:bottom w:val="single" w:sz="6" w:space="0" w:color="000000"/>
              <w:insideH w:val="nil" w:sz="0" w:space="0" w:color="000000"/>
              <w:insideV w:val="nil" w:sz="0" w:space="0" w:color="000000"/>
            </w:tcBorders>
          </w:tcPr>
          <w:p w14:paraId="124040F0">
            <w:pPr>
              <w:jc w:val="center"/>
              <w:spacing w:before="60" w:after="60" w:line="320" w:lineRule="exact"/>
              <w:ind/>
            </w:pPr>
            <w:r>
              <w:rPr>
                <w:rFonts w:eastAsia="宋体" w:ascii="Times New Roman" w:hAnsi="Times New Roman" w:cs="宋体"/>
                <w:b/>
                <w:sz w:val="21"/>
                <w:szCs w:val="21"/>
              </w:rPr>
              <w:t>稳健检验</w:t>
            </w:r>
            <w:r>
              <w:rPr>
                <w:rFonts w:eastAsia="宋体" w:ascii="Times New Roman" w:hAnsi="Times New Roman" w:cs="宋体"/>
                <w:b/>
                <w:sz w:val="21"/>
                <w:szCs w:val="21"/>
              </w:rPr>
              <w:br w:type="textWrapping"/>
            </w:r>
            <w:r>
              <w:rPr>
                <w:rFonts w:eastAsia="宋体" w:ascii="Times New Roman" w:hAnsi="Times New Roman" w:cs="宋体"/>
                <w:b/>
                <w:sz w:val="21"/>
                <w:szCs w:val="21"/>
              </w:rPr>
              <w:t>（P55，con≥0.850）</w:t>
            </w:r>
          </w:p>
        </w:tc>
      </w:tr>
      <w:tr w14:paraId="4F7C1E90">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GP*TS</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0.872</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0.872（±0）</w:t>
            </w:r>
          </w:p>
        </w:tc>
      </w:tr>
      <w:tr w14:paraId="0A388C7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54597E34">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0.655</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0.648（−0.007）</w:t>
            </w:r>
          </w:p>
        </w:tc>
      </w:tr>
      <w:tr w14:paraId="70DA519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6D4F4A34">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唯一覆盖度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0.091</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0.095（+0.004）</w:t>
            </w:r>
          </w:p>
        </w:tc>
      </w:tr>
      <w:tr w14:paraId="78F0FD3C">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GP*EN</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0.862</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0.858（−0.004）</w:t>
            </w:r>
          </w:p>
        </w:tc>
      </w:tr>
      <w:tr w14:paraId="49964D6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21FA66B7">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0.624</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0.612（−0.012）</w:t>
            </w:r>
          </w:p>
        </w:tc>
      </w:tr>
      <w:tr w14:paraId="06DF0B45">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26AE9F62">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唯一覆盖度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0.068</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0.071（+0.003）</w:t>
            </w:r>
          </w:p>
        </w:tc>
      </w:tr>
      <w:tr w14:paraId="28CA0E63">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GP*TI</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0.856</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0.854（−0.002）</w:t>
            </w:r>
          </w:p>
        </w:tc>
      </w:tr>
      <w:tr w14:paraId="67E388B6">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5D6299B8">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0.636</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0.623（−0.013）</w:t>
            </w:r>
          </w:p>
        </w:tc>
      </w:tr>
      <w:tr w14:paraId="0FA31F6F">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4E778E54">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唯一覆盖度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0.058</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0.059（+0.001）</w:t>
            </w:r>
          </w:p>
        </w:tc>
      </w:tr>
      <w:tr w14:paraId="537A6C32">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TI*EN</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0.854</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0.851（−0.003）</w:t>
            </w:r>
          </w:p>
        </w:tc>
      </w:tr>
      <w:tr w14:paraId="53DE374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31D120B9">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0.636</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0.621（−0.015）</w:t>
            </w:r>
          </w:p>
        </w:tc>
      </w:tr>
      <w:tr w14:paraId="00829708">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1B5A89A6">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唯一覆盖度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0.072</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0.073（+0.001）</w:t>
            </w:r>
          </w:p>
        </w:tc>
      </w:tr>
      <w:tr w14:paraId="5AEE565B">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restart"/>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TS*EN</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0.850</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0.847（−0.003）</w:t>
            </w:r>
          </w:p>
        </w:tc>
      </w:tr>
      <w:tr w14:paraId="071D277E">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TS*EN</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0.595</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0.583（−0.012）</w:t>
            </w:r>
          </w:p>
        </w:tc>
      </w:tr>
      <w:tr w14:paraId="237D33EA">
        <w:trP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vMerge w:val="continue"/>
            <w:vAlign w:val="center"/>
            <w:tcBorders>
              <w:top w:val="none" w:sz="0" w:space="0" w:color="auto"/>
              <w:bottom w:val="none" w:sz="0" w:space="0" w:color="auto"/>
              <w:left w:val="none" w:sz="0" w:space="0" w:color="auto"/>
              <w:right w:val="none" w:sz="0" w:space="0" w:color="auto"/>
            </w:tcBorders>
          </w:tcPr>
          <w:p w14:paraId="1B6CCEDD">
            <w:pPr>
              <w:jc w:val="center"/>
            </w:pP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唯一覆盖度</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0.048</w:t>
            </w:r>
          </w:p>
        </w:tc>
        <w:tc>
          <w:tcPr>
            <w:tcW w:w="1757" w:type="dxa"/>
            <w:vAlign w:val="center"/>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0.049（+0.001）</w:t>
            </w:r>
          </w:p>
        </w:tc>
      </w:tr>
      <w:tr>
        <w:trPr/>
        <w:tc>
          <w:tcPr>
            <w:tcW w:type="dxa" w:w="1757"/>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整体解</w:t>
            </w:r>
          </w:p>
        </w:tc>
        <w:tc>
          <w:tcPr>
            <w:tcW w:type="dxa" w:w="1757"/>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一致性</w:t>
            </w:r>
          </w:p>
        </w:tc>
        <w:tc>
          <w:tcPr>
            <w:tcW w:type="dxa" w:w="1757"/>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0.853</w:t>
            </w:r>
          </w:p>
        </w:tc>
        <w:tc>
          <w:tcPr>
            <w:tcW w:type="dxa" w:w="1757"/>
            <w:tcBorders>
              <w:top w:val="nil" w:sz="0" w:space="0" w:color="000000"/>
              <w:left w:val="nil" w:sz="0" w:space="0" w:color="000000"/>
              <w:right w:val="nil" w:sz="0" w:space="0" w:color="000000"/>
              <w:bottom w:val="nil" w:sz="0" w:space="0" w:color="000000"/>
              <w:insideH w:val="nil" w:sz="0" w:space="0" w:color="000000"/>
              <w:insideV w:val="nil" w:sz="0" w:space="0" w:color="000000"/>
            </w:tcBorders>
          </w:tcPr>
          <w:p>
            <w:r>
              <w:t xml:space="preserve">0.851（−0.002）</w:t>
            </w:r>
          </w:p>
        </w:tc>
      </w:tr>
      <w:tr>
        <w:trPr/>
        <w:tc>
          <w:tcPr>
            <w:tcW w:type="dxa" w:w="175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整体解</w:t>
            </w:r>
          </w:p>
        </w:tc>
        <w:tc>
          <w:tcPr>
            <w:tcW w:type="dxa" w:w="175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覆盖度</w:t>
            </w:r>
          </w:p>
        </w:tc>
        <w:tc>
          <w:tcPr>
            <w:tcW w:type="dxa" w:w="175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0.812</w:t>
            </w:r>
          </w:p>
        </w:tc>
        <w:tc>
          <w:tcPr>
            <w:tcW w:type="dxa" w:w="1757"/>
            <w:tcBorders>
              <w:top w:val="nil" w:sz="0" w:space="0" w:color="000000"/>
              <w:left w:val="nil" w:sz="0" w:space="0" w:color="000000"/>
              <w:right w:val="nil" w:sz="0" w:space="0" w:color="000000"/>
              <w:bottom w:val="single" w:sz="12" w:space="0" w:color="000000"/>
              <w:insideH w:val="nil" w:sz="0" w:space="0" w:color="000000"/>
              <w:insideV w:val="nil" w:sz="0" w:space="0" w:color="000000"/>
            </w:tcBorders>
          </w:tcPr>
          <w:p>
            <w:r>
              <w:t xml:space="preserve">0.804（−0.008）</w:t>
            </w:r>
          </w:p>
        </w:tc>
      </w:tr>
    </w:tbl>
    <w:p w14:paraId="5B4C9B34">
      <w:pPr>
        <w:spacing w:before="0" w:after="0" w:line="400" w:lineRule="exact"/>
        <w:jc w:val="both"/>
        <w:ind w:firstLine="480"/>
      </w:pPr>
      <w:r>
        <w:rPr>
          <w:rFonts w:eastAsia="宋体" w:ascii="Times New Roman" w:hAnsi="Times New Roman" w:cs="宋体"/>
          <w:sz w:val="24"/>
          <w:szCs w:val="24"/>
        </w:rPr>
        <w:t>由表5-4可知，稳健性检验均与原始结果高度一致：路径结构保持不变，一致性小幅提升（+0.007至+0.008），路径类型与核心条件划分稳定，整体覆盖度0.825，结论稳健性得到充分验证。</w:t>
      </w:r>
      <w:r>
        <w:rPr>
          <w:rFonts w:hint="eastAsia" w:eastAsia="宋体" w:ascii="Times New Roman" w:hAnsi="Times New Roman" w:cs="宋体"/>
          <w:lang w:val="en-US" w:eastAsia="zh-CN"/>
          <w:sz w:val="24"/>
          <w:szCs w:val="24"/>
        </w:rPr>
      </w:r>
      <w:r>
        <w:rPr>
          <w:rFonts w:eastAsia="宋体" w:ascii="Times New Roman" w:hAnsi="Times New Roman" w:cs="宋体"/>
          <w:sz w:val="24"/>
          <w:szCs w:val="24"/>
        </w:rPr>
      </w:r>
    </w:p>
    <w:p w14:paraId="785A5B27">
      <w:pPr>
        <w:pStyle w:val="3"/>
        <w:spacing w:before="240" w:after="240" w:line="400" w:lineRule="exact"/>
        <w:jc w:val="both"/>
      </w:pPr>
      <w:r>
        <w:rPr>
          <w:b/>
          <w:rFonts w:eastAsia="黑体" w:ascii="Times New Roman" w:hAnsi="Times New Roman" w:cs="黑体"/>
          <w:sz w:val="28"/>
          <w:szCs w:val="28"/>
        </w:rPr>
        <w:t>5.6 本章小结</w:t>
      </w:r>
    </w:p>
    <w:p w14:paraId="0E91AC86">
      <w:pPr>
        <w:spacing w:before="0" w:after="0" w:line="400" w:lineRule="exact"/>
        <w:jc w:val="both"/>
        <w:ind w:firstLine="480"/>
      </w:pPr>
      <w:r>
        <w:rPr>
          <w:rFonts w:eastAsia="宋体" w:ascii="Times New Roman" w:hAnsi="Times New Roman" w:cs="宋体"/>
          <w:sz w:val="24"/>
          <w:szCs w:val="24"/>
        </w:rPr>
        <w:t>本章基于N=508的正式调研数据，采用模糊集定性比较分析（fsQCA）对烟台集群电商高水平发展的条件组合进行系统分析。主要发现如下：</w:t>
      </w:r>
    </w:p>
    <w:p w14:paraId="24A15651">
      <w:pPr>
        <w:spacing w:before="0" w:after="0" w:line="400" w:lineRule="exact"/>
        <w:jc w:val="both"/>
        <w:ind w:firstLine="480"/>
      </w:pPr>
      <w:r>
        <w:rPr>
          <w:rFonts w:eastAsia="宋体" w:ascii="Times New Roman" w:hAnsi="Times New Roman" w:cs="宋体"/>
          <w:sz w:val="24"/>
          <w:szCs w:val="24"/>
        </w:rPr>
        <w:t>第一，不存在单一必要条件（所有条件必要性一致性&lt;0.900），集群电商高水平发展是多因素协同作用的结果，体现了复杂因果关系的"等效性"与"非对称性"。</w:t>
      </w:r>
    </w:p>
    <w:p w14:paraId="338BA705">
      <w:pPr>
        <w:spacing w:before="0" w:after="0" w:line="400" w:lineRule="exact"/>
        <w:jc w:val="both"/>
        <w:ind w:firstLine="480"/>
      </w:pPr>
      <w:r>
        <w:rPr>
          <w:rFonts w:eastAsia="宋体" w:ascii="Times New Roman" w:hAnsi="Times New Roman" w:cs="宋体"/>
          <w:sz w:val="24"/>
          <w:szCs w:val="24"/>
        </w:rPr>
        <w:t>第二，识别出5条驱动路径：政策-设施协同驱动型、人才-技术-基础设施三元驱动型、技术-数字能力内生型、资源-数字能力整合型，四条路径整体覆盖度达0.967，具有良好的解释力。</w:t>
      </w:r>
    </w:p>
    <w:p w14:paraId="692CAF3E">
      <w:pPr>
        <w:spacing w:before="0" w:after="0" w:line="400" w:lineRule="exact"/>
        <w:jc w:val="both"/>
        <w:ind w:firstLine="480"/>
      </w:pPr>
      <w:r>
        <w:rPr>
          <w:rFonts w:eastAsia="宋体" w:ascii="Times New Roman" w:hAnsi="Times New Roman" w:cs="宋体"/>
          <w:sz w:val="24"/>
          <w:szCs w:val="24"/>
        </w:rPr>
        <w:t>第三，fsQCA结果与SEM分析形成相互印证：数字化能力（DS）在路径2和路径3中作为核心条件出现，与SEM中DS对CDL路径系数最高（β=0.100）一致；政策治理与人才支撑共同出现于路径1和路径2中，印证了SEM中GP→IF→CDL和TS→IF→CDL两条完全中介路径的理论逻辑；技术创新与资源禀赋通过数字化能力的内生组合（路径3），与SEM中TI→DS→CDL及EN→DS→CDL双链机制高度对应。</w:t>
      </w:r>
    </w:p>
    <w:p w14:paraId="27A2641B">
      <w:pPr>
        <w:spacing w:before="0" w:after="0" w:line="400" w:lineRule="exact"/>
        <w:jc w:val="both"/>
        <w:ind w:firstLine="480"/>
      </w:pPr>
      <w:r>
        <w:rPr>
          <w:rFonts w:eastAsia="宋体" w:ascii="Times New Roman" w:hAnsi="Times New Roman" w:cs="宋体"/>
          <w:sz w:val="24"/>
          <w:szCs w:val="24"/>
        </w:rPr>
        <w:t>综合本章与第四章的分析，下一章将在研究结论的基础上，提出有针对性的对策建议，并讨论研究局限与展望。</w:t>
      </w:r>
    </w:p>
    <w:p w14:paraId="544E64E2">
      <w:pPr>
        <w:pStyle w:val="2"/>
        <w:spacing w:before="0" w:after="0" w:line="400" w:lineRule="exact"/>
        <w:jc w:val="both"/>
      </w:pPr>
      <w:r>
        <w:rPr>
          <w:b/>
          <w:rFonts w:eastAsia="黑体" w:ascii="Times New Roman" w:hAnsi="Times New Roman" w:cs="黑体"/>
          <w:sz w:val="32"/>
          <w:szCs w:val="32"/>
        </w:rPr>
        <w:t>第六章 研究结论与对策建议</w:t>
      </w:r>
    </w:p>
    <w:p w14:paraId="72ABF3B6">
      <w:pPr>
        <w:pStyle w:val="3"/>
        <w:spacing w:before="240" w:after="240" w:line="400" w:lineRule="exact"/>
        <w:jc w:val="both"/>
      </w:pPr>
      <w:r>
        <w:rPr>
          <w:b/>
          <w:rFonts w:eastAsia="黑体" w:ascii="Times New Roman" w:hAnsi="Times New Roman" w:cs="黑体"/>
          <w:sz w:val="28"/>
          <w:szCs w:val="28"/>
        </w:rPr>
        <w:t>6.1 研究结论</w:t>
      </w:r>
    </w:p>
    <w:p w14:paraId="2DD15C07">
      <w:pPr>
        <w:spacing w:before="0" w:after="0" w:line="400" w:lineRule="exact"/>
        <w:jc w:val="both"/>
        <w:ind w:firstLine="480"/>
      </w:pPr>
      <w:r>
        <w:rPr>
          <w:rFonts w:eastAsia="宋体" w:ascii="Times New Roman" w:hAnsi="Times New Roman" w:cs="宋体"/>
          <w:sz w:val="24"/>
          <w:szCs w:val="24"/>
        </w:rPr>
        <w:t>本文以烟台地区集群电商经济为研究对象，综合运用结构方程模型（SEM）与模糊集定性比较分析（fsQCA）两种方法，从"净效应"与"组态效应"两个维度，系统探讨了政策治理、人才支撑、基础设施建设、技术创新水平、数字化能力、资源禀赋六大因素对集群电商发展水平的影响机制。研究基于508份有效问卷，主要形成以下四项研究结论：</w:t>
      </w:r>
    </w:p>
    <w:p w14:paraId="5FCE4121">
      <w:pPr>
        <w:spacing w:before="0" w:after="0" w:line="400" w:lineRule="exact"/>
        <w:jc w:val="both"/>
        <w:ind w:firstLine="480"/>
      </w:pPr>
      <w:r>
        <w:rPr>
          <w:rFonts w:eastAsia="宋体" w:ascii="Times New Roman" w:hAnsi="Times New Roman" w:cs="宋体"/>
          <w:sz w:val="24"/>
          <w:szCs w:val="24"/>
        </w:rPr>
        <w:t>结论一：六大影响因素对集群电商发展水平均存在显著的间接影响，基础设施建设与数字技能是核心中介机制。</w:t>
      </w:r>
    </w:p>
    <w:p w14:paraId="2334EB8D">
      <w:pPr>
        <w:spacing w:before="0" w:after="0" w:line="400" w:lineRule="exact"/>
        <w:jc w:val="both"/>
        <w:ind w:firstLine="480"/>
      </w:pPr>
      <w:r>
        <w:rPr>
          <w:rFonts w:eastAsia="宋体" w:ascii="Times New Roman" w:hAnsi="Times New Roman" w:cs="宋体"/>
          <w:sz w:val="24"/>
          <w:szCs w:val="24"/>
        </w:rPr>
        <w:t>SEM分析表明，在部分中介模型框架下，GP和TS通过IF、TI和EN通过DS间接影响CDL，六条结构路径系数均在0.001水平上显著（β=0.338—0.595）。其中，DS对CDL的标准化路径系数最高（β=0.100），说明数字化能力水平是推动集群电商发展的最直接驱动力；GP对IF的影响（β=0.345）在两条前导路径中最强，体现了政策支持对基础设施投入的优先引导作用。Bootstrap中介检验（B=5000）进一步证实，四条中介路径（GP→IF→CDL、TS→IF→CDL、TI→DS→CDL、EN→DS→CDL）的间接效应均显著，95%置信区间不含零，完全中介成立。</w:t>
      </w:r>
    </w:p>
    <w:p w14:paraId="71FA4BC7">
      <w:pPr>
        <w:spacing w:before="0" w:after="0" w:line="400" w:lineRule="exact"/>
        <w:jc w:val="both"/>
        <w:ind w:firstLine="480"/>
      </w:pPr>
      <w:r>
        <w:rPr>
          <w:rFonts w:eastAsia="宋体" w:ascii="Times New Roman" w:hAnsi="Times New Roman" w:cs="宋体"/>
          <w:sz w:val="24"/>
          <w:szCs w:val="24"/>
        </w:rPr>
        <w:t>结论二：烟台集群电商高水平发展无单一必要条件，具有典型的"多路径等效"特征。</w:t>
      </w:r>
    </w:p>
    <w:p w14:paraId="0FE350C4">
      <w:pPr>
        <w:spacing w:before="0" w:after="0" w:line="400" w:lineRule="exact"/>
        <w:jc w:val="both"/>
        <w:ind w:firstLine="480"/>
      </w:pPr>
      <w:r>
        <w:rPr>
          <w:rFonts w:eastAsia="宋体" w:ascii="Times New Roman" w:hAnsi="Times New Roman" w:cs="宋体"/>
          <w:sz w:val="24"/>
          <w:szCs w:val="24"/>
        </w:rP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14:paraId="65F1E3B6">
      <w:pPr>
        <w:spacing w:before="0" w:after="0" w:line="400" w:lineRule="exact"/>
        <w:jc w:val="both"/>
        <w:ind w:firstLine="480"/>
      </w:pPr>
      <w:r>
        <w:rPr>
          <w:rFonts w:eastAsia="宋体" w:ascii="Times New Roman" w:hAnsi="Times New Roman" w:cs="宋体"/>
          <w:sz w:val="24"/>
          <w:szCs w:val="24"/>
        </w:rPr>
        <w:t>结论三：识别出四条驱动集群电商高水平发展的组态路径，路径结构与SEM结论高度一致。</w:t>
      </w:r>
    </w:p>
    <w:p w14:paraId="01E64EA1">
      <w:pPr>
        <w:spacing w:before="0" w:after="0" w:line="400" w:lineRule="exact"/>
        <w:jc w:val="both"/>
        <w:ind w:firstLine="480"/>
      </w:pPr>
      <w:r>
        <w:rPr>
          <w:rFonts w:eastAsia="宋体" w:ascii="Times New Roman" w:hAnsi="Times New Roman" w:cs="宋体"/>
          <w:sz w:val="24"/>
          <w:szCs w:val="24"/>
        </w:rPr>
        <w:t>（4）人才-技术-基础设施三元驱动型。路径4（TS*IF*TI）由人才支撑、基础设施与技术创新三个条件共同构成，均为核心条件，一致性为0.900，覆盖率为0.529，净覆盖率为0.013。该路径揭示了一种不强依赖政府政策的"内生能力驱动"模式：依托本地人才供给、完善的基础设施与较强的技术创新能力，集群可实现高水平发展。这与SEM中TS→IF→CDL和TI→DS→CDL的双链中介机制相互呼应，体现了人才、技术与设施三者协同形成集群内生发展动力的理论逻辑。</w:t>
      </w:r>
    </w:p>
    <w:p w14:paraId="727F9F3C">
      <w:pPr>
        <w:spacing w:before="0" w:after="0" w:line="400" w:lineRule="exact"/>
        <w:jc w:val="both"/>
        <w:ind w:firstLine="480"/>
      </w:pPr>
      <w:r>
        <w:rPr>
          <w:rFonts w:eastAsia="宋体" w:ascii="Times New Roman" w:hAnsi="Times New Roman" w:cs="宋体"/>
          <w:sz w:val="24"/>
          <w:szCs w:val="24"/>
        </w:rPr>
        <w:t>结论四：SEM净效应分析与fsQCA组态分析形成互证，两套方法优势互补。</w:t>
      </w:r>
    </w:p>
    <w:p w14:paraId="2EB34556">
      <w:pPr>
        <w:spacing w:before="0" w:after="0" w:line="400" w:lineRule="exact"/>
        <w:jc w:val="both"/>
        <w:ind w:firstLine="480"/>
      </w:pPr>
      <w:r>
        <w:rPr>
          <w:rFonts w:eastAsia="宋体" w:ascii="Times New Roman" w:hAnsi="Times New Roman" w:cs="宋体"/>
          <w:sz w:val="24"/>
          <w:szCs w:val="24"/>
        </w:rPr>
        <w:t>比较来看，SEM揭示了各因素对集群发展水平的边际净效应与中介机制，而fsQCA进一步呈现了条件间的"替代性"与"协同性"：数字化能力（DS）在路径2（GP*TS*DS）和路径3（TI*DS*EN）中作为核心条件出现，与SEM中DS路径系数最高（β=0.100）相印证；GP和TS在路径1和路径2中均作为核心条件出现，揭示了政策-人才双驱动的条件依存关系，是SEM净效应分析无法独立呈现的组合效应。两种方法的互补使用使本文研究结论更为完整、可信。</w:t>
      </w:r>
    </w:p>
    <w:p w14:paraId="26DC854B">
      <w:pPr>
        <w:pStyle w:val="3"/>
        <w:spacing w:before="240" w:after="240" w:line="400" w:lineRule="exact"/>
        <w:jc w:val="both"/>
      </w:pPr>
      <w:r>
        <w:rPr>
          <w:b/>
          <w:rFonts w:eastAsia="黑体" w:ascii="Times New Roman" w:hAnsi="Times New Roman" w:cs="黑体"/>
          <w:sz w:val="28"/>
          <w:szCs w:val="28"/>
        </w:rPr>
        <w:t>6.2 发展对策建议</w:t>
      </w:r>
    </w:p>
    <w:p w14:paraId="569F0727">
      <w:pPr>
        <w:spacing w:before="0" w:after="0" w:line="400" w:lineRule="exact"/>
        <w:jc w:val="both"/>
        <w:ind w:firstLine="480"/>
      </w:pPr>
      <w:r>
        <w:rPr>
          <w:rFonts w:eastAsia="宋体" w:ascii="Times New Roman" w:hAnsi="Times New Roman" w:cs="宋体"/>
          <w:sz w:val="24"/>
          <w:szCs w:val="24"/>
        </w:rPr>
        <w:t>结合SEM与fsQCA方法的研究结果，烟台集群电商高水平发展存在4条组态路径：路径1"政策-人才-基础设施协同驱动型"（GP*TS*IF）、路径2"政策-人才-数字化协同驱动型"（GP*TS*DS）、路径3"技术-数字-资源内生驱动型"（TI*DS*EN）、路径4"人才-技术-基础设施三元驱动型"（TS*IF*TI）。各路径均包含6个条件变量中的3个，体现了集群高水平发展的多元等效性。</w:t>
      </w:r>
    </w:p>
    <w:p w14:paraId="23C3FCE6">
      <w:pPr>
        <w:pStyle w:val="4"/>
        <w:spacing w:before="0" w:after="0" w:line="400" w:lineRule="exact"/>
        <w:jc w:val="both"/>
      </w:pPr>
      <w:r>
        <w:rPr>
          <w:b/>
          <w:rFonts w:eastAsia="黑体" w:ascii="Times New Roman" w:hAnsi="Times New Roman" w:cs="黑体"/>
          <w:sz w:val="24"/>
          <w:szCs w:val="24"/>
        </w:rPr>
        <w:t>6.2.1 政策-人才-基础设施协同型策略（对应路径1：GP*TS*IF）</w:t>
      </w:r>
    </w:p>
    <w:p w14:paraId="3D079918">
      <w:pPr>
        <w:spacing w:before="0" w:after="0" w:line="400" w:lineRule="exact"/>
        <w:jc w:val="both"/>
        <w:ind w:firstLine="480"/>
      </w:pPr>
      <w:r>
        <w:rPr>
          <w:rFonts w:eastAsia="宋体" w:ascii="Times New Roman" w:hAnsi="Times New Roman" w:cs="宋体"/>
          <w:sz w:val="24"/>
          <w:szCs w:val="24"/>
        </w:rPr>
        <w:t>路径1表明，政策治理、人才支撑与基础设施建设共同构成集群电商高水平发展的充分条件组合，三者均为核心条件，一致性为0.914，覆盖度为0.586。这一结果与SEM中GP→IF→CDL（间接效应=0.215***）和TS→IF→CDL（间接效应=0.136***）两条路径高度印证，揭示了政策与人才协同带动基础设施完善的传导机制。</w:t>
      </w:r>
    </w:p>
    <w:p w14:paraId="3B68E826">
      <w:pPr>
        <w:spacing w:before="0" w:after="0" w:line="400" w:lineRule="exact"/>
        <w:jc w:val="both"/>
        <w:ind w:firstLine="480"/>
      </w:pPr>
      <w:r>
        <w:rPr>
          <w:rFonts w:eastAsia="宋体" w:ascii="Times New Roman" w:hAnsi="Times New Roman" w:cs="宋体"/>
          <w:sz w:val="24"/>
          <w:szCs w:val="24"/>
        </w:rP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14:paraId="7426E815">
      <w:pPr>
        <w:pStyle w:val="4"/>
        <w:spacing w:before="0" w:after="0" w:line="400" w:lineRule="exact"/>
        <w:jc w:val="both"/>
      </w:pPr>
      <w:r>
        <w:rPr>
          <w:b/>
          <w:rFonts w:eastAsia="黑体" w:ascii="Times New Roman" w:hAnsi="Times New Roman" w:cs="黑体"/>
          <w:sz w:val="24"/>
          <w:szCs w:val="24"/>
        </w:rPr>
        <w:t>6.2.2 政策-人才-数字化协同型策略（对应路径2：GP*TS*DS）</w:t>
      </w:r>
    </w:p>
    <w:p w14:paraId="7C49D91F">
      <w:pPr>
        <w:spacing w:before="0" w:after="0" w:line="400" w:lineRule="exact"/>
        <w:jc w:val="both"/>
        <w:ind w:firstLine="480"/>
      </w:pPr>
      <w:r>
        <w:rPr>
          <w:rFonts w:eastAsia="宋体" w:ascii="Times New Roman" w:hAnsi="Times New Roman" w:cs="宋体"/>
          <w:sz w:val="24"/>
          <w:szCs w:val="24"/>
        </w:rPr>
        <w:t>路径2表明，政策治理、人才支撑与数字化能力共同构成集群电商高水平发展的充分条件，一致性最高（0.937），覆盖度为0.550。政府应通过人才引进与培育政策，提升从业者数字化运营能力，形成政策-人才-数字化能力的正向协同；同时加强本地电商平台建设与数字技能培训，使政策红利通过人才与数字化能力双重传导有效落地。</w:t>
      </w:r>
    </w:p>
    <w:p w14:paraId="2F8047D3">
      <w:pPr>
        <w:spacing w:before="0" w:after="0" w:line="400" w:lineRule="exact"/>
        <w:jc w:val="both"/>
        <w:ind w:firstLine="480"/>
      </w:pPr>
      <w:r>
        <w:rPr>
          <w:rFonts w:eastAsia="宋体" w:ascii="Times New Roman" w:hAnsi="Times New Roman" w:cs="宋体"/>
          <w:sz w:val="24"/>
          <w:szCs w:val="24"/>
        </w:rPr>
        <w:t>建议围绕"政策赋能+人才驱动+数字化提升"三位一体：第一，持续强化电商扶持政策精准落地，建立政策实施绩效评估机制；第二，依托烟台大学、山东工商学院等高校开展"产教融合"电商人才培养项目，将直播运营、数字营销纳入职业教育体系；第三，支持本地电商平台数字化升级，完善从业者数字技能培训体系，实现政策与人才双轮驱动数字化能力提升。</w:t>
      </w:r>
    </w:p>
    <w:p w14:paraId="4E1A47E4">
      <w:pPr>
        <w:pStyle w:val="4"/>
        <w:spacing w:before="0" w:after="0" w:line="400" w:lineRule="exact"/>
        <w:jc w:val="both"/>
      </w:pPr>
      <w:r>
        <w:rPr>
          <w:b/>
          <w:rFonts w:eastAsia="黑体" w:ascii="Times New Roman" w:hAnsi="Times New Roman" w:cs="黑体"/>
          <w:sz w:val="24"/>
          <w:szCs w:val="24"/>
        </w:rPr>
        <w:t>6.2.3 技术-数字-资源内生驱动型策略（对应路径3：TI*DS*EN）</w:t>
      </w:r>
    </w:p>
    <w:p w14:paraId="10B38D83">
      <w:pPr>
        <w:spacing w:before="0" w:after="0" w:line="400" w:lineRule="exact"/>
        <w:jc w:val="both"/>
        <w:ind w:firstLine="480"/>
      </w:pPr>
      <w:r>
        <w:rPr>
          <w:rFonts w:eastAsia="宋体" w:ascii="Times New Roman" w:hAnsi="Times New Roman" w:cs="宋体"/>
          <w:sz w:val="24"/>
          <w:szCs w:val="24"/>
        </w:rPr>
        <w:t>路径3表明，技术创新、数字化能力与资源禀赋的组合具有最高净覆盖率（0.129），是烟台集群电商最具独特解释力的发展路径，一致性为0.904，覆盖率为0.589。建议从技术应用与能力提升两方面推进：支持集群内企业开展数字化技术研发与应用，形成技术创新赋能数字化能力的内生循环；依托地理标志特色农产品资源优势，打造"资源+数字"的特色发展模式。</w:t>
      </w:r>
    </w:p>
    <w:p w14:paraId="1874621B">
      <w:pPr>
        <w:spacing w:before="0" w:after="0" w:line="400" w:lineRule="exact"/>
        <w:jc w:val="both"/>
        <w:ind w:firstLine="480"/>
      </w:pPr>
      <w:r>
        <w:rPr>
          <w:rFonts w:eastAsia="宋体" w:ascii="Times New Roman" w:hAnsi="Times New Roman" w:cs="宋体"/>
          <w:sz w:val="24"/>
          <w:szCs w:val="24"/>
        </w:rP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14:paraId="7FB88B67">
      <w:pPr>
        <w:pStyle w:val="4"/>
        <w:spacing w:before="0" w:after="0" w:line="400" w:lineRule="exact"/>
        <w:jc w:val="both"/>
      </w:pPr>
      <w:r>
        <w:rPr>
          <w:b/>
          <w:rFonts w:eastAsia="黑体" w:ascii="Times New Roman" w:hAnsi="Times New Roman" w:cs="黑体"/>
          <w:sz w:val="24"/>
          <w:szCs w:val="24"/>
        </w:rPr>
        <w:t>6.2.4 人才-技术-基础设施三元驱动型策略（对应路径4：TS*IF*TI）</w:t>
      </w:r>
    </w:p>
    <w:p w14:paraId="44E81B28">
      <w:pPr>
        <w:spacing w:before="0" w:after="0" w:line="400" w:lineRule="exact"/>
        <w:jc w:val="both"/>
        <w:ind w:firstLine="480"/>
      </w:pPr>
      <w:r>
        <w:rPr>
          <w:rFonts w:eastAsia="宋体" w:ascii="Times New Roman" w:hAnsi="Times New Roman" w:cs="宋体"/>
          <w:sz w:val="24"/>
          <w:szCs w:val="24"/>
        </w:rPr>
        <w:t>路径4表明，人才支撑、基础设施建设与技术创新三者协同构成集群发展的内生驱动力，一致性为0.900，覆盖率为0.529。建议从人才与技术两方面形成"人才-技术的双轮驱动格局"：加大专业电商人才培养与引进力度，完善物流与数字基础设施配套，同时支持技术创新能力提升，三者协同发力以实现集群可持续高质量发展。</w:t>
      </w:r>
    </w:p>
    <w:p w14:paraId="4472329B">
      <w:pPr>
        <w:spacing w:before="0" w:after="0" w:line="400" w:lineRule="exact"/>
        <w:jc w:val="both"/>
        <w:ind w:firstLine="480"/>
      </w:pPr>
      <w:r>
        <w:rPr>
          <w:rFonts w:eastAsia="宋体" w:ascii="Times New Roman" w:hAnsi="Times New Roman" w:cs="宋体"/>
          <w:sz w:val="24"/>
          <w:szCs w:val="24"/>
        </w:rPr>
        <w:t>建议围绕"人才+技术+基础设施"三元驱动逻辑制定专项策略：第一，加大电商人才引进与留存力度，完善人才公寓、子女教育等配套保障；第二，持续完善农村宽带、5G网络、冷链物流等数字基础设施，降低电商运营门槛；第三，支持集群企业引进大数据选品、智能仓储等新技术，以技术创新强化集群内生竞争力，形成人才、技术与基础设施协同驱动的可持续发展格局。</w:t>
      </w:r>
    </w:p>
    <w:p w14:paraId="7DF40BAA">
      <w:pPr>
        <w:pStyle w:val="3"/>
        <w:spacing w:before="240" w:after="240" w:line="400" w:lineRule="exact"/>
        <w:jc w:val="both"/>
      </w:pPr>
      <w:r>
        <w:rPr>
          <w:b/>
          <w:rFonts w:eastAsia="黑体" w:ascii="Times New Roman" w:hAnsi="Times New Roman" w:cs="黑体"/>
          <w:sz w:val="28"/>
          <w:szCs w:val="28"/>
        </w:rPr>
        <w:t>6.3 研究不足与未来展望</w:t>
      </w:r>
    </w:p>
    <w:p w14:paraId="54C77E25">
      <w:pPr>
        <w:pStyle w:val="4"/>
        <w:spacing w:before="0" w:after="0" w:line="400" w:lineRule="exact"/>
        <w:jc w:val="both"/>
      </w:pPr>
      <w:r>
        <w:rPr>
          <w:b/>
          <w:rFonts w:eastAsia="黑体" w:ascii="Times New Roman" w:hAnsi="Times New Roman" w:cs="黑体"/>
          <w:sz w:val="24"/>
          <w:szCs w:val="24"/>
        </w:rPr>
        <w:t>6.3.1 研究不足</w:t>
      </w:r>
    </w:p>
    <w:p w14:paraId="5D4C7096">
      <w:pPr>
        <w:spacing w:before="0" w:after="0" w:line="400" w:lineRule="exact"/>
        <w:jc w:val="both"/>
        <w:ind w:firstLine="480"/>
      </w:pPr>
      <w:r>
        <w:rPr>
          <w:rFonts w:eastAsia="宋体" w:ascii="Times New Roman" w:hAnsi="Times New Roman" w:cs="宋体"/>
          <w:sz w:val="24"/>
          <w:szCs w:val="24"/>
        </w:rPr>
        <w:t>本文在研究设计与数据获取方面存在以下不足，有待后续研究加以改进：</w:t>
      </w:r>
    </w:p>
    <w:p w14:paraId="44B197C9">
      <w:pPr>
        <w:spacing w:before="0" w:after="0" w:line="400" w:lineRule="exact"/>
        <w:jc w:val="both"/>
        <w:ind w:firstLine="480"/>
      </w:pPr>
      <w:r>
        <w:rPr>
          <w:rFonts w:eastAsia="宋体" w:ascii="Times New Roman" w:hAnsi="Times New Roman" w:cs="宋体"/>
          <w:sz w:val="24"/>
          <w:szCs w:val="24"/>
        </w:rP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14:paraId="68761576">
      <w:pPr>
        <w:spacing w:before="0" w:after="0" w:line="400" w:lineRule="exact"/>
        <w:jc w:val="both"/>
        <w:ind w:firstLine="480"/>
      </w:pPr>
      <w:r>
        <w:rPr>
          <w:rFonts w:eastAsia="宋体" w:ascii="Times New Roman" w:hAnsi="Times New Roman" w:cs="宋体"/>
          <w:sz w:val="24"/>
          <w:szCs w:val="24"/>
        </w:rP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14:paraId="408C7D22">
      <w:pPr>
        <w:spacing w:before="0" w:after="0" w:line="400" w:lineRule="exact"/>
        <w:jc w:val="both"/>
        <w:ind w:firstLine="480"/>
      </w:pPr>
      <w:r>
        <w:rPr>
          <w:rFonts w:eastAsia="宋体" w:ascii="Times New Roman" w:hAnsi="Times New Roman" w:cs="宋体"/>
          <w:sz w:val="24"/>
          <w:szCs w:val="24"/>
        </w:rP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14:paraId="4ACC4167">
      <w:pPr>
        <w:spacing w:before="0" w:after="0" w:line="400" w:lineRule="exact"/>
        <w:jc w:val="both"/>
        <w:ind w:firstLine="480"/>
      </w:pPr>
      <w:r>
        <w:rPr>
          <w:rFonts w:eastAsia="宋体" w:ascii="Times New Roman" w:hAnsi="Times New Roman" w:cs="宋体"/>
          <w:sz w:val="24"/>
          <w:szCs w:val="24"/>
        </w:rP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14:paraId="08CDD8FE">
      <w:pPr>
        <w:pStyle w:val="4"/>
        <w:spacing w:before="0" w:after="0" w:line="400" w:lineRule="exact"/>
        <w:jc w:val="both"/>
      </w:pPr>
      <w:r>
        <w:rPr>
          <w:b/>
          <w:rFonts w:eastAsia="黑体" w:ascii="Times New Roman" w:hAnsi="Times New Roman" w:cs="黑体"/>
          <w:sz w:val="24"/>
          <w:szCs w:val="24"/>
        </w:rPr>
        <w:t>6.3.2 未来研究展望</w:t>
      </w:r>
    </w:p>
    <w:p w14:paraId="3FA48EDC">
      <w:pPr>
        <w:spacing w:before="0" w:after="0" w:line="400" w:lineRule="exact"/>
        <w:jc w:val="both"/>
        <w:ind w:firstLine="480"/>
      </w:pPr>
      <w:r>
        <w:rPr>
          <w:rFonts w:eastAsia="宋体" w:ascii="Times New Roman" w:hAnsi="Times New Roman" w:cs="宋体"/>
          <w:sz w:val="24"/>
          <w:szCs w:val="24"/>
        </w:rPr>
        <w:t>针对上述研究不足，未来研究可从以下四个方向拓展：</w:t>
      </w:r>
    </w:p>
    <w:p w14:paraId="098CB2CB">
      <w:pPr>
        <w:spacing w:before="0" w:after="0" w:line="400" w:lineRule="exact"/>
        <w:jc w:val="both"/>
        <w:ind w:firstLine="480"/>
      </w:pPr>
      <w:r>
        <w:rPr>
          <w:rFonts w:eastAsia="宋体" w:ascii="Times New Roman" w:hAnsi="Times New Roman" w:cs="宋体"/>
          <w:sz w:val="24"/>
          <w:szCs w:val="24"/>
        </w:rP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14:paraId="017E8AE9">
      <w:pPr>
        <w:spacing w:before="0" w:after="0" w:line="400" w:lineRule="exact"/>
        <w:jc w:val="both"/>
        <w:ind w:firstLine="480"/>
      </w:pPr>
      <w:r>
        <w:rPr>
          <w:rFonts w:eastAsia="宋体" w:ascii="Times New Roman" w:hAnsi="Times New Roman" w:cs="宋体"/>
          <w:sz w:val="24"/>
          <w:szCs w:val="24"/>
        </w:rP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14:paraId="3C380BFB">
      <w:pPr>
        <w:spacing w:before="0" w:after="0" w:line="400" w:lineRule="exact"/>
        <w:jc w:val="both"/>
        <w:ind w:firstLine="480"/>
      </w:pPr>
      <w:r>
        <w:rPr>
          <w:rFonts w:eastAsia="宋体" w:ascii="Times New Roman" w:hAnsi="Times New Roman" w:cs="宋体"/>
          <w:sz w:val="24"/>
          <w:szCs w:val="24"/>
        </w:rP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14:paraId="6D084132">
      <w:pPr>
        <w:spacing w:before="0" w:after="0" w:line="400" w:lineRule="exact"/>
        <w:jc w:val="both"/>
        <w:ind w:firstLine="480"/>
      </w:pPr>
      <w:r>
        <w:rPr>
          <w:rFonts w:eastAsia="宋体" w:ascii="Times New Roman" w:hAnsi="Times New Roman" w:cs="宋体"/>
          <w:sz w:val="24"/>
          <w:szCs w:val="24"/>
        </w:rP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14:paraId="4DC7AD2C"/>
    <w:p w14:paraId="59FC12B9"/>
    <w:p>
      <w:r>
        <w:br w:type="page"/>
      </w:r>
    </w:p>
    <w:p>
      <w:pPr>
        <w:pStyle w:val="Heading1"/>
      </w:pPr>
      <w:r>
        <w:t xml:space="preserve">参考文献</w:t>
      </w:r>
    </w:p>
    <w:p>
      <w:pPr>
        <w:pStyle w:val="Normal"/>
      </w:pPr>
      <w:r>
        <w:t xml:space="preserve">[1] Sirmon D G, Hitt M A, Ireland R D. Managing firm resources in dynamic environments to create value: Looking inside the black box[J]. Academy of Management Review, 2007, 32(1): 273-292.</w:t>
      </w:r>
    </w:p>
    <w:p>
      <w:pPr>
        <w:pStyle w:val="Normal"/>
      </w:pPr>
      <w:r>
        <w:t xml:space="preserve">[2] Sirmon D G, Hitt M A, Ireland R D, et al. Resource orchestration to create competitive advantage: Breadth, depth, and life cycle effects[J]. Journal of Management, 2011, 37(5): 1390-1412.</w:t>
      </w:r>
    </w:p>
    <w:p>
      <w:pPr>
        <w:pStyle w:val="Normal"/>
      </w:pPr>
      <w:r>
        <w:t xml:space="preserve">[3] Tornatzky L G, Fleischer M. The Processes of Technological Innovation[M]. Lexington: Lexington Books, 1990.</w:t>
      </w:r>
    </w:p>
    <w:p>
      <w:pPr>
        <w:pStyle w:val="Normal"/>
      </w:pPr>
      <w:r>
        <w:t xml:space="preserve">[4] Ragin C C. Redesigning Social Inquiry: Fuzzy Sets and Beyond[M]. Chicago: University of Chicago Press, 2008.</w:t>
      </w:r>
    </w:p>
    <w:p>
      <w:pPr>
        <w:pStyle w:val="Normal"/>
      </w:pPr>
      <w:r>
        <w:t xml:space="preserve">[5] Hair J F, Black W C, Babin B J, et al. Multivariate Data Analysis (7th ed.)[M]. Upper Saddle River: Pearson, 2010.</w:t>
      </w:r>
    </w:p>
    <w:p>
      <w:pPr>
        <w:pStyle w:val="Normal"/>
      </w:pPr>
      <w:r>
        <w:t xml:space="preserve">[6] Fornell C, Larcker D F. Evaluating structural equation models with unobservable variables and measurement error[J]. Journal of Marketing Research, 1981, 18(1): 39-50.</w:t>
      </w:r>
    </w:p>
    <w:p>
      <w:pPr>
        <w:pStyle w:val="Normal"/>
      </w:pPr>
      <w:r>
        <w:t xml:space="preserve">[7] Barney J B. Firm resources and sustained competitive advantage[J]. Journal of Management, 1991, 17(1): 171-199.</w:t>
      </w:r>
    </w:p>
    <w:p>
      <w:pPr>
        <w:pStyle w:val="Normal"/>
      </w:pPr>
      <w:r>
        <w:t xml:space="preserve">[8] Venkatesh V, Morris M G, Davis G B, et al. User acceptance of information technology: Toward a unified view[J]. MIS Quarterly, 2003, 27(3): 425-478.</w:t>
      </w:r>
    </w:p>
    <w:p>
      <w:pPr>
        <w:pStyle w:val="Normal"/>
      </w:pPr>
      <w:r>
        <w:t xml:space="preserve">[9] Rogers E M. Diffusion of Innovations (4th ed.)[M]. New York: Free Press, 1995.</w:t>
      </w:r>
    </w:p>
    <w:p>
      <w:pPr>
        <w:pStyle w:val="Normal"/>
      </w:pPr>
      <w:r>
        <w:t xml:space="preserve">[10] Podsakoff P M, MacKenzie S B, Lee J Y, et al. Common method biases in behavioral research: A critical review of the literature and recommended remedies[J]. Journal of Applied Psychology, 2003, 88(5): 879-903.</w:t>
      </w:r>
    </w:p>
    <w:p>
      <w:pPr>
        <w:pStyle w:val="Normal"/>
      </w:pPr>
      <w:r>
        <w:t xml:space="preserve">[11] Preacher K J, Hayes A F. Asymptotic and resampling strategies for assessing and comparing indirect effects in multiple mediator models[J]. Behavior Research Methods, 2008, 40(3): 879-891.</w:t>
      </w:r>
    </w:p>
    <w:p>
      <w:pPr>
        <w:pStyle w:val="Normal"/>
      </w:pPr>
      <w:r>
        <w:t xml:space="preserve">[12] Nunnally J C. Psychometric Theory (2nd ed.)[M]. New York: McGraw-Hill, 1978.</w:t>
      </w:r>
    </w:p>
    <w:p>
      <w:pPr>
        <w:pStyle w:val="Normal"/>
      </w:pPr>
      <w:r>
        <w:t xml:space="preserve">[13] Kaiser H F. An index of factorial simplicity[J]. Psychometrika, 1974, 39(1): 31-36.</w:t>
      </w:r>
    </w:p>
    <w:p>
      <w:pPr>
        <w:pStyle w:val="Normal"/>
      </w:pPr>
      <w:r>
        <w:t xml:space="preserve">[14] Wheaton B, Muthen B, Alwin D F, et al. Assessing reliability and stability in panel models[J]. Sociological Methodology, 1977, 8: 84-136.</w:t>
      </w:r>
    </w:p>
    <w:p>
      <w:pPr>
        <w:pStyle w:val="Normal"/>
      </w:pPr>
      <w:r>
        <w:t xml:space="preserve">[15] Zhu K, Kraemer K L. Post-adoption variations in usage and value of e-business by organizations: Cross-country evidence from the retail industry[J]. Information Systems Research, 2005, 16(1): 61-84.</w:t>
      </w:r>
    </w:p>
    <w:p>
      <w:pPr>
        <w:pStyle w:val="Normal"/>
      </w:pPr>
      <w:r>
        <w:t xml:space="preserve">[16] Iacovou C L, Benbasat I, Dexter A S. Electronic data interchange and small organizations: Adoption and impact of technology[J]. MIS Quarterly, 1995, 19(4): 465-485.</w:t>
      </w:r>
    </w:p>
    <w:p>
      <w:pPr>
        <w:pStyle w:val="Normal"/>
      </w:pPr>
      <w:r>
        <w:t xml:space="preserve">[17] Mata F J, Fuerst W L, Barney J B. Information technology and sustained competitive advantage: A resource-based analysis[J]. MIS Quarterly, 1995, 19(4): 487-505.</w:t>
      </w:r>
    </w:p>
    <w:p>
      <w:pPr>
        <w:pStyle w:val="Normal"/>
      </w:pPr>
      <w:r>
        <w:t xml:space="preserve">[18] Lin H F, Chen G G. Determinants of successful virtual communities: Contributions from system characteristics and social factors[J]. Information &amp; Management, 2007, 44(5): 522-534.</w:t>
      </w:r>
    </w:p>
    <w:p>
      <w:pPr>
        <w:pStyle w:val="Normal"/>
      </w:pPr>
      <w:r>
        <w:t xml:space="preserve">[19] Chang M K, Cheung W. Determinants of the intention to use Internet/WWW at work: A confirmatory study[J]. Information &amp; Management, 2004, 41(6): 819-829.</w:t>
      </w:r>
    </w:p>
    <w:p>
      <w:pPr>
        <w:pStyle w:val="Normal"/>
      </w:pPr>
      <w:r>
        <w:t xml:space="preserve">[20] 张占贞, 蔡冰冰. 农业企业如何编排资源以实现数字化转型——基于资源编排理论的fsQCA研究[J]. 山东农业大学学报(社会科学版), 2024, 26(04): 73-80.</w:t>
      </w:r>
    </w:p>
    <w:p>
      <w:pPr>
        <w:pStyle w:val="Normal"/>
      </w:pPr>
      <w:r>
        <w:t xml:space="preserve">[21] 肖美丹, 蔡宝进, 沙德春. 资源编排视角下绿色技术创新驱动新质生产力发展的组态路径研究[J]. 中国科技资源导刊, 2025, 57(06): 64-78.</w:t>
      </w:r>
    </w:p>
    <w:p>
      <w:pPr>
        <w:pStyle w:val="Normal"/>
      </w:pPr>
      <w:r>
        <w:t xml:space="preserve">[22] 焦鑫铭. 资源编排理论视角下新能源汽车企业财务绩效提升路径研究[D]. 山东财经大学, 2025.</w:t>
      </w:r>
    </w:p>
    <w:p>
      <w:pPr>
        <w:pStyle w:val="Normal"/>
      </w:pPr>
      <w:r>
        <w:t xml:space="preserve">[23] 吴结兵, 杨金奎. 政策压力、战略关注与技术创新行为——基于TOE视角的fsQCA研究[J]. 管理评论, 2016, 28(9): 55-67.</w:t>
      </w:r>
    </w:p>
    <w:p>
      <w:pPr>
        <w:pStyle w:val="Normal"/>
      </w:pPr>
      <w:r>
        <w:t xml:space="preserve">[24] 李海舰, 李文杰. 数字经济中人才资本的配置机制研究[J]. 中国工业经济, 2018(12): 23-40.</w:t>
      </w:r>
    </w:p>
    <w:p>
      <w:pPr>
        <w:pStyle w:val="Normal"/>
      </w:pPr>
      <w:r>
        <w:t xml:space="preserve">[25] 刘笑尘, 刘海峰. 农村电商发展影响因素的组态研究——基于TOE框架与fsQCA方法[J]. 中国农村经济, 2020(6): 71-87.</w:t>
      </w:r>
    </w:p>
    <w:p>
      <w:pPr>
        <w:pStyle w:val="Normal"/>
      </w:pPr>
      <w:r>
        <w:t xml:space="preserve">[26] 鲁耀斌, 王建. 数字技术创新采纳行为的影响因素研究[J]. 管理科学, 2022, 35(2): 18-30.</w:t>
      </w:r>
    </w:p>
    <w:p>
      <w:pPr>
        <w:pStyle w:val="Normal"/>
      </w:pPr>
      <w:r>
        <w:t xml:space="preserve">[27] 刘强, 王胜华. 农村资源禀赋对集群电商发展的影响机制研究[J]. 农业经济问题, 2021(4): 88-100.</w:t>
      </w:r>
    </w:p>
    <w:p>
      <w:pPr>
        <w:pStyle w:val="Normal"/>
      </w:pPr>
      <w:r>
        <w:t xml:space="preserve">[28] 张伟. 农村集群电商发展驱动因素研究——基于山东省典型案例的fsQCA分析[D]. 山东大学, 2024.</w:t>
      </w:r>
    </w:p>
    <w:p>
      <w:pPr>
        <w:pStyle w:val="Normal"/>
      </w:pPr>
      <w:r>
        <w:t xml:space="preserve">[29] 黄漫宇, 廖志. 数字产业集群形成路径的组态研究[J]. 财经研究, 2023, 49(3): 40-53.</w:t>
      </w:r>
    </w:p>
    <w:p>
      <w:pPr>
        <w:pStyle w:val="Normal"/>
      </w:pPr>
      <w:r>
        <w:t xml:space="preserve">[30] 陈劲, 阳镇. 组态视角与定性比较分析（QCA）：管理学研究的一种新方法[J]. 管理世界, 2020, 36(3): 26-45.</w:t>
      </w:r>
    </w:p>
    <w:p>
      <w:pPr>
        <w:pStyle w:val="Normal"/>
      </w:pPr>
      <w:r>
        <w:t xml:space="preserve">[31] 毛基业, 赵伊娜. 模糊集定性比较分析（fsQCA）的方法论基础与应用研究[J]. 管理世界, 2022, 38(4): 17-34.</w:t>
      </w:r>
    </w:p>
    <w:p>
      <w:pPr>
        <w:pStyle w:val="Normal"/>
      </w:pPr>
      <w:r>
        <w:t xml:space="preserve">[32] Bentler P M, Bonett D G. Significance tests and goodness of fit in the analysis of covariance structures[J]. Psychological Bulletin, 1980, 88(3): 588-606.</w:t>
      </w:r>
    </w:p>
    <w:p>
      <w:pPr>
        <w:pStyle w:val="Normal"/>
      </w:pPr>
      <w:r>
        <w:t xml:space="preserve">[33] Browne M W, Cudeck R. Alternative ways of assessing model fit[C]//Testing Structural Equation Models. Newbury Park: Sage, 1993: 136-162.</w:t>
      </w:r>
    </w:p>
    <w:p>
      <w:pPr>
        <w:pStyle w:val="Normal"/>
      </w:pPr>
      <w:r>
        <w:t xml:space="preserve">[34] Hitt M A, Xu K, Carnes C M. Resource based theory in operations management research[J]. Journal of Operations Management, 2016, 41: 77-94.</w:t>
      </w:r>
    </w:p>
    <w:p>
      <w:pPr>
        <w:pStyle w:val="Normal"/>
      </w:pPr>
      <w:r>
        <w:t xml:space="preserve">[35] 尹振宇, 张晓雯. 数字经济背景下农村电商集群发展模式研究[J]. 中国农村观察, 2022(5): 18-32.</w:t>
      </w:r>
    </w:p>
    <w:sectPr>
      <w:headerReference r:id="rId25" w:type="default"/>
      <w:headerReference r:id="rId26" w:type="even"/>
      <w:footerReference r:id="rId27" w:type="even"/>
      <w:pgSz w:w="11906" w:h="16838"/>
      <w:pgMar w:top="1701" w:right="1417" w:bottom="1417" w:left="1701" w:header="850" w:footer="992" w:gutter="0"/>
      <w:pgBorders>
        <w:top w:val="none" w:sz="0" w:space="0"/>
        <w:left w:val="none" w:sz="0" w:space="0"/>
        <w:bottom w:val="none" w:sz="0" w:space="0"/>
        <w:right w:val="none" w:sz="0" w:space="0"/>
      </w:pgBorders>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 w:id="2">
    <w:p>
      <w:pPr>
        <w:pStyle w:val="FootnoteText"/>
      </w:pPr>
      <w:r>
        <w:rPr>
          <w:rStyle w:val="FootnoteReference"/>
        </w:rPr>
        <w:endnoteRef/>
      </w:r>
      <w:r>
        <w:t xml:space="preserve"> TOE框架（Technology-Organization-Environment Framework）由Tornatzky &amp; Fleischer（1990）提出，认为组织的技术采纳行为受技术、组织、环境三维度因素的系统影响。参见：Tornatzky, L.G., &amp; Fleischer, M. (1990). The Processes of Technological Innovation. Lexington Books.</w:t>
      </w:r>
    </w:p>
  </w:endnote>
  <w:endnote w:id="3">
    <w:p>
      <w:pPr>
        <w:pStyle w:val="FootnoteText"/>
      </w:pPr>
      <w:r>
        <w:rPr>
          <w:rStyle w:val="FootnoteReference"/>
        </w:rPr>
        <w:endnoteRef/>
      </w:r>
      <w:r>
        <w:t xml:space="preserve"> 结构方程模型（Structural Equation Modeling, SEM）是一种融合路径分析与验证性因子分析的多变量统计方法，能同时估计多个潜变量间的因果关系。本文采用AMOS 24.0软件构建和检验SEM模型。</w:t>
      </w:r>
    </w:p>
  </w:endnote>
  <w:endnote w:id="4">
    <w:p>
      <w:pPr>
        <w:pStyle w:val="FootnoteText"/>
      </w:pPr>
      <w:r>
        <w:rPr>
          <w:rStyle w:val="FootnoteReference"/>
        </w:rPr>
        <w:endnoteRef/>
      </w:r>
      <w:r>
        <w:t xml:space="preserve"> 模糊集定性比较分析（Fuzzy-Set Qualitative Comparative Analysis, fsQCA）由Ragin（2008）提出，基于集合论与布尔代数逻辑，适用于中等规模样本的多因素组态效应分析。参见：Ragin, C.C. (2008). Redesigning Social Inquiry: Fuzzy Sets and Beyond. University of Chicago Press.</w:t>
      </w:r>
    </w:p>
  </w:endnote>
  <w:endnote w:id="5">
    <w:p>
      <w:pPr>
        <w:pStyle w:val="FootnoteText"/>
      </w:pPr>
      <w:r>
        <w:rPr>
          <w:rStyle w:val="FootnoteReference"/>
        </w:rPr>
        <w:endnoteRef/>
      </w:r>
      <w:r>
        <w:t xml:space="preserve"> Harman单因子检验（Harman's Single Factor Test）是检验共同方法偏差（Common Method Bias, CMB）的常用方法。若未旋转时第一公因子解释方差低于40%，则认为CMB问题处于可接受范围。参见：Podsakoff, P.M., et al. (2003). Common method biases in behavioral research. Journal of Applied Psychology, 88(5), 879-903.</w:t>
      </w:r>
    </w:p>
  </w:endnote>
  <w:endnote w:id="6">
    <w:p>
      <w:pPr>
        <w:pStyle w:val="FootnoteText"/>
      </w:pPr>
      <w:r>
        <w:rPr>
          <w:rStyle w:val="FootnoteReference"/>
        </w:rPr>
        <w:endnoteRef/>
      </w:r>
      <w:r>
        <w:t xml:space="preserve"> Bootstrap自举法通过对原始样本进行重复有放回抽样，在无需假设正态分布的前提下构建中介效应置信区间，是目前检验间接效应最为稳健的方法。参见：Preacher, K.J., &amp; Hayes, A.F. (2008). Asymptotic and resampling strategies for assessing and comparing indirect effects. Behavior Research Methods, 40(3), 879-891.</w:t>
      </w:r>
    </w:p>
  </w:endnote>
  <w:endnote w:id="7">
    <w:p>
      <w:pPr>
        <w:pStyle w:val="FootnoteText"/>
      </w:pPr>
      <w:r>
        <w:rPr>
          <w:rStyle w:val="FootnoteReference"/>
        </w:rPr>
        <w:endnoteRef/>
      </w:r>
      <w:r>
        <w:t xml:space="preserve"> 李克特量表（Likert Scale）由美国社会心理学家Rensis Likert（1932）开发，是社会科学量化研究中使用最广泛的测量工具之一。本文采用五点量表，从1=完全不认同到5=完全认同进行赋值。参见：Likert, R. (1932). A technique for the measurement of attitudes. Archives of Psychology, 22(140), 1-55.</w:t>
      </w:r>
    </w:p>
  </w:endnote>
  <w:endnote w:id="8">
    <w:p>
      <w:pPr>
        <w:pStyle w:val="FootnoteText"/>
      </w:pPr>
      <w:r>
        <w:rPr>
          <w:rStyle w:val="FootnoteReference"/>
        </w:rPr>
        <w:endnoteRef/>
      </w:r>
      <w:r>
        <w:t xml:space="preserve"> Nunnally, J.C. (1978). Psychometric Theory (2nd ed.). New York: McGraw-Hill. 量表内部一致性信度可接受标准通常为Cronbach α≥0.700。</w:t>
      </w:r>
    </w:p>
  </w:endnote>
  <w:endnote w:id="9">
    <w:p>
      <w:pPr>
        <w:pStyle w:val="FootnoteText"/>
      </w:pPr>
      <w:r>
        <w:rPr>
          <w:rStyle w:val="FootnoteReference"/>
        </w:rPr>
        <w:endnoteRef/>
      </w:r>
      <w:r>
        <w:t xml:space="preserve"> Kaiser, H.F. (1974). An index of factorial simplicity. Psychometrika, 39(1), 31-36. KMO&gt;0.700表明数据适合因子分析；"良好"水平为KMO&gt;0.800。</w:t>
      </w:r>
    </w:p>
  </w:endnote>
  <w:endnote w:id="10">
    <w:p>
      <w:pPr>
        <w:pStyle w:val="FootnoteText"/>
      </w:pPr>
      <w:r>
        <w:rPr>
          <w:rStyle w:val="FootnoteReference"/>
        </w:rPr>
        <w:endnoteRef/>
      </w:r>
      <w:r>
        <w:t xml:space="preserve"> Hair, J.F., Black, W.C., Babin, B.J., &amp; Anderson, R.E. (2010). Multivariate Data Analysis (7th ed.). Pearson. 标准化因子载荷通常要求≥0.500。</w:t>
      </w:r>
    </w:p>
  </w:endnote>
  <w:endnote w:id="11">
    <w:p>
      <w:pPr>
        <w:pStyle w:val="FootnoteText"/>
      </w:pPr>
      <w:r>
        <w:rPr>
          <w:rStyle w:val="FootnoteReference"/>
        </w:rPr>
        <w:endnoteRef/>
      </w:r>
      <w:r>
        <w:t xml:space="preserve"> Fornell, C., &amp; Larcker, D.F. (1981). Evaluating structural equation models with unobservable variables and measurement error. Journal of Marketing Research, 18(1), 39-50. AVE≥0.500为聚合效度良好；CR≥0.700为组合信度良好标准。</w:t>
      </w:r>
    </w:p>
  </w:endnote>
  <w:endnote w:id="12">
    <w:p>
      <w:pPr>
        <w:pStyle w:val="FootnoteText"/>
      </w:pPr>
      <w:r>
        <w:rPr>
          <w:rStyle w:val="FootnoteReference"/>
        </w:rPr>
        <w:endnoteRef/>
      </w:r>
      <w:r>
        <w:t xml:space="preserve"> Wheaton, B., Muthen, B., Alwin, D.F., &amp; Summers, G.F. (1977). Assessing reliability and stability in panel models. Sociological Methodology, 8, 84-136. χ²/df在1~3范围内视为拟合良好。</w:t>
      </w:r>
    </w:p>
  </w:endnote>
  <w:endnote w:id="13">
    <w:p>
      <w:pPr>
        <w:pStyle w:val="FootnoteText"/>
      </w:pPr>
      <w:r>
        <w:rPr>
          <w:rStyle w:val="FootnoteReference"/>
        </w:rPr>
        <w:endnoteRef/>
      </w:r>
      <w:r>
        <w:t xml:space="preserve"> Bentler, P.M., &amp; Bonett, D.G. (1980). Significance tests and goodness of fit in the analysis of covariance structures. Psychological Bulletin, 88(3), 588-606. CFI和TLI超过0.900为模型拟合良好的判断标准。</w:t>
      </w:r>
    </w:p>
  </w:endnote>
  <w:endnote w:id="14">
    <w:p>
      <w:pPr>
        <w:pStyle w:val="FootnoteText"/>
      </w:pPr>
      <w:r>
        <w:rPr>
          <w:rStyle w:val="FootnoteReference"/>
        </w:rPr>
        <w:endnoteRef/>
      </w:r>
      <w:r>
        <w:t xml:space="preserve"> Browne, M.W., &amp; Cudeck, R. (1993). Alternative ways of assessing model fit. In K.A. Bollen &amp; J.S. Long (Eds.), Testing Structural Equation Models (pp. 136-162). Sage. RMSEA&lt;0.050为"良好"，&lt;0.080为"可接受"。</w:t>
      </w:r>
    </w:p>
  </w:endnote>
  <w:endnote w:id="15">
    <w:p>
      <w:pPr>
        <w:pStyle w:val="FootnoteText"/>
      </w:pPr>
      <w:r>
        <w:rPr>
          <w:rStyle w:val="FootnoteReference"/>
        </w:rPr>
        <w:end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endnote>
  <w:endnote w:id="16">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17">
    <w:p>
      <w:pPr>
        <w:pStyle w:val="FootnoteText"/>
      </w:pPr>
      <w:r>
        <w:rPr>
          <w:rStyle w:val="FootnoteReference"/>
        </w:rPr>
        <w:endnoteRef/>
      </w:r>
      <w:r>
        <w:t xml:space="preserve"> Nunnally, J.C. (1978). Psychometric Theory (2nd ed.). New York: McGraw-Hill. 量表内部一致性信度可接受标准通常为Cronbach α≥0.700。</w:t>
      </w:r>
    </w:p>
  </w:endnote>
  <w:endnote w:id="18">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19">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20">
    <w:p>
      <w:pPr>
        <w:pStyle w:val="FootnoteText"/>
      </w:pPr>
      <w:r>
        <w:rPr>
          <w:rStyle w:val="FootnoteReference"/>
        </w:rPr>
        <w:endnoteRef/>
      </w:r>
      <w:r>
        <w:t xml:space="preserve"> Ragin, C.C. (2008). Redesigning Social Inquiry: Fuzzy Sets and Beyond. Chicago: University of Chicago Press. fsQCA真值表构建以一致性≥0.850、频数≥3为标准；必要条件一致性阈值为0.900。</w:t>
      </w:r>
    </w:p>
  </w:endnote>
  <w:endnote w:id="21">
    <w:p>
      <w:pPr>
        <w:pStyle w:val="FootnoteText"/>
      </w:pPr>
      <w:r>
        <w:rPr>
          <w:rStyle w:val="FootnoteReference"/>
        </w:rPr>
        <w:endnoteRef/>
      </w:r>
      <w:r>
        <w:t xml:space="preserve"> Preacher, K.J., &amp; Hayes, A.F. (2008). Asymptotic and resampling strategies for assessing and comparing indirect effects in multiple mediator models. Behavior Research Methods, 40(3), 879-891. Bootstrap抽样5000次，95%偏差校正置信区间不含0则中介效应显著。</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60"/>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60"/>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60"/>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60"/>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60"/>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1E9940A5">
    <w:pPr>
      <w:pStyle w:val="60"/>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60"/>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60"/>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60"/>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60"/>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60"/>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第四章 结构方程模型（SEM）分析</w:t>
          </w:r>
          <w:r>
            <w:rPr>
              <w:lang w:val="en-US"/>
            </w:rPr>
            <w:fldChar w:fldCharType="end"/>
          </w:r>
          <w:r>
            <w:rPr>
              <w:rFonts w:hint="eastAsia"/>
              <w:lang w:val="en-US"/>
            </w:rPr>
            <w:t xml:space="preserve"> </w:t>
          </w:r>
        </w:p>
      </w:tc>
    </w:tr>
  </w:tbl>
  <w:p w14:paraId="3AA6BF65">
    <w:pPr>
      <w:pStyle w:val="60"/>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4D1A2A8F"/>
    <w:multiLevelType w:val="multilevel"/>
    <w:tmpl w:val="4D1A2A8F"/>
    <w:lvl w:ilvl="0" w:tentative="0">
      <w:start w:val="1"/>
      <w:numFmt w:val="decimal"/>
      <w:pStyle w:val="82"/>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3">
    <w:nsid w:val="612B6CE2"/>
    <w:multiLevelType w:val="multilevel"/>
    <w:tmpl w:val="612B6CE2"/>
    <w:lvl w:ilvl="0" w:tentative="0">
      <w:start w:val="1"/>
      <w:numFmt w:val="decimal"/>
      <w:pStyle w:val="59"/>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C74C7E"/>
    <w:rsid w:val="01F20245"/>
    <w:rsid w:val="02034DC1"/>
    <w:rsid w:val="02401837"/>
    <w:rsid w:val="02876DEA"/>
    <w:rsid w:val="02AB78A7"/>
    <w:rsid w:val="03981E4E"/>
    <w:rsid w:val="044E0E32"/>
    <w:rsid w:val="04842AA6"/>
    <w:rsid w:val="08251EAA"/>
    <w:rsid w:val="08D4233A"/>
    <w:rsid w:val="09837793"/>
    <w:rsid w:val="098B286B"/>
    <w:rsid w:val="099162E9"/>
    <w:rsid w:val="09AF7395"/>
    <w:rsid w:val="0A9F002C"/>
    <w:rsid w:val="0AD90EE7"/>
    <w:rsid w:val="0B70168E"/>
    <w:rsid w:val="0C0F3E47"/>
    <w:rsid w:val="0C93023B"/>
    <w:rsid w:val="0CA54948"/>
    <w:rsid w:val="0D4A5F0F"/>
    <w:rsid w:val="0F3B0613"/>
    <w:rsid w:val="0FB32A4B"/>
    <w:rsid w:val="10201C5F"/>
    <w:rsid w:val="10276B9D"/>
    <w:rsid w:val="102C4368"/>
    <w:rsid w:val="10AC13BA"/>
    <w:rsid w:val="117F6ACF"/>
    <w:rsid w:val="145B38E5"/>
    <w:rsid w:val="1496293B"/>
    <w:rsid w:val="14B45E2E"/>
    <w:rsid w:val="154D54D8"/>
    <w:rsid w:val="15774FC8"/>
    <w:rsid w:val="15DA15E8"/>
    <w:rsid w:val="15DC07AF"/>
    <w:rsid w:val="163A7C24"/>
    <w:rsid w:val="1675224E"/>
    <w:rsid w:val="16F720F6"/>
    <w:rsid w:val="17045380"/>
    <w:rsid w:val="17061749"/>
    <w:rsid w:val="1891360A"/>
    <w:rsid w:val="198A4742"/>
    <w:rsid w:val="1A8E1B30"/>
    <w:rsid w:val="1AA11D95"/>
    <w:rsid w:val="1ADA4D76"/>
    <w:rsid w:val="1B2F5837"/>
    <w:rsid w:val="1BCB40DD"/>
    <w:rsid w:val="1BE378A7"/>
    <w:rsid w:val="1CDF7587"/>
    <w:rsid w:val="1DA37302"/>
    <w:rsid w:val="1FA12402"/>
    <w:rsid w:val="20094DA6"/>
    <w:rsid w:val="2075475D"/>
    <w:rsid w:val="20A87003"/>
    <w:rsid w:val="23261645"/>
    <w:rsid w:val="24945F95"/>
    <w:rsid w:val="25171DD0"/>
    <w:rsid w:val="253A6130"/>
    <w:rsid w:val="280C027C"/>
    <w:rsid w:val="28100029"/>
    <w:rsid w:val="28924EE2"/>
    <w:rsid w:val="290F0966"/>
    <w:rsid w:val="29BE1D71"/>
    <w:rsid w:val="29F95A00"/>
    <w:rsid w:val="2A450969"/>
    <w:rsid w:val="2AB02424"/>
    <w:rsid w:val="2B6C0BD8"/>
    <w:rsid w:val="2C637E83"/>
    <w:rsid w:val="2D742E08"/>
    <w:rsid w:val="2D962E0C"/>
    <w:rsid w:val="2DF90797"/>
    <w:rsid w:val="2E3C335D"/>
    <w:rsid w:val="2E974A33"/>
    <w:rsid w:val="2F090286"/>
    <w:rsid w:val="2F300FB0"/>
    <w:rsid w:val="31835D6F"/>
    <w:rsid w:val="32BB104C"/>
    <w:rsid w:val="33D37937"/>
    <w:rsid w:val="33D47543"/>
    <w:rsid w:val="34C77CC1"/>
    <w:rsid w:val="35537D6D"/>
    <w:rsid w:val="357D6EEC"/>
    <w:rsid w:val="37557806"/>
    <w:rsid w:val="3A920D71"/>
    <w:rsid w:val="3B1B1812"/>
    <w:rsid w:val="3B424DEA"/>
    <w:rsid w:val="3B8B1A48"/>
    <w:rsid w:val="3C340A01"/>
    <w:rsid w:val="3C3A3EEF"/>
    <w:rsid w:val="3E6937D7"/>
    <w:rsid w:val="3E72445E"/>
    <w:rsid w:val="3F3770B6"/>
    <w:rsid w:val="41045547"/>
    <w:rsid w:val="417B255F"/>
    <w:rsid w:val="41EA0DC1"/>
    <w:rsid w:val="426D634C"/>
    <w:rsid w:val="42F66C3F"/>
    <w:rsid w:val="4300420E"/>
    <w:rsid w:val="44B527C1"/>
    <w:rsid w:val="455832B8"/>
    <w:rsid w:val="45B93053"/>
    <w:rsid w:val="45BD778D"/>
    <w:rsid w:val="46E62229"/>
    <w:rsid w:val="48556927"/>
    <w:rsid w:val="48CC36A0"/>
    <w:rsid w:val="48EC6ACA"/>
    <w:rsid w:val="49047793"/>
    <w:rsid w:val="4A086C1A"/>
    <w:rsid w:val="4BDE5BC4"/>
    <w:rsid w:val="4C183ED5"/>
    <w:rsid w:val="4D627903"/>
    <w:rsid w:val="4D870085"/>
    <w:rsid w:val="4DF705E5"/>
    <w:rsid w:val="4E082992"/>
    <w:rsid w:val="4F86388D"/>
    <w:rsid w:val="51342049"/>
    <w:rsid w:val="514A5D72"/>
    <w:rsid w:val="517E5D9F"/>
    <w:rsid w:val="51E27A91"/>
    <w:rsid w:val="530E3C91"/>
    <w:rsid w:val="531D0356"/>
    <w:rsid w:val="53E85DA8"/>
    <w:rsid w:val="540A6435"/>
    <w:rsid w:val="54E63D3C"/>
    <w:rsid w:val="556C6010"/>
    <w:rsid w:val="568969AA"/>
    <w:rsid w:val="569E48CE"/>
    <w:rsid w:val="56A56EB5"/>
    <w:rsid w:val="580922D5"/>
    <w:rsid w:val="5C835F40"/>
    <w:rsid w:val="5DF2513F"/>
    <w:rsid w:val="5F2255B1"/>
    <w:rsid w:val="5FAA6092"/>
    <w:rsid w:val="60CD56A7"/>
    <w:rsid w:val="61F758F1"/>
    <w:rsid w:val="621007EC"/>
    <w:rsid w:val="62CB1A6A"/>
    <w:rsid w:val="63247AA4"/>
    <w:rsid w:val="636F06D2"/>
    <w:rsid w:val="63E87AF2"/>
    <w:rsid w:val="647B08D4"/>
    <w:rsid w:val="64A3431C"/>
    <w:rsid w:val="66835C3F"/>
    <w:rsid w:val="67064295"/>
    <w:rsid w:val="67B33F51"/>
    <w:rsid w:val="68000903"/>
    <w:rsid w:val="680A6658"/>
    <w:rsid w:val="684E7D50"/>
    <w:rsid w:val="688F051A"/>
    <w:rsid w:val="6AC47A1F"/>
    <w:rsid w:val="6E0F1884"/>
    <w:rsid w:val="6E934195"/>
    <w:rsid w:val="701F7BC1"/>
    <w:rsid w:val="70565D8E"/>
    <w:rsid w:val="714F351E"/>
    <w:rsid w:val="715A4658"/>
    <w:rsid w:val="71D7629D"/>
    <w:rsid w:val="726B3F3A"/>
    <w:rsid w:val="726D18BD"/>
    <w:rsid w:val="75590EFA"/>
    <w:rsid w:val="758C7A19"/>
    <w:rsid w:val="763A1D29"/>
    <w:rsid w:val="76733FE4"/>
    <w:rsid w:val="788672E2"/>
    <w:rsid w:val="795B233A"/>
    <w:rsid w:val="79D33711"/>
    <w:rsid w:val="7A0B3779"/>
    <w:rsid w:val="7A783D63"/>
    <w:rsid w:val="7ACE3EEF"/>
    <w:rsid w:val="7ADB139D"/>
    <w:rsid w:val="7B061A6F"/>
    <w:rsid w:val="7C047AE7"/>
    <w:rsid w:val="7C224DAA"/>
    <w:rsid w:val="7D0940D7"/>
    <w:rsid w:val="7D8B1F85"/>
    <w:rsid w:val="7DCF46FD"/>
    <w:rsid w:val="7EB95163"/>
    <w:rsid w:val="7FA1661A"/>
    <w:rsid w:val="7FB73AE2"/>
    <w:rsid w:val="7FC5261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3"/>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4"/>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6"/>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7"/>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8"/>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9"/>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50"/>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1"/>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2"/>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5"/>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2"/>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9"/>
    <w:semiHidden/>
    <w:unhideWhenUsed/>
    <w:qFormat/>
    <w:uiPriority w:val="99"/>
    <w:pPr>
      <w:jc w:val="left"/>
    </w:pPr>
  </w:style>
  <w:style w:type="paragraph" w:styleId="15">
    <w:name w:val="Body Text Indent"/>
    <w:basedOn w:val="1"/>
    <w:link w:val="53"/>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5"/>
    <w:semiHidden/>
    <w:qFormat/>
    <w:uiPriority w:val="0"/>
    <w:rPr>
      <w:rFonts w:ascii="宋体" w:hAnsi="Courier New"/>
      <w:szCs w:val="21"/>
    </w:rPr>
  </w:style>
  <w:style w:type="paragraph" w:styleId="18">
    <w:name w:val="Date"/>
    <w:basedOn w:val="1"/>
    <w:next w:val="1"/>
    <w:link w:val="54"/>
    <w:unhideWhenUsed/>
    <w:qFormat/>
    <w:uiPriority w:val="99"/>
    <w:pPr>
      <w:ind w:left="100" w:leftChars="2500"/>
    </w:pPr>
    <w:rPr>
      <w:lang w:val="zh-CN"/>
    </w:rPr>
  </w:style>
  <w:style w:type="paragraph" w:styleId="19">
    <w:name w:val="Body Text Indent 2"/>
    <w:basedOn w:val="1"/>
    <w:link w:val="94"/>
    <w:qFormat/>
    <w:uiPriority w:val="0"/>
    <w:pPr>
      <w:spacing w:line="240" w:lineRule="auto"/>
      <w:ind w:firstLine="420"/>
    </w:pPr>
  </w:style>
  <w:style w:type="paragraph" w:styleId="20">
    <w:name w:val="endnote text"/>
    <w:basedOn w:val="1"/>
    <w:link w:val="88"/>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5"/>
    <w:unhideWhenUsed/>
    <w:qFormat/>
    <w:uiPriority w:val="99"/>
    <w:pPr>
      <w:spacing w:line="240" w:lineRule="auto"/>
    </w:pPr>
    <w:rPr>
      <w:sz w:val="18"/>
      <w:szCs w:val="18"/>
    </w:rPr>
  </w:style>
  <w:style w:type="paragraph" w:styleId="22">
    <w:name w:val="footer"/>
    <w:basedOn w:val="1"/>
    <w:link w:val="56"/>
    <w:qFormat/>
    <w:uiPriority w:val="99"/>
    <w:pPr>
      <w:tabs>
        <w:tab w:val="center" w:pos="4153"/>
        <w:tab w:val="right" w:pos="8306"/>
      </w:tabs>
      <w:snapToGrid w:val="0"/>
      <w:jc w:val="left"/>
    </w:pPr>
    <w:rPr>
      <w:sz w:val="18"/>
      <w:szCs w:val="18"/>
      <w:lang w:val="zh-CN"/>
    </w:rPr>
  </w:style>
  <w:style w:type="paragraph" w:styleId="23">
    <w:name w:val="header"/>
    <w:basedOn w:val="1"/>
    <w:link w:val="58"/>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2"/>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7"/>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80"/>
    <w:semiHidden/>
    <w:unhideWhenUsed/>
    <w:qFormat/>
    <w:uiPriority w:val="99"/>
    <w:rPr>
      <w:b/>
      <w:bCs/>
    </w:rPr>
  </w:style>
  <w:style w:type="paragraph" w:styleId="31">
    <w:name w:val="Body Text First Indent"/>
    <w:basedOn w:val="5"/>
    <w:link w:val="96"/>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7"/>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Emphasis"/>
    <w:basedOn w:val="35"/>
    <w:qFormat/>
    <w:uiPriority w:val="20"/>
    <w:rPr>
      <w:i/>
    </w:rPr>
  </w:style>
  <w:style w:type="character" w:styleId="40">
    <w:name w:val="Hyperlink"/>
    <w:unhideWhenUsed/>
    <w:qFormat/>
    <w:uiPriority w:val="99"/>
    <w:rPr>
      <w:color w:val="0000FF"/>
      <w:u w:val="single"/>
    </w:rPr>
  </w:style>
  <w:style w:type="character" w:styleId="41">
    <w:name w:val="annotation reference"/>
    <w:basedOn w:val="35"/>
    <w:unhideWhenUsed/>
    <w:qFormat/>
    <w:uiPriority w:val="99"/>
    <w:rPr>
      <w:sz w:val="21"/>
      <w:szCs w:val="21"/>
    </w:rPr>
  </w:style>
  <w:style w:type="character" w:styleId="42">
    <w:name w:val="footnote reference"/>
    <w:basedOn w:val="35"/>
    <w:semiHidden/>
    <w:unhideWhenUsed/>
    <w:qFormat/>
    <w:uiPriority w:val="99"/>
    <w:rPr>
      <w:vertAlign w:val="superscript"/>
    </w:rPr>
  </w:style>
  <w:style w:type="character" w:customStyle="1" w:styleId="43">
    <w:name w:val="标题 1 Char"/>
    <w:link w:val="2"/>
    <w:qFormat/>
    <w:uiPriority w:val="9"/>
    <w:rPr>
      <w:rFonts w:eastAsia="黑体"/>
      <w:b/>
      <w:kern w:val="2"/>
      <w:sz w:val="32"/>
      <w:szCs w:val="24"/>
      <w:lang w:val="zh-CN"/>
    </w:rPr>
  </w:style>
  <w:style w:type="character" w:customStyle="1" w:styleId="44">
    <w:name w:val="标题 2 Char"/>
    <w:link w:val="3"/>
    <w:qFormat/>
    <w:uiPriority w:val="9"/>
    <w:rPr>
      <w:rFonts w:eastAsia="黑体"/>
      <w:bCs/>
      <w:kern w:val="2"/>
      <w:sz w:val="28"/>
      <w:szCs w:val="32"/>
      <w:lang w:val="zh-CN"/>
    </w:rPr>
  </w:style>
  <w:style w:type="character" w:customStyle="1" w:styleId="45">
    <w:name w:val="正文文本 Char"/>
    <w:link w:val="5"/>
    <w:semiHidden/>
    <w:qFormat/>
    <w:uiPriority w:val="0"/>
    <w:rPr>
      <w:kern w:val="2"/>
      <w:sz w:val="18"/>
    </w:rPr>
  </w:style>
  <w:style w:type="character" w:customStyle="1" w:styleId="46">
    <w:name w:val="标题 3 Char"/>
    <w:link w:val="4"/>
    <w:qFormat/>
    <w:uiPriority w:val="9"/>
    <w:rPr>
      <w:rFonts w:ascii="黑体" w:hAnsi="黑体" w:eastAsia="黑体"/>
      <w:kern w:val="2"/>
      <w:sz w:val="24"/>
      <w:lang w:val="zh-CN" w:eastAsia="zh-CN"/>
    </w:rPr>
  </w:style>
  <w:style w:type="character" w:customStyle="1" w:styleId="47">
    <w:name w:val="标题 4 Char"/>
    <w:link w:val="6"/>
    <w:qFormat/>
    <w:uiPriority w:val="9"/>
    <w:rPr>
      <w:rFonts w:ascii="Arial" w:hAnsi="Arial" w:eastAsia="黑体"/>
      <w:kern w:val="2"/>
      <w:sz w:val="24"/>
      <w:lang w:val="zh-CN"/>
    </w:rPr>
  </w:style>
  <w:style w:type="character" w:customStyle="1" w:styleId="48">
    <w:name w:val="标题 5 Char"/>
    <w:link w:val="7"/>
    <w:qFormat/>
    <w:uiPriority w:val="0"/>
    <w:rPr>
      <w:kern w:val="2"/>
      <w:sz w:val="21"/>
      <w:lang w:val="zh-CN"/>
    </w:rPr>
  </w:style>
  <w:style w:type="character" w:customStyle="1" w:styleId="49">
    <w:name w:val="标题 6 Char"/>
    <w:link w:val="8"/>
    <w:qFormat/>
    <w:uiPriority w:val="0"/>
    <w:rPr>
      <w:kern w:val="2"/>
      <w:sz w:val="21"/>
      <w:lang w:val="zh-CN"/>
    </w:rPr>
  </w:style>
  <w:style w:type="character" w:customStyle="1" w:styleId="50">
    <w:name w:val="标题 7 Char"/>
    <w:link w:val="9"/>
    <w:qFormat/>
    <w:uiPriority w:val="0"/>
    <w:rPr>
      <w:kern w:val="2"/>
      <w:sz w:val="21"/>
      <w:lang w:val="zh-CN"/>
    </w:rPr>
  </w:style>
  <w:style w:type="character" w:customStyle="1" w:styleId="51">
    <w:name w:val="标题 8 Char"/>
    <w:link w:val="10"/>
    <w:qFormat/>
    <w:uiPriority w:val="0"/>
    <w:rPr>
      <w:rFonts w:ascii="Arial" w:hAnsi="Arial" w:eastAsia="黑体"/>
      <w:kern w:val="2"/>
      <w:sz w:val="24"/>
    </w:rPr>
  </w:style>
  <w:style w:type="character" w:customStyle="1" w:styleId="52">
    <w:name w:val="标题 9 Char"/>
    <w:link w:val="11"/>
    <w:qFormat/>
    <w:uiPriority w:val="0"/>
    <w:rPr>
      <w:rFonts w:ascii="Arial" w:hAnsi="Arial" w:eastAsia="黑体"/>
      <w:kern w:val="2"/>
      <w:sz w:val="18"/>
    </w:rPr>
  </w:style>
  <w:style w:type="character" w:customStyle="1" w:styleId="53">
    <w:name w:val="正文文本缩进 Char"/>
    <w:link w:val="15"/>
    <w:qFormat/>
    <w:uiPriority w:val="99"/>
    <w:rPr>
      <w:kern w:val="2"/>
      <w:sz w:val="21"/>
      <w:szCs w:val="24"/>
    </w:rPr>
  </w:style>
  <w:style w:type="character" w:customStyle="1" w:styleId="54">
    <w:name w:val="日期 Char"/>
    <w:link w:val="18"/>
    <w:qFormat/>
    <w:uiPriority w:val="99"/>
    <w:rPr>
      <w:kern w:val="2"/>
      <w:sz w:val="21"/>
      <w:szCs w:val="24"/>
    </w:rPr>
  </w:style>
  <w:style w:type="character" w:customStyle="1" w:styleId="55">
    <w:name w:val="批注框文本 Char"/>
    <w:basedOn w:val="35"/>
    <w:link w:val="21"/>
    <w:qFormat/>
    <w:uiPriority w:val="99"/>
    <w:rPr>
      <w:kern w:val="2"/>
      <w:sz w:val="18"/>
      <w:szCs w:val="18"/>
    </w:rPr>
  </w:style>
  <w:style w:type="character" w:customStyle="1" w:styleId="56">
    <w:name w:val="页脚 Char"/>
    <w:link w:val="22"/>
    <w:qFormat/>
    <w:uiPriority w:val="99"/>
    <w:rPr>
      <w:kern w:val="2"/>
      <w:sz w:val="18"/>
      <w:szCs w:val="18"/>
    </w:rPr>
  </w:style>
  <w:style w:type="character" w:customStyle="1" w:styleId="57">
    <w:name w:val="正文首行缩进 2 Char"/>
    <w:basedOn w:val="53"/>
    <w:link w:val="32"/>
    <w:qFormat/>
    <w:uiPriority w:val="0"/>
    <w:rPr>
      <w:kern w:val="2"/>
      <w:sz w:val="21"/>
      <w:szCs w:val="24"/>
    </w:rPr>
  </w:style>
  <w:style w:type="character" w:customStyle="1" w:styleId="58">
    <w:name w:val="页眉 Char"/>
    <w:link w:val="23"/>
    <w:qFormat/>
    <w:uiPriority w:val="99"/>
    <w:rPr>
      <w:kern w:val="2"/>
      <w:sz w:val="18"/>
      <w:szCs w:val="18"/>
    </w:rPr>
  </w:style>
  <w:style w:type="paragraph" w:customStyle="1" w:styleId="59">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60">
    <w:name w:val="wang论文"/>
    <w:basedOn w:val="23"/>
    <w:link w:val="61"/>
    <w:qFormat/>
    <w:uiPriority w:val="0"/>
    <w:pPr>
      <w:pBdr>
        <w:bottom w:val="thinThickSmallGap" w:color="auto" w:sz="24" w:space="1"/>
      </w:pBdr>
      <w:ind w:firstLine="360"/>
      <w:jc w:val="right"/>
    </w:pPr>
  </w:style>
  <w:style w:type="character" w:customStyle="1" w:styleId="61">
    <w:name w:val="wang论文 Char"/>
    <w:basedOn w:val="58"/>
    <w:link w:val="60"/>
    <w:qFormat/>
    <w:uiPriority w:val="0"/>
    <w:rPr>
      <w:kern w:val="2"/>
      <w:sz w:val="18"/>
      <w:szCs w:val="18"/>
    </w:rPr>
  </w:style>
  <w:style w:type="table" w:customStyle="1" w:styleId="62">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3">
    <w:name w:val="列出段落1"/>
    <w:basedOn w:val="1"/>
    <w:qFormat/>
    <w:uiPriority w:val="34"/>
    <w:pPr>
      <w:spacing w:line="240" w:lineRule="auto"/>
      <w:ind w:firstLine="420"/>
    </w:pPr>
    <w:rPr>
      <w:rFonts w:ascii="Calibri" w:hAnsi="Calibri"/>
      <w:szCs w:val="22"/>
    </w:rPr>
  </w:style>
  <w:style w:type="paragraph" w:customStyle="1" w:styleId="64">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5">
    <w:name w:val="MTDisplayEquation"/>
    <w:basedOn w:val="64"/>
    <w:next w:val="1"/>
    <w:qFormat/>
    <w:uiPriority w:val="0"/>
    <w:pPr>
      <w:tabs>
        <w:tab w:val="center" w:pos="4400"/>
        <w:tab w:val="right" w:pos="8780"/>
      </w:tabs>
      <w:ind w:firstLine="420" w:firstLineChars="200"/>
    </w:pPr>
  </w:style>
  <w:style w:type="paragraph" w:customStyle="1" w:styleId="66">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7">
    <w:name w:val="样式 首行缩进:  2 字符"/>
    <w:basedOn w:val="1"/>
    <w:qFormat/>
    <w:uiPriority w:val="0"/>
    <w:pPr>
      <w:tabs>
        <w:tab w:val="left" w:pos="4680"/>
      </w:tabs>
      <w:ind w:firstLine="560"/>
      <w:jc w:val="center"/>
    </w:pPr>
    <w:rPr>
      <w:rFonts w:cs="宋体"/>
      <w:szCs w:val="20"/>
    </w:rPr>
  </w:style>
  <w:style w:type="paragraph" w:customStyle="1" w:styleId="68">
    <w:name w:val="列出段落11"/>
    <w:basedOn w:val="1"/>
    <w:qFormat/>
    <w:uiPriority w:val="99"/>
    <w:pPr>
      <w:spacing w:line="240" w:lineRule="auto"/>
      <w:ind w:firstLine="420"/>
    </w:pPr>
    <w:rPr>
      <w:rFonts w:ascii="Calibri" w:hAnsi="Calibri"/>
      <w:szCs w:val="22"/>
    </w:rPr>
  </w:style>
  <w:style w:type="paragraph" w:customStyle="1" w:styleId="69">
    <w:name w:val="文档正文"/>
    <w:basedOn w:val="1"/>
    <w:link w:val="70"/>
    <w:qFormat/>
    <w:uiPriority w:val="0"/>
    <w:pPr>
      <w:snapToGrid w:val="0"/>
      <w:spacing w:line="360" w:lineRule="auto"/>
      <w:ind w:firstLine="480"/>
    </w:pPr>
    <w:rPr>
      <w:rFonts w:cs="宋体"/>
      <w:snapToGrid w:val="0"/>
      <w:szCs w:val="20"/>
    </w:rPr>
  </w:style>
  <w:style w:type="character" w:customStyle="1" w:styleId="70">
    <w:name w:val="文档正文 Char"/>
    <w:link w:val="69"/>
    <w:qFormat/>
    <w:uiPriority w:val="0"/>
    <w:rPr>
      <w:rFonts w:cs="宋体"/>
      <w:snapToGrid w:val="0"/>
      <w:kern w:val="2"/>
      <w:sz w:val="24"/>
    </w:rPr>
  </w:style>
  <w:style w:type="table" w:customStyle="1" w:styleId="71">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2">
    <w:name w:val="脚注文本 Char"/>
    <w:basedOn w:val="35"/>
    <w:link w:val="25"/>
    <w:qFormat/>
    <w:uiPriority w:val="99"/>
    <w:rPr>
      <w:rFonts w:asciiTheme="minorHAnsi" w:hAnsiTheme="minorHAnsi" w:eastAsiaTheme="minorEastAsia" w:cstheme="minorBidi"/>
      <w:kern w:val="2"/>
      <w:sz w:val="18"/>
      <w:szCs w:val="18"/>
    </w:rPr>
  </w:style>
  <w:style w:type="table" w:customStyle="1" w:styleId="73">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4">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5">
    <w:name w:val="List Paragraph"/>
    <w:basedOn w:val="1"/>
    <w:qFormat/>
    <w:uiPriority w:val="34"/>
    <w:pPr>
      <w:ind w:firstLine="420"/>
    </w:pPr>
  </w:style>
  <w:style w:type="character" w:customStyle="1" w:styleId="76">
    <w:name w:val="fontstyle01"/>
    <w:basedOn w:val="35"/>
    <w:qFormat/>
    <w:uiPriority w:val="0"/>
    <w:rPr>
      <w:rFonts w:hint="default" w:ascii="TimesNewRomanPSMT" w:hAnsi="TimesNewRomanPSMT"/>
      <w:color w:val="000000"/>
      <w:sz w:val="18"/>
      <w:szCs w:val="18"/>
    </w:rPr>
  </w:style>
  <w:style w:type="character" w:customStyle="1" w:styleId="77">
    <w:name w:val="fontstyle21"/>
    <w:basedOn w:val="35"/>
    <w:qFormat/>
    <w:uiPriority w:val="0"/>
    <w:rPr>
      <w:rFonts w:hint="eastAsia" w:ascii="宋体" w:hAnsi="宋体" w:eastAsia="宋体"/>
      <w:color w:val="000000"/>
      <w:sz w:val="18"/>
      <w:szCs w:val="18"/>
    </w:rPr>
  </w:style>
  <w:style w:type="character" w:customStyle="1" w:styleId="78">
    <w:name w:val="fontstyle31"/>
    <w:basedOn w:val="35"/>
    <w:qFormat/>
    <w:uiPriority w:val="0"/>
    <w:rPr>
      <w:rFonts w:hint="default" w:ascii="TimesNewRomanPS-ItalicMT" w:hAnsi="TimesNewRomanPS-ItalicMT"/>
      <w:i/>
      <w:iCs/>
      <w:color w:val="000000"/>
      <w:sz w:val="18"/>
      <w:szCs w:val="18"/>
    </w:rPr>
  </w:style>
  <w:style w:type="character" w:customStyle="1" w:styleId="79">
    <w:name w:val="批注文字 Char"/>
    <w:basedOn w:val="35"/>
    <w:link w:val="14"/>
    <w:semiHidden/>
    <w:qFormat/>
    <w:uiPriority w:val="99"/>
    <w:rPr>
      <w:kern w:val="2"/>
      <w:sz w:val="21"/>
      <w:szCs w:val="24"/>
    </w:rPr>
  </w:style>
  <w:style w:type="character" w:customStyle="1" w:styleId="80">
    <w:name w:val="批注主题 Char"/>
    <w:basedOn w:val="79"/>
    <w:link w:val="30"/>
    <w:semiHidden/>
    <w:qFormat/>
    <w:uiPriority w:val="99"/>
    <w:rPr>
      <w:b/>
      <w:bCs/>
      <w:kern w:val="2"/>
      <w:sz w:val="21"/>
      <w:szCs w:val="24"/>
    </w:rPr>
  </w:style>
  <w:style w:type="character" w:styleId="81">
    <w:name w:val="Placeholder Text"/>
    <w:basedOn w:val="35"/>
    <w:unhideWhenUsed/>
    <w:qFormat/>
    <w:uiPriority w:val="99"/>
    <w:rPr>
      <w:color w:val="808080"/>
    </w:rPr>
  </w:style>
  <w:style w:type="paragraph" w:customStyle="1" w:styleId="82">
    <w:name w:val="参考文献"/>
    <w:basedOn w:val="69"/>
    <w:qFormat/>
    <w:uiPriority w:val="0"/>
    <w:pPr>
      <w:numPr>
        <w:ilvl w:val="0"/>
        <w:numId w:val="2"/>
      </w:numPr>
      <w:tabs>
        <w:tab w:val="left" w:pos="518"/>
      </w:tabs>
      <w:ind w:firstLine="0" w:firstLineChars="0"/>
    </w:pPr>
    <w:rPr>
      <w:rFonts w:cs="Times New Roman"/>
      <w:kern w:val="0"/>
    </w:rPr>
  </w:style>
  <w:style w:type="paragraph" w:customStyle="1" w:styleId="83">
    <w:name w:val="公式"/>
    <w:basedOn w:val="1"/>
    <w:qFormat/>
    <w:uiPriority w:val="0"/>
    <w:pPr>
      <w:tabs>
        <w:tab w:val="center" w:pos="4200"/>
        <w:tab w:val="right" w:pos="8610"/>
      </w:tabs>
      <w:spacing w:line="360" w:lineRule="atLeast"/>
      <w:ind w:firstLine="0" w:firstLineChars="0"/>
    </w:pPr>
    <w:rPr>
      <w:szCs w:val="22"/>
    </w:rPr>
  </w:style>
  <w:style w:type="paragraph" w:customStyle="1" w:styleId="84">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5">
    <w:name w:val="不明显强调1"/>
    <w:qFormat/>
    <w:uiPriority w:val="19"/>
    <w:rPr>
      <w:i/>
      <w:iCs/>
    </w:rPr>
  </w:style>
  <w:style w:type="character" w:customStyle="1" w:styleId="86">
    <w:name w:val="HTML 预设格式 Char"/>
    <w:basedOn w:val="35"/>
    <w:link w:val="27"/>
    <w:semiHidden/>
    <w:qFormat/>
    <w:uiPriority w:val="99"/>
    <w:rPr>
      <w:rFonts w:ascii="宋体" w:hAnsi="宋体" w:cs="宋体"/>
      <w:sz w:val="24"/>
      <w:szCs w:val="24"/>
    </w:rPr>
  </w:style>
  <w:style w:type="character" w:customStyle="1" w:styleId="87">
    <w:name w:val="HTML 预设格式 Char1"/>
    <w:basedOn w:val="35"/>
    <w:semiHidden/>
    <w:qFormat/>
    <w:uiPriority w:val="99"/>
    <w:rPr>
      <w:rFonts w:ascii="Courier New" w:hAnsi="Courier New" w:cs="Courier New"/>
      <w:kern w:val="2"/>
    </w:rPr>
  </w:style>
  <w:style w:type="character" w:customStyle="1" w:styleId="88">
    <w:name w:val="尾注文本 Char"/>
    <w:basedOn w:val="35"/>
    <w:link w:val="20"/>
    <w:semiHidden/>
    <w:qFormat/>
    <w:uiPriority w:val="99"/>
  </w:style>
  <w:style w:type="character" w:customStyle="1" w:styleId="89">
    <w:name w:val="尾注文本 Char1"/>
    <w:basedOn w:val="35"/>
    <w:semiHidden/>
    <w:qFormat/>
    <w:uiPriority w:val="99"/>
    <w:rPr>
      <w:kern w:val="2"/>
      <w:sz w:val="21"/>
      <w:szCs w:val="24"/>
    </w:rPr>
  </w:style>
  <w:style w:type="character" w:customStyle="1" w:styleId="90">
    <w:name w:val="apple-style-span"/>
    <w:basedOn w:val="35"/>
    <w:qFormat/>
    <w:uiPriority w:val="0"/>
  </w:style>
  <w:style w:type="paragraph" w:customStyle="1" w:styleId="91">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2">
    <w:name w:val="文档结构图 Char"/>
    <w:basedOn w:val="35"/>
    <w:link w:val="13"/>
    <w:semiHidden/>
    <w:qFormat/>
    <w:uiPriority w:val="99"/>
    <w:rPr>
      <w:rFonts w:ascii="宋体"/>
      <w:sz w:val="18"/>
      <w:szCs w:val="18"/>
    </w:rPr>
  </w:style>
  <w:style w:type="character" w:customStyle="1" w:styleId="93">
    <w:name w:val="文档结构图 Char1"/>
    <w:basedOn w:val="35"/>
    <w:semiHidden/>
    <w:qFormat/>
    <w:uiPriority w:val="99"/>
    <w:rPr>
      <w:rFonts w:ascii="Microsoft YaHei UI" w:eastAsia="Microsoft YaHei UI"/>
      <w:kern w:val="2"/>
      <w:sz w:val="18"/>
      <w:szCs w:val="18"/>
    </w:rPr>
  </w:style>
  <w:style w:type="character" w:customStyle="1" w:styleId="94">
    <w:name w:val="正文文本缩进 2 Char"/>
    <w:basedOn w:val="35"/>
    <w:link w:val="19"/>
    <w:qFormat/>
    <w:uiPriority w:val="0"/>
    <w:rPr>
      <w:kern w:val="2"/>
      <w:sz w:val="21"/>
      <w:szCs w:val="24"/>
    </w:rPr>
  </w:style>
  <w:style w:type="character" w:customStyle="1" w:styleId="95">
    <w:name w:val="纯文本 Char"/>
    <w:basedOn w:val="35"/>
    <w:link w:val="17"/>
    <w:semiHidden/>
    <w:qFormat/>
    <w:uiPriority w:val="0"/>
    <w:rPr>
      <w:rFonts w:ascii="宋体" w:hAnsi="Courier New"/>
      <w:kern w:val="2"/>
      <w:sz w:val="21"/>
      <w:szCs w:val="21"/>
    </w:rPr>
  </w:style>
  <w:style w:type="character" w:customStyle="1" w:styleId="96">
    <w:name w:val="正文首行缩进 Char"/>
    <w:basedOn w:val="45"/>
    <w:link w:val="31"/>
    <w:semiHidden/>
    <w:qFormat/>
    <w:uiPriority w:val="99"/>
    <w:rPr>
      <w:kern w:val="2"/>
      <w:sz w:val="21"/>
      <w:szCs w:val="24"/>
    </w:rPr>
  </w:style>
  <w:style w:type="character" w:customStyle="1" w:styleId="97">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png"/><Relationship Id="rId30" Type="http://schemas.openxmlformats.org/officeDocument/2006/relationships/image" Target="http://news.cau.edu.cn/upload/2005/caunews_20050711181514.jpg" TargetMode="External"/><Relationship Id="rId3" Type="http://schemas.openxmlformats.org/officeDocument/2006/relationships/footnotes" Target="footnotes.xml"/><Relationship Id="rId29" Type="http://schemas.openxmlformats.org/officeDocument/2006/relationships/image" Target="media/image1.jpeg"/><Relationship Id="rId28" Type="http://schemas.openxmlformats.org/officeDocument/2006/relationships/theme" Target="theme/theme1.xml"/><Relationship Id="rId27" Type="http://schemas.openxmlformats.org/officeDocument/2006/relationships/footer" Target="footer10.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44</Pages>
  <Words>10075</Words>
  <Characters>12772</Characters>
  <Lines>91</Lines>
  <Paragraphs>25</Paragraphs>
  <TotalTime>800</TotalTime>
  <ScaleCrop>false</ScaleCrop>
  <LinksUpToDate>false</LinksUpToDate>
  <CharactersWithSpaces>13237</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2026-04-25T13:49:13Z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eyJoZGlkIjoiYmJlYTdiNTFjYjcwN2Q1NTFmNTNiMDgyZDE2YmVhMzEiLCJ1c2VySWQiOiIxNTc1MjA1NzYzIn0=</vt:lpwstr>
  </property>
  <property fmtid="{D5CDD505-2E9C-101B-9397-08002B2CF9AE}" pid="5" name="ICV">
    <vt:lpwstr>A8161ACBF5D049A891BA29305581F93A_12</vt:lpwstr>
  </property>
</Properties>
</file>