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50C65">
      <w:pPr>
        <w:spacing w:line="240" w:lineRule="auto"/>
        <w:ind w:firstLine="480"/>
        <w:rPr>
          <w:rFonts w:hint="eastAsia"/>
          <w:color w:val="000000"/>
        </w:rPr>
      </w:pPr>
      <w:bookmarkStart w:id="0" w:name="_Toc355274223"/>
      <w:bookmarkStart w:id="1" w:name="_Toc355807471"/>
      <w:bookmarkStart w:id="2" w:name="_Toc355361237"/>
      <w:bookmarkStart w:id="3" w:name="_Toc355614273"/>
      <w:bookmarkStart w:id="4" w:name="_Toc355204232"/>
      <w:bookmarkStart w:id="5" w:name="_Toc355274957"/>
    </w:p>
    <w:p w14:paraId="0F26FBC9">
      <w:pPr>
        <w:spacing w:line="240" w:lineRule="auto"/>
        <w:ind w:firstLine="0" w:firstLineChars="0"/>
        <w:rPr>
          <w:color w:val="000000"/>
        </w:rPr>
      </w:pPr>
    </w:p>
    <w:p w14:paraId="4D7E020B">
      <w:pPr>
        <w:spacing w:line="240" w:lineRule="auto"/>
        <w:ind w:firstLine="0" w:firstLineChars="0"/>
        <w:jc w:val="center"/>
        <w:rPr>
          <w:color w:val="000000"/>
        </w:rPr>
      </w:pPr>
    </w:p>
    <w:p w14:paraId="18DCB219">
      <w:pPr>
        <w:spacing w:line="240" w:lineRule="auto"/>
        <w:ind w:firstLine="0" w:firstLineChars="0"/>
        <w:jc w:val="center"/>
        <w:rPr>
          <w:color w:val="000000"/>
        </w:rPr>
      </w:pPr>
    </w:p>
    <w:p w14:paraId="65F773AF">
      <w:pPr>
        <w:spacing w:line="240" w:lineRule="auto"/>
        <w:ind w:firstLine="0" w:firstLineChars="0"/>
        <w:jc w:val="center"/>
        <w:rPr>
          <w:color w:val="000000"/>
        </w:rPr>
      </w:pPr>
    </w:p>
    <w:p w14:paraId="2B80AD07">
      <w:pPr>
        <w:spacing w:line="240" w:lineRule="auto"/>
        <w:ind w:firstLine="0" w:firstLineChars="0"/>
        <w:jc w:val="center"/>
        <w:rPr>
          <w:color w:val="000000"/>
        </w:rPr>
      </w:pPr>
      <w:r>
        <w:fldChar w:fldCharType="begin"/>
      </w:r>
      <w:r>
        <w:instrText xml:space="preserve"> HYPERLINK "http://news.cau.edu.cn/upload/2005/caunews_20050711181514.jpg" \t "_blank" </w:instrText>
      </w:r>
      <w: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4pt;width:323.4pt;" o:button="t" filled="f" o:preferrelative="t" stroked="f" coordsize="21600,21600">
            <v:path/>
            <v:fill on="f" focussize="0,0"/>
            <v:stroke on="f" joinstyle="miter"/>
            <v:imagedata r:id="rId29" r:href="rId30"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05503953">
      <w:pPr>
        <w:spacing w:before="0" w:beforeLines="100" w:after="120" w:afterLines="100" w:line="400" w:lineRule="exact"/>
        <w:ind w:firstLineChars="0"/>
        <w:jc w:val="center"/>
        <w:rPr>
          <w:sz w:val="36"/>
        </w:rPr>
      </w:pPr>
      <w:r>
        <w:rPr>
          <w:rFonts w:hint="eastAsia" w:eastAsia="黑体" w:ascii="Times New Roman" w:hAnsi="Times New Roman" w:cs="黑体"/>
          <w:b/>
          <w:color w:val="000000"/>
          <w:sz w:val="36"/>
          <w:szCs w:val="36"/>
        </w:rPr>
        <w:t>本科生毕业论文（设计）</w:t>
      </w:r>
    </w:p>
    <w:p w14:paraId="77BD80CC">
      <w:pPr>
        <w:spacing w:line="240" w:lineRule="auto"/>
        <w:ind w:firstLine="0" w:firstLineChars="0"/>
        <w:jc w:val="center"/>
      </w:pPr>
    </w:p>
    <w:p w14:paraId="3EE18055">
      <w:pPr>
        <w:spacing w:before="0" w:beforeLines="100" w:after="120" w:afterLines="100" w:line="400" w:lineRule="exact"/>
        <w:ind w:firstLineChars="0"/>
        <w:jc w:val="center"/>
        <w:rPr>
          <w:rFonts w:hint="default" w:eastAsia="黑体"/>
          <w:sz w:val="44"/>
          <w:szCs w:val="44"/>
          <w:lang w:val="en-US" w:eastAsia="zh-CN"/>
        </w:rPr>
      </w:pPr>
      <w:bookmarkStart w:id="6" w:name="OLE_LINK1"/>
      <w:bookmarkStart w:id="7" w:name="OLE_LINK2"/>
      <w:r>
        <w:rPr>
          <w:b/>
          <w:rFonts w:hint="eastAsia" w:eastAsia="宋体" w:ascii="Times New Roman" w:hAnsi="Times New Roman" w:cs="宋体"/>
          <w:sz w:val="28"/>
          <w:szCs w:val="28"/>
          <w:lang w:val="en-US" w:eastAsia="zh-CN"/>
        </w:rPr>
        <w:t>基于SEM和fsQCA的农村电商集群发展的研究——以烟台为例</w:t>
      </w:r>
    </w:p>
    <w:bookmarkEnd w:id="6"/>
    <w:bookmarkEnd w:id="7"/>
    <w:p w14:paraId="23E5A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0" w:lineRule="exact"/>
        <w:ind w:left="0" w:right="0"/>
        <w:jc w:val="center"/>
        <w:rPr>
          <w:rStyle w:val="36"/>
          <w:rFonts w:hint="default" w:ascii="Times New Roman" w:hAnsi="Times New Roman" w:eastAsia="宋体" w:cs="Times New Roman"/>
          <w:b/>
          <w:bCs/>
          <w:color w:val="000000"/>
          <w:kern w:val="0"/>
          <w:sz w:val="24"/>
          <w:szCs w:val="24"/>
          <w:lang w:val="en-US" w:eastAsia="zh-CN" w:bidi="ar"/>
        </w:rPr>
      </w:pPr>
      <w:r>
        <w:rPr>
          <w:rStyle w:val="36"/>
          <w:rFonts w:hint="default" w:ascii="Times New Roman" w:hAnsi="Times New Roman" w:eastAsia="宋体" w:cs="宋体"/>
          <w:b/>
          <w:bCs/>
          <w:color w:val="000000"/>
          <w:kern w:val="0"/>
          <w:sz w:val="28"/>
          <w:szCs w:val="28"/>
          <w:lang w:val="en-US" w:eastAsia="zh-CN" w:bidi="ar"/>
        </w:rPr>
        <w:t>Research on the Development of Rural E-Commerce Clusters Based on SEM and fsQCA — A Case Study of Yantai</w:t>
      </w:r>
    </w:p>
    <w:p w14:paraId="6A59D2D0">
      <w:pPr>
        <w:spacing w:line="240" w:lineRule="auto"/>
        <w:ind w:firstLine="0" w:firstLineChars="0"/>
        <w:jc w:val="center"/>
      </w:pPr>
    </w:p>
    <w:p w14:paraId="4FD75D76">
      <w:pPr>
        <w:spacing w:line="240" w:lineRule="auto"/>
        <w:ind w:firstLine="0" w:firstLineChars="0"/>
        <w:jc w:val="center"/>
      </w:pPr>
    </w:p>
    <w:p w14:paraId="6725FE40">
      <w:pPr>
        <w:spacing w:line="480" w:lineRule="exact" w:before="0" w:after="0"/>
        <w:ind w:left="839" w:firstLineChars="0"/>
        <w:jc w:val="both"/>
        <w:rPr>
          <w:rFonts w:hint="default" w:eastAsia="宋体"/>
          <w:position w:val="-6"/>
          <w:sz w:val="28"/>
          <w:u w:val="single"/>
          <w:lang w:val="en-US" w:eastAsia="zh-CN"/>
        </w:rPr>
      </w:pPr>
      <w:r>
        <w:rPr>
          <w:rFonts w:hint="eastAsia" w:eastAsia="宋体" w:ascii="Times New Roman" w:hAnsi="Times New Roman" w:cs="宋体"/>
          <w:spacing w:val="233"/>
          <w:kern w:val="0"/>
          <w:sz w:val="28"/>
          <w:szCs w:val="28"/>
        </w:rPr>
        <w:t>学生姓</w:t>
      </w:r>
      <w:r>
        <w:rPr>
          <w:rFonts w:hint="eastAsia" w:eastAsia="宋体" w:ascii="Times New Roman" w:hAnsi="Times New Roman" w:cs="宋体"/>
          <w:color w:val="000000"/>
          <w:sz w:val="28"/>
          <w:szCs w:val="28"/>
        </w:rPr>
        <w:t>名</w:t>
      </w:r>
      <w:r>
        <w:rPr>
          <w:rFonts w:eastAsia="宋体" w:ascii="Times New Roman" w:hAnsi="Times New Roman" w:cs="宋体"/>
          <w:color w:val="000000"/>
          <w:sz w:val="28"/>
          <w:szCs w:val="28"/>
        </w:rPr>
        <w:t>：</w:t>
      </w:r>
      <w:r>
        <w:rPr>
          <w:rFonts w:hint="eastAsia" w:eastAsia="宋体" w:ascii="Times New Roman" w:hAnsi="Times New Roman" w:cs="宋体"/>
          <w:position w:val="-6"/>
          <w:sz w:val="28"/>
          <w:u w:val="single"/>
          <w:szCs w:val="28"/>
        </w:rPr>
        <w:t xml:space="preserve"> </w:t>
      </w:r>
      <w:r>
        <w:rPr>
          <w:rFonts w:hint="eastAsia" w:eastAsia="宋体" w:ascii="Times New Roman" w:hAnsi="Times New Roman" w:cs="宋体"/>
          <w:position w:val="-6"/>
          <w:sz w:val="28"/>
          <w:u w:val="single"/>
          <w:lang w:val="en-US" w:eastAsia="zh-CN"/>
          <w:szCs w:val="28"/>
        </w:rPr>
        <w:t xml:space="preserve">         张纵宇              </w:t>
      </w:r>
    </w:p>
    <w:p w14:paraId="386907CD">
      <w:pPr>
        <w:spacing w:line="480" w:lineRule="exact" w:before="0" w:after="0"/>
        <w:ind w:left="839" w:firstLineChars="0"/>
        <w:rPr>
          <w:rFonts w:hint="default" w:eastAsia="宋体"/>
          <w:position w:val="-6"/>
          <w:sz w:val="28"/>
          <w:u w:val="single"/>
          <w:lang w:val="en-US" w:eastAsia="zh-CN"/>
        </w:rPr>
        <w:jc w:val="both"/>
      </w:pPr>
      <w:r>
        <w:rPr>
          <w:rFonts w:eastAsia="宋体" w:ascii="Times New Roman" w:hAnsi="Times New Roman" w:cs="宋体"/>
          <w:spacing w:val="233"/>
          <w:kern w:val="0"/>
          <w:sz w:val="28"/>
          <w:szCs w:val="28"/>
        </w:rPr>
        <w:t>指导教</w:t>
      </w:r>
      <w:r>
        <w:rPr>
          <w:rFonts w:eastAsia="宋体" w:ascii="Times New Roman" w:hAnsi="Times New Roman" w:cs="宋体"/>
          <w:spacing w:val="1"/>
          <w:kern w:val="0"/>
          <w:sz w:val="28"/>
          <w:szCs w:val="28"/>
        </w:rPr>
        <w:t>师</w:t>
      </w:r>
      <w:r>
        <w:rPr>
          <w:rFonts w:eastAsia="宋体" w:ascii="Times New Roman" w:hAnsi="Times New Roman" w:cs="宋体"/>
          <w:sz w:val="28"/>
          <w:szCs w:val="28"/>
        </w:rPr>
        <w:t>：</w:t>
      </w:r>
      <w:r>
        <w:rPr>
          <w:rFonts w:eastAsia="宋体" w:ascii="Times New Roman" w:hAnsi="Times New Roman" w:cs="宋体"/>
          <w:position w:val="-6"/>
          <w:sz w:val="28"/>
          <w:u w:val="single"/>
          <w:szCs w:val="28"/>
        </w:rPr>
        <w:t xml:space="preserve">    </w:t>
      </w:r>
      <w:r>
        <w:rPr>
          <w:rFonts w:hint="eastAsia" w:eastAsia="宋体" w:ascii="Times New Roman" w:hAnsi="Times New Roman" w:cs="宋体"/>
          <w:position w:val="-6"/>
          <w:sz w:val="28"/>
          <w:u w:val="single"/>
          <w:lang w:val="en-US" w:eastAsia="zh-CN"/>
          <w:szCs w:val="28"/>
        </w:rPr>
        <w:t xml:space="preserve">      王伟</w:t>
      </w:r>
      <w:r>
        <w:rPr>
          <w:rFonts w:eastAsia="宋体" w:ascii="Times New Roman" w:hAnsi="Times New Roman" w:cs="宋体"/>
          <w:position w:val="-6"/>
          <w:sz w:val="28"/>
          <w:u w:val="single"/>
          <w:szCs w:val="28"/>
        </w:rPr>
        <w:t xml:space="preserve">   </w:t>
      </w:r>
      <w:r>
        <w:rPr>
          <w:rFonts w:hint="eastAsia" w:eastAsia="宋体" w:ascii="Times New Roman" w:hAnsi="Times New Roman" w:cs="宋体"/>
          <w:position w:val="-6"/>
          <w:sz w:val="28"/>
          <w:u w:val="single"/>
          <w:lang w:val="en-US" w:eastAsia="zh-CN"/>
          <w:szCs w:val="28"/>
        </w:rPr>
        <w:t xml:space="preserve">             </w:t>
      </w:r>
    </w:p>
    <w:p w14:paraId="3A3FE384">
      <w:pPr>
        <w:spacing w:line="480" w:lineRule="exact" w:before="0" w:after="0"/>
        <w:ind w:left="839" w:firstLineChars="0"/>
        <w:rPr>
          <w:rFonts w:hint="default" w:eastAsia="宋体"/>
          <w:position w:val="-6"/>
          <w:sz w:val="28"/>
          <w:u w:val="single"/>
          <w:lang w:val="en-US" w:eastAsia="zh-CN"/>
        </w:rPr>
        <w:jc w:val="both"/>
      </w:pPr>
      <w:r>
        <w:rPr>
          <w:rFonts w:eastAsia="宋体" w:ascii="Times New Roman" w:hAnsi="Times New Roman" w:cs="宋体"/>
          <w:spacing w:val="233"/>
          <w:kern w:val="0"/>
          <w:position w:val="-6"/>
          <w:sz w:val="28"/>
          <w:fitText w:val="2520" w:id="3"/>
          <w:szCs w:val="28"/>
        </w:rPr>
        <w:t>专业名</w:t>
      </w:r>
      <w:r>
        <w:rPr>
          <w:rFonts w:eastAsia="宋体" w:ascii="Times New Roman" w:hAnsi="Times New Roman" w:cs="宋体"/>
          <w:spacing w:val="1"/>
          <w:kern w:val="0"/>
          <w:position w:val="-6"/>
          <w:sz w:val="28"/>
          <w:fitText w:val="2520" w:id="3"/>
          <w:szCs w:val="28"/>
        </w:rPr>
        <w:t>称</w:t>
      </w:r>
      <w:r>
        <w:rPr>
          <w:rFonts w:eastAsia="宋体" w:ascii="Times New Roman" w:hAnsi="Times New Roman" w:cs="宋体"/>
          <w:position w:val="-6"/>
          <w:sz w:val="28"/>
          <w:szCs w:val="28"/>
        </w:rPr>
        <w:t>：</w:t>
      </w:r>
      <w:r>
        <w:rPr>
          <w:rFonts w:eastAsia="宋体" w:ascii="Times New Roman" w:hAnsi="Times New Roman" w:cs="宋体"/>
          <w:position w:val="-6"/>
          <w:sz w:val="28"/>
          <w:u w:val="single"/>
          <w:szCs w:val="28"/>
        </w:rPr>
        <w:t xml:space="preserve">       </w:t>
      </w:r>
      <w:r>
        <w:rPr>
          <w:rFonts w:hint="eastAsia" w:eastAsia="宋体" w:ascii="Times New Roman" w:hAnsi="Times New Roman" w:cs="宋体"/>
          <w:position w:val="-6"/>
          <w:sz w:val="28"/>
          <w:u w:val="single"/>
          <w:lang w:val="en-US" w:eastAsia="zh-CN"/>
          <w:szCs w:val="28"/>
        </w:rPr>
        <w:t xml:space="preserve">   电子商务</w:t>
      </w:r>
      <w:r>
        <w:rPr>
          <w:rFonts w:eastAsia="宋体" w:ascii="Times New Roman" w:hAnsi="Times New Roman" w:cs="宋体"/>
          <w:position w:val="-6"/>
          <w:sz w:val="28"/>
          <w:u w:val="single"/>
          <w:szCs w:val="28"/>
        </w:rPr>
        <w:t xml:space="preserve">      </w:t>
      </w:r>
      <w:r>
        <w:rPr>
          <w:rFonts w:hint="eastAsia" w:eastAsia="宋体" w:ascii="Times New Roman" w:hAnsi="Times New Roman" w:cs="宋体"/>
          <w:position w:val="-6"/>
          <w:sz w:val="28"/>
          <w:u w:val="single"/>
          <w:lang w:val="en-US" w:eastAsia="zh-CN"/>
          <w:szCs w:val="28"/>
        </w:rPr>
        <w:t xml:space="preserve">      </w:t>
      </w:r>
    </w:p>
    <w:p w14:paraId="33F4E76E">
      <w:pPr>
        <w:spacing w:line="480" w:lineRule="exact" w:before="0" w:after="0"/>
        <w:ind w:left="839" w:firstLineChars="0"/>
        <w:jc w:val="both"/>
      </w:pPr>
      <w:r>
        <w:rPr>
          <w:rFonts w:eastAsia="宋体" w:ascii="Times New Roman" w:hAnsi="Times New Roman" w:cs="宋体"/>
          <w:spacing w:val="233"/>
          <w:kern w:val="0"/>
          <w:sz w:val="28"/>
          <w:fitText w:val="2520" w:id="5"/>
          <w:szCs w:val="28"/>
        </w:rPr>
        <w:t>所在学</w:t>
      </w:r>
      <w:r>
        <w:rPr>
          <w:rFonts w:eastAsia="宋体" w:ascii="Times New Roman" w:hAnsi="Times New Roman" w:cs="宋体"/>
          <w:spacing w:val="1"/>
          <w:kern w:val="0"/>
          <w:sz w:val="28"/>
          <w:fitText w:val="2520" w:id="5"/>
          <w:szCs w:val="28"/>
        </w:rPr>
        <w:t>院</w:t>
      </w:r>
      <w:r>
        <w:rPr>
          <w:rFonts w:eastAsia="宋体" w:ascii="Times New Roman" w:hAnsi="Times New Roman" w:cs="宋体"/>
          <w:sz w:val="28"/>
          <w:szCs w:val="28"/>
        </w:rPr>
        <w:t>：</w:t>
      </w:r>
      <w:r>
        <w:rPr>
          <w:rFonts w:eastAsia="宋体" w:ascii="Times New Roman" w:hAnsi="Times New Roman" w:cs="宋体"/>
          <w:position w:val="-6"/>
          <w:sz w:val="28"/>
          <w:u w:val="single"/>
          <w:szCs w:val="28"/>
        </w:rPr>
        <w:t xml:space="preserve">      </w:t>
      </w:r>
      <w:r>
        <w:rPr>
          <w:rFonts w:hint="eastAsia" w:eastAsia="宋体" w:ascii="Times New Roman" w:hAnsi="Times New Roman" w:cs="宋体"/>
          <w:position w:val="-6"/>
          <w:sz w:val="28"/>
          <w:u w:val="single"/>
          <w:lang w:val="en-US" w:eastAsia="zh-CN"/>
          <w:szCs w:val="28"/>
        </w:rPr>
        <w:t>人文与经济管理学院</w:t>
      </w:r>
      <w:r>
        <w:rPr>
          <w:rFonts w:eastAsia="宋体" w:ascii="Times New Roman" w:hAnsi="Times New Roman" w:cs="宋体"/>
          <w:position w:val="-6"/>
          <w:sz w:val="28"/>
          <w:u w:val="single"/>
          <w:szCs w:val="28"/>
        </w:rPr>
        <w:t xml:space="preserve">      </w:t>
      </w:r>
    </w:p>
    <w:p w14:paraId="58577451">
      <w:pPr>
        <w:spacing w:line="240" w:lineRule="auto"/>
        <w:ind w:firstLine="0" w:firstLineChars="0"/>
        <w:jc w:val="center"/>
        <w:rPr>
          <w:sz w:val="28"/>
        </w:rPr>
      </w:pPr>
      <w:r>
        <w:rPr>
          <w:sz w:val="28"/>
        </w:rPr>
        <w:t xml:space="preserve">                       </w:t>
      </w:r>
    </w:p>
    <w:p w14:paraId="497341FC">
      <w:pPr>
        <w:spacing w:line="240" w:lineRule="auto"/>
        <w:ind w:firstLine="0" w:firstLineChars="0"/>
        <w:jc w:val="center"/>
        <w:rPr>
          <w:sz w:val="28"/>
        </w:rPr>
      </w:pPr>
    </w:p>
    <w:p w14:paraId="30FEFA39">
      <w:pPr>
        <w:spacing w:line="240" w:lineRule="auto"/>
        <w:ind w:firstLine="0" w:firstLineChars="0"/>
        <w:jc w:val="center"/>
        <w:rPr>
          <w:sz w:val="28"/>
        </w:rPr>
      </w:pPr>
    </w:p>
    <w:p w14:paraId="09DAD393">
      <w:pPr>
        <w:spacing w:line="240" w:lineRule="auto"/>
        <w:ind w:firstLine="0" w:firstLineChars="0"/>
        <w:jc w:val="center"/>
        <w:rPr>
          <w:sz w:val="28"/>
        </w:rPr>
      </w:pPr>
    </w:p>
    <w:p w14:paraId="351A986A">
      <w:pPr>
        <w:spacing w:line="240" w:lineRule="auto"/>
        <w:ind w:firstLine="0" w:firstLineChars="0"/>
        <w:jc w:val="center"/>
        <w:rPr>
          <w:sz w:val="28"/>
        </w:rPr>
      </w:pPr>
    </w:p>
    <w:p w14:paraId="74796689">
      <w:pPr>
        <w:spacing w:line="240" w:lineRule="auto"/>
        <w:ind w:firstLine="0" w:firstLineChars="0"/>
        <w:jc w:val="center"/>
        <w:rPr>
          <w:sz w:val="28"/>
        </w:rPr>
      </w:pPr>
    </w:p>
    <w:p w14:paraId="44D97B7A">
      <w:pPr>
        <w:spacing w:line="240" w:lineRule="auto"/>
        <w:ind w:firstLine="0" w:firstLineChars="0"/>
        <w:jc w:val="center"/>
        <w:rPr>
          <w:sz w:val="28"/>
        </w:rPr>
      </w:pPr>
    </w:p>
    <w:p w14:paraId="249F50A1">
      <w:pPr>
        <w:spacing w:line="240" w:lineRule="auto"/>
        <w:ind w:firstLine="0" w:firstLineChars="0"/>
        <w:jc w:val="center"/>
        <w:rPr>
          <w:sz w:val="28"/>
        </w:rPr>
      </w:pPr>
    </w:p>
    <w:p w14:paraId="47B153B4">
      <w:pPr>
        <w:spacing w:line="400" w:lineRule="exact" w:before="0" w:after="120"/>
        <w:ind w:firstLineChars="0"/>
        <w:jc w:val="center"/>
        <w:rPr>
          <w:sz w:val="28"/>
        </w:rPr>
      </w:pPr>
      <w:r>
        <w:rPr>
          <w:rFonts w:hint="eastAsia" w:eastAsia="宋体" w:ascii="Times New Roman" w:hAnsi="Times New Roman" w:cs="宋体"/>
          <w:sz w:val="28"/>
          <w:lang w:val="en-US" w:eastAsia="zh-CN"/>
          <w:szCs w:val="28"/>
        </w:rPr>
        <w:t>2026</w:t>
      </w:r>
      <w:r>
        <w:rPr>
          <w:rFonts w:eastAsia="宋体" w:ascii="Times New Roman" w:hAnsi="Times New Roman" w:cs="宋体"/>
          <w:sz w:val="28"/>
          <w:szCs w:val="28"/>
        </w:rPr>
        <w:t xml:space="preserve">年 </w:t>
      </w:r>
      <w:r>
        <w:rPr>
          <w:rFonts w:hint="eastAsia" w:eastAsia="宋体" w:ascii="Times New Roman" w:hAnsi="Times New Roman" w:cs="宋体"/>
          <w:sz w:val="28"/>
          <w:lang w:val="en-US" w:eastAsia="zh-CN"/>
          <w:szCs w:val="28"/>
        </w:rPr>
        <w:t>4</w:t>
      </w:r>
      <w:r>
        <w:rPr>
          <w:rFonts w:eastAsia="宋体" w:ascii="Times New Roman" w:hAnsi="Times New Roman" w:cs="宋体"/>
          <w:sz w:val="28"/>
          <w:szCs w:val="28"/>
        </w:rPr>
        <w:t xml:space="preserve"> 月</w:t>
      </w:r>
    </w:p>
    <w:p w14:paraId="0CABA1A6">
      <w:pPr>
        <w:widowControl/>
        <w:spacing w:line="240" w:lineRule="auto"/>
        <w:ind w:firstLine="0" w:firstLineChars="0"/>
        <w:jc w:val="left"/>
        <w:rPr>
          <w:rFonts w:ascii="黑体" w:eastAsia="黑体"/>
          <w:sz w:val="44"/>
        </w:rPr>
      </w:pPr>
      <w:r>
        <w:rPr>
          <w:rFonts w:ascii="黑体" w:eastAsia="黑体"/>
          <w:sz w:val="44"/>
        </w:rPr>
        <w:br w:type="page"/>
      </w:r>
      <w:r>
        <w:rPr>
          <w:rFonts w:ascii="黑体" w:eastAsia="黑体"/>
          <w:sz w:val="44"/>
        </w:rPr>
        <w:br w:type="page"/>
      </w:r>
    </w:p>
    <w:p w14:paraId="03C693FB">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701" w:header="850" w:footer="992" w:gutter="0"/>
          <w:pgBorders>
            <w:top w:val="none" w:sz="0" w:space="0"/>
            <w:left w:val="none" w:sz="0" w:space="0"/>
            <w:bottom w:val="none" w:sz="0" w:space="0"/>
            <w:right w:val="none" w:sz="0" w:space="0"/>
          </w:pgBorders>
          <w:pgNumType w:fmt="upperRoman" w:start="2"/>
          <w:cols w:space="425" w:num="1"/>
          <w:docGrid w:linePitch="312" w:charSpace="0"/>
        </w:sectPr>
      </w:pPr>
    </w:p>
    <w:bookmarkEnd w:id="0"/>
    <w:bookmarkEnd w:id="1"/>
    <w:bookmarkEnd w:id="2"/>
    <w:bookmarkEnd w:id="3"/>
    <w:bookmarkEnd w:id="4"/>
    <w:bookmarkEnd w:id="5"/>
    <w:p w14:paraId="61C3EE4B">
      <w:pPr>
        <w:spacing w:before="0" w:beforeLines="50" w:after="120" w:afterLines="100" w:line="400" w:lineRule="exact"/>
        <w:ind w:left="482" w:firstLineChars="0"/>
        <w:jc w:val="center"/>
      </w:pPr>
      <w:bookmarkStart w:id="8" w:name="_Toc485048978"/>
      <w:bookmarkStart w:id="9" w:name="_Toc523697193"/>
      <w:bookmarkStart w:id="10" w:name="_Toc479346319"/>
      <w:bookmarkStart w:id="11" w:name="_Toc520240576"/>
      <w:bookmarkStart w:id="12" w:name="_Toc484182509"/>
      <w:bookmarkStart w:id="13" w:name="_Toc421635058"/>
      <w:bookmarkStart w:id="14" w:name="_Toc485389065"/>
      <w:r>
        <w:rPr>
          <w:rFonts w:ascii="Times New Roman" w:hAnsi="Times New Roman" w:eastAsia="宋体" w:cs="宋体"/>
          <w:sz w:val="28"/>
          <w:szCs w:val="28"/>
        </w:rPr>
        <w:t>摘  要</w:t>
      </w:r>
      <w:bookmarkEnd w:id="8"/>
      <w:bookmarkEnd w:id="9"/>
      <w:bookmarkEnd w:id="10"/>
      <w:bookmarkEnd w:id="11"/>
      <w:bookmarkEnd w:id="12"/>
      <w:bookmarkEnd w:id="13"/>
      <w:bookmarkEnd w:id="14"/>
    </w:p>
    <w:p w14:paraId="4F85B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0" w:lineRule="exact"/>
        <w:ind w:left="0" w:right="0"/>
        <w:jc w:val="center"/>
        <w:rPr>
          <w:color w:val="000000"/>
          <w:sz w:val="24"/>
          <w:szCs w:val="24"/>
        </w:rPr>
      </w:pPr>
      <w:r>
        <w:rPr>
          <w:rFonts w:ascii="Times New Roman" w:hAnsi="Times New Roman" w:eastAsia="宋体" w:cs="宋体"/>
          <w:color w:val="000000"/>
          <w:kern w:val="0"/>
          <w:sz w:val="28"/>
          <w:szCs w:val="28"/>
          <w:lang w:val="en-US" w:eastAsia="zh-CN" w:bidi="ar"/>
        </w:rPr>
        <w:t>在数字经济与乡村振兴战略深度融合的背景下，</w:t>
      </w:r>
      <w:r>
        <w:rPr>
          <w:rFonts w:hint="eastAsia" w:ascii="Times New Roman" w:hAnsi="Times New Roman" w:cs="宋体" w:eastAsia="宋体"/>
          <w:color w:val="000000"/>
          <w:kern w:val="0"/>
          <w:sz w:val="28"/>
          <w:szCs w:val="28"/>
          <w:lang w:val="en-US" w:eastAsia="zh-CN" w:bidi="ar"/>
        </w:rPr>
        <w:t>农村</w:t>
      </w:r>
      <w:r>
        <w:rPr>
          <w:rFonts w:ascii="Times New Roman" w:hAnsi="Times New Roman" w:eastAsia="宋体" w:cs="宋体"/>
          <w:color w:val="000000"/>
          <w:kern w:val="0"/>
          <w:sz w:val="28"/>
          <w:szCs w:val="28"/>
          <w:lang w:val="en-US" w:eastAsia="zh-CN" w:bidi="ar"/>
        </w:rPr>
        <w:t>电商集群已成为烟台地区特色产业转型升级、带动区域经济发展的核心载体。当前烟台</w:t>
      </w:r>
      <w:r>
        <w:rPr>
          <w:rFonts w:hint="eastAsia" w:ascii="Times New Roman" w:hAnsi="Times New Roman" w:cs="宋体" w:eastAsia="宋体"/>
          <w:color w:val="000000"/>
          <w:kern w:val="0"/>
          <w:sz w:val="28"/>
          <w:szCs w:val="28"/>
          <w:lang w:val="en-US" w:eastAsia="zh-CN" w:bidi="ar"/>
        </w:rPr>
        <w:t>农村</w:t>
      </w:r>
      <w:r>
        <w:rPr>
          <w:rFonts w:ascii="Times New Roman" w:hAnsi="Times New Roman" w:eastAsia="宋体" w:cs="宋体"/>
          <w:color w:val="000000"/>
          <w:kern w:val="0"/>
          <w:sz w:val="28"/>
          <w:szCs w:val="28"/>
          <w:lang w:val="en-US" w:eastAsia="zh-CN" w:bidi="ar"/>
        </w:rPr>
        <w:t>集群电商依托本地特色农产品、海洋渔业等资源实现了快速发展，但仍面临政策落地效果不均、专业人才供给不足、数字化技术应用不充分等现实瓶颈。现有研究针对烟台本地集群电商的本土化实证分析较为匮乏，且多聚焦单因素的线性影响，对多因素联动的复杂因果机制探讨不足。</w:t>
      </w:r>
    </w:p>
    <w:p w14:paraId="0A3985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0" w:lineRule="exact"/>
        <w:ind w:left="0" w:right="0"/>
        <w:jc w:val="center"/>
      </w:pPr>
      <w:r>
        <w:rPr>
          <w:rFonts w:ascii="Times New Roman" w:hAnsi="Times New Roman" w:eastAsia="宋体" w:cs="宋体"/>
          <w:color w:val="000000"/>
          <w:kern w:val="0"/>
          <w:sz w:val="28"/>
          <w:szCs w:val="28"/>
          <w:lang w:val="en-US" w:eastAsia="zh-CN" w:bidi="ar"/>
        </w:rPr>
        <w:t>本文以烟台农村地区集群电商为研究对象，以资源编排理论（ROT）为核心理论框架、TOE框架为变量分类参照，确定政策治理、人才支撑、基础设施建设、技术创新水平、数字化能力、资源禀赋六大核心影响维度，构建“资源基底—中介转化—绩效产出”三层次整合分析模型，采用SEM与fsQCA混合研究方法，系统探究集群电商发展的影响机制与高绩效组态路径。实证结果表明，基础设施建设与数字技能分别在两组影响链中发挥显著的部分中介作用；fsQCA识别出政策—基建协同型、人才—技术—基建三元型、技术—数字内生型与资源—数字整合型四条等效发展路径。</w:t>
      </w:r>
    </w:p>
    <w:p w14:paraId="1B80624D">
      <w:pPr>
        <w:spacing w:before="0" w:beforeLines="50" w:line="400" w:lineRule="exact" w:after="0"/>
        <w:ind w:firstLineChars="0"/>
        <w:rPr>
          <w:szCs w:val="28"/>
        </w:rPr>
        <w:sectPr>
          <w:headerReference r:id="rId11" w:type="default"/>
          <w:footerReference r:id="rId13" w:type="default"/>
          <w:headerReference r:id="rId12" w:type="even"/>
          <w:pgSz w:w="11906" w:h="16838"/>
          <w:pgMar w:top="1701" w:right="1417" w:bottom="1417" w:left="1701" w:header="850" w:footer="992" w:gutter="0"/>
          <w:pgBorders>
            <w:top w:val="none" w:sz="0" w:space="0"/>
            <w:left w:val="none" w:sz="0" w:space="0"/>
            <w:bottom w:val="none" w:sz="0" w:space="0"/>
            <w:right w:val="none" w:sz="0" w:space="0"/>
          </w:pgBorders>
          <w:pgNumType w:fmt="upperRoman" w:start="1"/>
          <w:cols w:space="425" w:num="1"/>
          <w:docGrid w:linePitch="312" w:charSpace="0"/>
        </w:sectPr>
        <w:jc w:val="left"/>
      </w:pPr>
      <w:r>
        <w:rPr>
          <w:rFonts w:eastAsia="宋体" w:ascii="Times New Roman" w:hAnsi="Times New Roman" w:cs="宋体"/>
          <w:sz w:val="24"/>
          <w:szCs w:val="24"/>
        </w:rPr>
        <w:tab/>
      </w:r>
      <w:r>
        <w:rPr>
          <w:rFonts w:eastAsia="宋体" w:ascii="Times New Roman" w:hAnsi="Times New Roman" w:cs="宋体"/>
          <w:sz w:val="24"/>
          <w:szCs w:val="24"/>
        </w:rPr>
        <w:t>关键词：农村电商集群，资源编排理论，SEM，fsQCA</w:t>
      </w:r>
      <w:bookmarkStart w:id="15" w:name="_Toc355807472"/>
      <w:bookmarkStart w:id="16" w:name="_Toc355614274"/>
      <w:bookmarkStart w:id="17" w:name="_Toc355204233"/>
      <w:bookmarkStart w:id="18" w:name="_Toc355274958"/>
      <w:bookmarkStart w:id="19" w:name="_Toc355361238"/>
      <w:bookmarkStart w:id="20" w:name="_Toc355274224"/>
    </w:p>
    <w:p w14:paraId="3D99F343">
      <w:pPr>
        <w:spacing w:before="120" w:beforeLines="50" w:line="400" w:lineRule="exact"/>
        <w:ind w:firstLine="0" w:firstLineChars="0"/>
        <w:rPr>
          <w:szCs w:val="28"/>
        </w:rPr>
        <w:sectPr>
          <w:headerReference r:id="rId14" w:type="default"/>
          <w:footerReference r:id="rId16" w:type="default"/>
          <w:headerReference r:id="rId15" w:type="even"/>
          <w:pgSz w:w="11906" w:h="16838"/>
          <w:pgMar w:top="1701" w:right="1417" w:bottom="1417" w:left="1701" w:header="850" w:footer="992" w:gutter="0"/>
          <w:pgBorders>
            <w:top w:val="none" w:sz="0" w:space="0"/>
            <w:left w:val="none" w:sz="0" w:space="0"/>
            <w:bottom w:val="none" w:sz="0" w:space="0"/>
            <w:right w:val="none" w:sz="0" w:space="0"/>
          </w:pgBorders>
          <w:pgNumType w:fmt="upperRoman" w:start="1"/>
          <w:cols w:space="425" w:num="1"/>
          <w:docGrid w:linePitch="312" w:charSpace="0"/>
        </w:sectPr>
      </w:pPr>
    </w:p>
    <w:p w14:paraId="589AD8AB">
      <w:pPr>
        <w:spacing w:before="0" w:beforeLines="50" w:after="120" w:afterLines="100" w:line="400" w:lineRule="exact"/>
        <w:ind w:left="482" w:firstLineChars="0"/>
        <w:jc w:val="center"/>
        <w:rPr>
          <w:b/>
          <w:sz w:val="32"/>
          <w:szCs w:val="32"/>
        </w:rPr>
      </w:pPr>
      <w:bookmarkStart w:id="21" w:name="_Toc485048979"/>
      <w:bookmarkStart w:id="22" w:name="_Toc485389066"/>
      <w:bookmarkStart w:id="23" w:name="_Toc520240577"/>
      <w:bookmarkStart w:id="24" w:name="_Toc484182510"/>
      <w:bookmarkStart w:id="25" w:name="_Toc523697194"/>
      <w:r>
        <w:rPr>
          <w:rFonts w:eastAsia="黑体" w:ascii="Times New Roman" w:hAnsi="Times New Roman" w:cs="黑体"/>
          <w:b/>
          <w:sz w:val="28"/>
          <w:szCs w:val="28"/>
        </w:rPr>
        <w:t>Abstract</w:t>
      </w:r>
      <w:bookmarkEnd w:id="15"/>
      <w:bookmarkEnd w:id="16"/>
      <w:bookmarkEnd w:id="17"/>
      <w:bookmarkEnd w:id="18"/>
      <w:bookmarkEnd w:id="19"/>
      <w:bookmarkEnd w:id="20"/>
      <w:bookmarkEnd w:id="21"/>
      <w:bookmarkEnd w:id="22"/>
      <w:bookmarkEnd w:id="23"/>
      <w:bookmarkEnd w:id="24"/>
      <w:bookmarkEnd w:id="25"/>
    </w:p>
    <w:p w14:paraId="504D52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bookmarkStart w:id="26" w:name="OLE_LINK8"/>
      <w:r>
        <w:rPr>
          <w:rFonts w:ascii="Times New Roman" w:hAnsi="Times New Roman" w:eastAsia="宋体" w:cs="宋体"/>
          <w:color w:val="000000"/>
          <w:kern w:val="0"/>
          <w:sz w:val="24"/>
          <w:szCs w:val="24"/>
          <w:lang w:val="en-US" w:eastAsia="zh-CN" w:bidi="ar"/>
        </w:rPr>
        <w:t>Against the backdrop of in-depth integration between the digital economy and rural revitalization strategy, rural e-commerce clusters have become a core carrier for the transformation and upgrading of characteristic industries as well as regional economic growth in Yantai. At present, relying on local characteristic agricultural products, marine fisheries and other resources, rural e-commerce clusters in Yantai have achieved rapid development. Nevertheless, they still confront practical bottlenecks including uneven policy implementation, insufficient supply of professional talents, and inadequate application of digital technologies. Existing literature lacks localized empirical studies on Yantai’s e-commerce clusters, and most research only focuses on linear impacts of single factors, with insufficient exploration into the complex causal mechanisms driven by multi-factor interactions.</w:t>
      </w:r>
    </w:p>
    <w:p w14:paraId="32598A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Taking rural e-commerce clusters in Yantai as the research object, this paper adopts</w:t>
      </w:r>
      <w:r>
        <w:rPr>
          <w:rFonts w:ascii="Times New Roman" w:hAnsi="Times New Roman" w:eastAsia="宋体" w:cs="宋体"/>
          <w:bCs w:val="0"/>
          <w:color w:val="000000"/>
          <w:kern w:val="0"/>
          <w:sz w:val="24"/>
          <w:szCs w:val="24"/>
          <w:lang w:val="en-US" w:eastAsia="zh-CN" w:bidi="ar"/>
        </w:rPr>
        <w:t xml:space="preserve"> </w:t>
      </w:r>
      <w:r>
        <w:rPr>
          <w:rStyle w:val="36"/>
          <w:rFonts w:ascii="Times New Roman" w:hAnsi="Times New Roman" w:eastAsia="宋体" w:cs="宋体"/>
          <w:bCs w:val="0"/>
          <w:color w:val="000000"/>
          <w:kern w:val="0"/>
          <w:sz w:val="24"/>
          <w:szCs w:val="24"/>
          <w:lang w:val="en-US" w:eastAsia="zh-CN" w:bidi="ar"/>
        </w:rPr>
        <w:t>Resource Orchestration Theory (ROT)</w:t>
      </w:r>
      <w:r>
        <w:rPr>
          <w:rFonts w:ascii="Times New Roman" w:hAnsi="Times New Roman" w:eastAsia="宋体" w:cs="宋体"/>
          <w:bCs w:val="0"/>
          <w:color w:val="000000"/>
          <w:kern w:val="0"/>
          <w:sz w:val="24"/>
          <w:szCs w:val="24"/>
          <w:lang w:val="en-US" w:eastAsia="zh-CN" w:bidi="ar"/>
        </w:rPr>
        <w:t xml:space="preserve"> </w:t>
      </w:r>
      <w:r>
        <w:rPr>
          <w:rFonts w:ascii="Times New Roman" w:hAnsi="Times New Roman" w:eastAsia="宋体" w:cs="宋体"/>
          <w:color w:val="000000"/>
          <w:kern w:val="0"/>
          <w:sz w:val="24"/>
          <w:szCs w:val="24"/>
          <w:lang w:val="en-US" w:eastAsia="zh-CN" w:bidi="ar"/>
        </w:rPr>
        <w:t xml:space="preserve">as the core theoretical framework and the TOE framework for variable classification. It identifies six core influencing dimensions: government policy and cluster governance, talent support, infrastructure construction, technological innovation capability, local e-commerce platforms and digital skills, as well as natural environment and resource endowment. A three-level integrated analytical model of </w:t>
      </w:r>
      <w:r>
        <w:rPr>
          <w:rStyle w:val="39"/>
          <w:rFonts w:ascii="Times New Roman" w:hAnsi="Times New Roman" w:eastAsia="宋体" w:cs="宋体"/>
          <w:color w:val="000000"/>
          <w:kern w:val="0"/>
          <w:sz w:val="24"/>
          <w:szCs w:val="24"/>
          <w:lang w:val="en-US" w:eastAsia="zh-CN" w:bidi="ar"/>
        </w:rPr>
        <w:t>resource foundation – intermediary transformation – performance output</w:t>
      </w:r>
      <w:r>
        <w:rPr>
          <w:rFonts w:ascii="Times New Roman" w:hAnsi="Times New Roman" w:eastAsia="宋体" w:cs="宋体"/>
          <w:color w:val="000000"/>
          <w:kern w:val="0"/>
          <w:sz w:val="24"/>
          <w:szCs w:val="24"/>
          <w:lang w:val="en-US" w:eastAsia="zh-CN" w:bidi="ar"/>
        </w:rPr>
        <w:t xml:space="preserve"> is constructed. By employing the mixed research methods of Structural Equation Modeling (SEM) and fuzzy-set Qualitative Comparative Analysis (fsQCA), this study systematically explores the influencing mechanism and high-performance configuration paths of e-commerce cluster development.</w:t>
      </w:r>
    </w:p>
    <w:p w14:paraId="6C8CA9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Empirical results reveal that infrastructure construction and digital skills exert significant full mediating effects in two distinct influence chains respectively. Four equivalent development paths are identified via fsQCA: policy-infrastructure synergy path, talent-technology-infrastructure ternary path, technology-digital endogenous path, and resource-digital integration path.</w:t>
      </w:r>
    </w:p>
    <w:p w14:paraId="2ED62FD9">
      <w:pPr>
        <w:spacing w:line="400" w:lineRule="exact"/>
        <w:ind w:firstLine="480"/>
        <w:rPr>
          <w:rFonts w:ascii="宋体" w:hAnsi="宋体" w:eastAsia="宋体" w:cs="宋体"/>
          <w:sz w:val="24"/>
          <w:szCs w:val="24"/>
        </w:rPr>
      </w:pPr>
    </w:p>
    <w:bookmarkEnd w:id="26"/>
    <w:p w14:paraId="09860A86">
      <w:pPr>
        <w:spacing w:before="0" w:beforeLines="50" w:line="400" w:lineRule="exact" w:after="0"/>
        <w:ind/>
        <w:rPr>
          <w:color w:val="000000" w:themeColor="text1"/>
          <w:sz w:val="28"/>
          <w:szCs w:val="28"/>
          <w14:textFill>
            <w14:solidFill>
              <w14:schemeClr w14:val="tx1"/>
            </w14:solidFill>
          </w14:textFill>
        </w:rPr>
        <w:jc w:val="left"/>
      </w:pPr>
      <w:r>
        <w:rPr>
          <w:rFonts w:eastAsia="宋体" w:ascii="Times New Roman" w:hAnsi="Times New Roman" w:cs="宋体"/>
          <w:sz w:val="24"/>
          <w:szCs w:val="24"/>
        </w:rPr>
        <w:t xml:space="preserve">Key words: </w:t>
      </w:r>
      <w:r>
        <w:rPr>
          <w:rFonts w:hint="eastAsia" w:eastAsia="宋体" w:ascii="Times New Roman" w:hAnsi="Times New Roman" w:cs="宋体"/>
          <w:sz w:val="24"/>
          <w:szCs w:val="24"/>
          <w:lang w:val="en-US" w:eastAsia="zh-CN"/>
        </w:rPr>
        <w:t xml:space="preserve">Rural </w:t>
      </w:r>
      <w:r>
        <w:rPr>
          <w:rFonts w:eastAsia="宋体" w:ascii="Times New Roman" w:hAnsi="Times New Roman" w:cs="宋体"/>
          <w:sz w:val="24"/>
          <w:szCs w:val="24"/>
        </w:rPr>
        <w:t xml:space="preserve">Cluster E-commerce，Resource Orchestration Theory，Structural Equation Model，fsQCA </w:t>
      </w:r>
      <w:bookmarkStart w:id="27" w:name="OLE_LINK7"/>
      <w:bookmarkEnd w:id="27"/>
    </w:p>
    <w:p w14:paraId="2D2ADB1F">
      <w:pPr>
        <w:ind w:firstLine="0" w:firstLineChars="0"/>
        <w:rPr>
          <w:color w:val="000000" w:themeColor="text1"/>
          <w:sz w:val="28"/>
          <w:szCs w:val="28"/>
          <w14:textFill>
            <w14:solidFill>
              <w14:schemeClr w14:val="tx1"/>
            </w14:solidFill>
          </w14:textFill>
        </w:rPr>
        <w:sectPr>
          <w:headerReference r:id="rId17" w:type="default"/>
          <w:footerReference r:id="rId19" w:type="default"/>
          <w:headerReference r:id="rId18" w:type="even"/>
          <w:footerReference r:id="rId20" w:type="even"/>
          <w:pgSz w:w="11906" w:h="16838"/>
          <w:pgMar w:top="1701" w:right="1417" w:bottom="1417" w:left="1701" w:header="850" w:footer="992" w:gutter="0"/>
          <w:pgBorders>
            <w:top w:val="none" w:sz="0" w:space="0"/>
            <w:left w:val="none" w:sz="0" w:space="0"/>
            <w:bottom w:val="none" w:sz="0" w:space="0"/>
            <w:right w:val="none" w:sz="0" w:space="0"/>
          </w:pgBorders>
          <w:pgNumType w:fmt="upperRoman"/>
          <w:cols w:space="425" w:num="1"/>
          <w:docGrid w:linePitch="312" w:charSpace="0"/>
        </w:sectPr>
      </w:pPr>
    </w:p>
    <w:p w14:paraId="3012D2F4">
      <w:pPr>
        <w:spacing w:before="0" w:beforeLines="50" w:after="0" w:afterLines="100" w:line="400" w:lineRule="exact"/>
        <w:ind w:left="482" w:firstLine="480" w:firstLineChars="0"/>
        <w:jc w:val="both"/>
        <w:rPr>
          <w:rFonts w:ascii="Times New Roman" w:hAnsi="Times New Roman" w:eastAsia="宋体" w:cs="Times New Roman"/>
          <w:color w:val="000000"/>
          <w:kern w:val="2"/>
          <w:sz w:val="28"/>
          <w:szCs w:val="28"/>
          <w:lang w:val="en-US" w:eastAsia="zh-CN" w:bidi="ar-SA"/>
        </w:rPr>
      </w:pPr>
      <w:bookmarkStart w:id="28" w:name="_Toc523697195"/>
      <w:bookmarkStart w:id="29" w:name="_Toc485048980"/>
      <w:bookmarkStart w:id="30" w:name="_Toc355807473"/>
      <w:bookmarkStart w:id="31" w:name="_Toc520240578"/>
      <w:bookmarkStart w:id="32" w:name="_Toc355614275"/>
      <w:bookmarkStart w:id="33" w:name="_Toc485389067"/>
      <w:bookmarkStart w:id="34" w:name="_Toc484182511"/>
      <w:r>
        <w:rPr>
          <w:rFonts w:ascii="Times New Roman" w:hAnsi="Times New Roman" w:eastAsia="宋体" w:cs="宋体"/>
          <w:sz w:val="24"/>
          <w:szCs w:val="24"/>
        </w:rPr>
        <w:t>目   录</w:t>
      </w:r>
      <w:bookmarkEnd w:id="28"/>
      <w:bookmarkEnd w:id="29"/>
      <w:bookmarkEnd w:id="30"/>
      <w:bookmarkEnd w:id="31"/>
      <w:bookmarkEnd w:id="32"/>
      <w:bookmarkEnd w:id="33"/>
      <w:bookmarkEnd w:id="34"/>
      <w:r>
        <w:rPr>
          <w:rFonts w:eastAsia="宋体" w:ascii="Times New Roman" w:hAnsi="Times New Roman" w:cs="宋体"/>
          <w:color w:val="000000"/>
          <w:sz w:val="24"/>
          <w:szCs w:val="24"/>
        </w:rPr>
        <w:fldChar w:fldCharType="begin"/>
      </w:r>
      <w:r>
        <w:rPr>
          <w:rFonts w:eastAsia="宋体" w:ascii="Times New Roman" w:hAnsi="Times New Roman" w:cs="宋体"/>
          <w:color w:val="000000"/>
          <w:sz w:val="24"/>
          <w:szCs w:val="24"/>
        </w:rPr>
        <w:instrText xml:space="preserve"> TOC \o "1-2" \h \z \u </w:instrText>
      </w:r>
      <w:r>
        <w:rPr>
          <w:rFonts w:eastAsia="宋体" w:ascii="Times New Roman" w:hAnsi="Times New Roman" w:cs="宋体"/>
          <w:color w:val="000000"/>
          <w:sz w:val="24"/>
          <w:szCs w:val="24"/>
        </w:rPr>
        <w:fldChar w:fldCharType="separate"/>
      </w:r>
    </w:p>
    <w:p>
      <w:pPr>
        <w:pStyle w:val="24"/>
      </w:pPr>
      <w:r>
        <w:t xml:space="preserve">第一章 绪论</w:t>
      </w:r>
      <w:r>
        <w:tab/>
      </w:r>
      <w:r>
        <w:t>1</w:t>
      </w:r>
    </w:p>
    <w:p>
      <w:pPr>
        <w:pStyle w:val="26"/>
      </w:pPr>
      <w:r>
        <w:t xml:space="preserve">1.1研究背景及意义</w:t>
      </w:r>
      <w:r>
        <w:tab/>
      </w:r>
      <w:r>
        <w:t>1</w:t>
      </w:r>
    </w:p>
    <w:p>
      <w:pPr>
        <w:pStyle w:val="26"/>
      </w:pPr>
      <w:r>
        <w:t xml:space="preserve">1.2国内外研究现状</w:t>
      </w:r>
      <w:r>
        <w:tab/>
      </w:r>
      <w:r>
        <w:t>2</w:t>
      </w:r>
    </w:p>
    <w:p>
      <w:pPr>
        <w:pStyle w:val="26"/>
      </w:pPr>
      <w:r>
        <w:t xml:space="preserve">1.3研究内容</w:t>
      </w:r>
      <w:r>
        <w:tab/>
      </w:r>
      <w:r>
        <w:t>5</w:t>
      </w:r>
    </w:p>
    <w:p>
      <w:pPr>
        <w:pStyle w:val="26"/>
      </w:pPr>
      <w:r>
        <w:t xml:space="preserve">1.4研究创新点</w:t>
      </w:r>
      <w:r>
        <w:tab/>
      </w:r>
      <w:r>
        <w:t>6</w:t>
      </w:r>
    </w:p>
    <w:p>
      <w:pPr>
        <w:pStyle w:val="26"/>
      </w:pPr>
      <w:r>
        <w:t xml:space="preserve">1.5研究方法与技术路线</w:t>
      </w:r>
      <w:r>
        <w:tab/>
      </w:r>
      <w:r>
        <w:t>7</w:t>
      </w:r>
    </w:p>
    <w:p>
      <w:pPr>
        <w:pStyle w:val="24"/>
      </w:pPr>
      <w:r>
        <w:t xml:space="preserve">第二章 理论基础</w:t>
      </w:r>
      <w:r>
        <w:tab/>
      </w:r>
      <w:r>
        <w:t>8</w:t>
      </w:r>
    </w:p>
    <w:p>
      <w:pPr>
        <w:pStyle w:val="26"/>
      </w:pPr>
      <w:r>
        <w:t xml:space="preserve">2.1核心概念界定</w:t>
      </w:r>
      <w:r>
        <w:tab/>
      </w:r>
      <w:r>
        <w:t>8</w:t>
      </w:r>
    </w:p>
    <w:p>
      <w:pPr>
        <w:pStyle w:val="26"/>
      </w:pPr>
      <w:r>
        <w:t xml:space="preserve">2.2理论基础</w:t>
      </w:r>
      <w:r>
        <w:tab/>
      </w:r>
      <w:r>
        <w:t>9</w:t>
      </w:r>
    </w:p>
    <w:p>
      <w:pPr>
        <w:pStyle w:val="24"/>
      </w:pPr>
      <w:r>
        <w:t xml:space="preserve">第三章 研究设计</w:t>
      </w:r>
      <w:r>
        <w:tab/>
      </w:r>
      <w:r>
        <w:t>11</w:t>
      </w:r>
    </w:p>
    <w:p>
      <w:pPr>
        <w:pStyle w:val="26"/>
      </w:pPr>
      <w:r>
        <w:t xml:space="preserve">3.1理论模型构建</w:t>
      </w:r>
      <w:r>
        <w:tab/>
      </w:r>
      <w:r>
        <w:t>11</w:t>
      </w:r>
    </w:p>
    <w:p>
      <w:pPr>
        <w:pStyle w:val="26"/>
      </w:pPr>
      <w:r>
        <w:t xml:space="preserve">3.2研究假设提出</w:t>
      </w:r>
      <w:r>
        <w:tab/>
      </w:r>
      <w:r>
        <w:t>12</w:t>
      </w:r>
    </w:p>
    <w:p>
      <w:pPr>
        <w:pStyle w:val="26"/>
      </w:pPr>
      <w:r>
        <w:t xml:space="preserve">3.3问卷设计与变量测量</w:t>
      </w:r>
      <w:r>
        <w:tab/>
      </w:r>
      <w:r>
        <w:t>14</w:t>
      </w:r>
    </w:p>
    <w:p>
      <w:pPr>
        <w:pStyle w:val="26"/>
      </w:pPr>
      <w:r>
        <w:t xml:space="preserve">3.4数据收集方案</w:t>
      </w:r>
      <w:r>
        <w:tab/>
      </w:r>
      <w:r>
        <w:t>16</w:t>
      </w:r>
    </w:p>
    <w:p>
      <w:pPr>
        <w:pStyle w:val="26"/>
      </w:pPr>
      <w:r>
        <w:t xml:space="preserve">3.5数据分析方法设计</w:t>
      </w:r>
      <w:r>
        <w:tab/>
      </w:r>
      <w:r>
        <w:t>17</w:t>
      </w:r>
    </w:p>
    <w:p>
      <w:pPr>
        <w:pStyle w:val="26"/>
      </w:pPr>
      <w:r>
        <w:t xml:space="preserve">3.6预调研结果分析</w:t>
      </w:r>
      <w:r>
        <w:tab/>
      </w:r>
      <w:r>
        <w:t>20</w:t>
      </w:r>
    </w:p>
    <w:p>
      <w:pPr>
        <w:pStyle w:val="24"/>
      </w:pPr>
      <w:r>
        <w:t xml:space="preserve">第四章 结构方程模型（SEM）分析</w:t>
      </w:r>
      <w:r>
        <w:tab/>
      </w:r>
      <w:r>
        <w:t>24</w:t>
      </w:r>
    </w:p>
    <w:p>
      <w:pPr>
        <w:pStyle w:val="26"/>
      </w:pPr>
      <w:r>
        <w:t xml:space="preserve">4.1描述性统计分析</w:t>
      </w:r>
      <w:r>
        <w:tab/>
      </w:r>
      <w:r>
        <w:t>24</w:t>
      </w:r>
    </w:p>
    <w:p>
      <w:r>
        <w:rPr>
          <w:rFonts w:ascii="宋体" w:hAnsi="宋体"/>
          <w:sz w:val="24"/>
        </w:rPr>
        <w:t>本研究通过问卷调查收集了508份有效样本，对样本特征和各测量题项进行描述性统计分析。首先对调研样本的基本特征进行统计分析，了解样本的人口统计学分布情况；其次对各测量题项的均值、标准差和方差进行统计，初步了解各变量的分布特征。</w:t>
      </w:r>
    </w:p>
    <w:p>
      <w:pPr>
        <w:jc w:val="center"/>
      </w:pPr>
      <w:r>
        <w:rPr>
          <w:rFonts w:ascii="宋体" w:hAnsi="宋体"/>
          <w:sz w:val="21"/>
        </w:rPr>
        <w:t>表4-1 调研样本特征描述统计</w:t>
      </w:r>
    </w:p>
    <w:p>
      <w:pPr>
        <w:pStyle w:val="26"/>
      </w:pPr>
      <w:r>
        <w:t xml:space="preserve">4.2信度与效度检验</w:t>
      </w:r>
      <w:r>
        <w:tab/>
      </w:r>
      <w:r>
        <w:t>26</w:t>
      </w:r>
    </w:p>
    <w:p>
      <w:pPr>
        <w:pStyle w:val="26"/>
      </w:pPr>
      <w:r>
        <w:t xml:space="preserve">4.3结构方程模型分析</w:t>
      </w:r>
      <w:r>
        <w:tab/>
      </w:r>
      <w:r>
        <w:t>29</w:t>
      </w:r>
    </w:p>
    <w:p>
      <w:pPr>
        <w:pStyle w:val="26"/>
      </w:pPr>
      <w:r>
        <w:t xml:space="preserve">4.4 Bootstrap中介效应检验</w:t>
      </w:r>
      <w:r>
        <w:tab/>
      </w:r>
      <w:r>
        <w:t>33</w:t>
      </w:r>
    </w:p>
    <w:p>
      <w:pPr>
        <w:pStyle w:val="26"/>
      </w:pPr>
      <w:r>
        <w:t xml:space="preserve">4.5本章小结</w:t>
      </w:r>
      <w:r>
        <w:tab/>
      </w:r>
      <w:r>
        <w:t>35</w:t>
      </w:r>
    </w:p>
    <w:p>
      <w:pPr>
        <w:pStyle w:val="24"/>
      </w:pPr>
      <w:r>
        <w:t xml:space="preserve">第五章 模糊集定性比较分析（fsQCA）</w:t>
      </w:r>
      <w:r>
        <w:tab/>
      </w:r>
      <w:r>
        <w:t>37</w:t>
      </w:r>
    </w:p>
    <w:p>
      <w:pPr>
        <w:pStyle w:val="26"/>
      </w:pPr>
      <w:r>
        <w:t xml:space="preserve">5.1 fsQCA方法说明</w:t>
      </w:r>
      <w:r>
        <w:tab/>
      </w:r>
      <w:r>
        <w:t>37</w:t>
      </w:r>
    </w:p>
    <w:p>
      <w:pPr>
        <w:pStyle w:val="26"/>
      </w:pPr>
      <w:r>
        <w:t xml:space="preserve">5.2数据校准</w:t>
      </w:r>
      <w:r>
        <w:tab/>
      </w:r>
      <w:r>
        <w:t>38</w:t>
      </w:r>
    </w:p>
    <w:p>
      <w:pPr>
        <w:pStyle w:val="26"/>
      </w:pPr>
      <w:r>
        <w:t xml:space="preserve">5.3单变量必要性分析</w:t>
      </w:r>
      <w:r>
        <w:tab/>
      </w:r>
      <w:r>
        <w:t>40</w:t>
      </w:r>
    </w:p>
    <w:p>
      <w:pPr>
        <w:pStyle w:val="26"/>
      </w:pPr>
      <w:r>
        <w:t xml:space="preserve">5.4充分性分析与组态结果</w:t>
      </w:r>
      <w:r>
        <w:tab/>
      </w:r>
      <w:r>
        <w:t>41</w:t>
      </w:r>
    </w:p>
    <w:p>
      <w:pPr>
        <w:pStyle w:val="26"/>
      </w:pPr>
      <w:r>
        <w:t xml:space="preserve">5.5稳健性检验</w:t>
      </w:r>
      <w:r>
        <w:tab/>
      </w:r>
      <w:r>
        <w:t>45</w:t>
      </w:r>
    </w:p>
    <w:p>
      <w:pPr>
        <w:pStyle w:val="26"/>
      </w:pPr>
      <w:r>
        <w:t xml:space="preserve">5.6本章小结</w:t>
      </w:r>
      <w:r>
        <w:tab/>
      </w:r>
      <w:r>
        <w:t>47</w:t>
      </w:r>
    </w:p>
    <w:p>
      <w:pPr>
        <w:pStyle w:val="24"/>
      </w:pPr>
      <w:r>
        <w:t xml:space="preserve">第六章 研究结论与对策建议</w:t>
      </w:r>
      <w:r>
        <w:tab/>
      </w:r>
      <w:r>
        <w:t>49</w:t>
      </w:r>
    </w:p>
    <w:p>
      <w:pPr>
        <w:pStyle w:val="26"/>
      </w:pPr>
      <w:r>
        <w:t xml:space="preserve">6.1研究结论</w:t>
      </w:r>
      <w:r>
        <w:tab/>
      </w:r>
      <w:r>
        <w:t>49</w:t>
      </w:r>
    </w:p>
    <w:p>
      <w:pPr>
        <w:pStyle w:val="26"/>
      </w:pPr>
      <w:r>
        <w:t xml:space="preserve">6.2发展对策建议</w:t>
      </w:r>
      <w:r>
        <w:tab/>
      </w:r>
      <w:r>
        <w:t>52</w:t>
      </w:r>
    </w:p>
    <w:p>
      <w:pPr>
        <w:pStyle w:val="26"/>
      </w:pPr>
      <w:r>
        <w:t xml:space="preserve">6.3研究不足与未来展望</w:t>
      </w:r>
      <w:r>
        <w:tab/>
      </w:r>
      <w:r>
        <w:t>54</w:t>
      </w:r>
    </w:p>
    <w:p>
      <w:pPr>
        <w:pStyle w:val="24"/>
      </w:pPr>
      <w:r>
        <w:t xml:space="preserve">参考文献</w:t>
      </w:r>
      <w:r>
        <w:tab/>
      </w:r>
      <w:r>
        <w:t>57</w:t>
      </w:r>
    </w:p>
    <w:p>
      <w:pPr>
        <w:pStyle w:val="24"/>
      </w:pPr>
      <w:r>
        <w:t xml:space="preserve">致谢</w:t>
      </w:r>
      <w:r>
        <w:tab/>
      </w:r>
      <w:r>
        <w:t>60</w:t>
      </w:r>
    </w:p>
    <w:p w14:paraId="69530E30">
      <w:pPr>
        <w:ind w:firstLine="0" w:firstLineChars="0"/>
      </w:pPr>
    </w:p>
    <w:p w14:paraId="62EC1C83">
      <w:pPr>
        <w:ind w:firstLine="0" w:firstLineChars="0"/>
        <w:sectPr>
          <w:pgSz w:w="11906" w:h="16838"/>
          <w:pgMar w:top="1701" w:right="1417" w:bottom="1417" w:left="1701" w:header="850" w:footer="992" w:gutter="0"/>
          <w:pgBorders>
            <w:top w:val="none" w:sz="0" w:space="0"/>
            <w:left w:val="none" w:sz="0" w:space="0"/>
            <w:bottom w:val="none" w:sz="0" w:space="0"/>
            <w:right w:val="none" w:sz="0" w:space="0"/>
          </w:pgBorders>
          <w:pgNumType w:fmt="upperRoman"/>
          <w:cols w:space="425" w:num="1"/>
          <w:docGrid w:linePitch="312" w:charSpace="0"/>
        </w:sectPr>
      </w:pPr>
    </w:p>
    <w:p w14:paraId="38BD0E06">
      <w:pPr>
        <w:spacing w:before="0" w:beforeLines="50" w:after="120" w:afterLines="100" w:line="400" w:lineRule="exact"/>
        <w:ind w:left="482" w:firstLineChars="0"/>
        <w:jc w:val="center"/>
        <w:rPr>
          <w:rFonts w:ascii="黑体" w:hAnsi="黑体" w:eastAsia="黑体"/>
          <w:b/>
          <w:sz w:val="32"/>
          <w:szCs w:val="32"/>
        </w:rPr>
      </w:pPr>
      <w:bookmarkStart w:id="35" w:name="_Toc523697196"/>
      <w:r>
        <w:rPr>
          <w:rFonts w:hint="eastAsia" w:ascii="Times New Roman" w:hAnsi="Times New Roman" w:eastAsia="黑体" w:cs="黑体"/>
          <w:b/>
          <w:sz w:val="28"/>
          <w:szCs w:val="28"/>
        </w:rPr>
        <w:t>插图</w:t>
      </w:r>
      <w:r>
        <w:rPr>
          <w:rFonts w:ascii="Times New Roman" w:hAnsi="Times New Roman" w:eastAsia="黑体" w:cs="黑体"/>
          <w:b/>
          <w:sz w:val="28"/>
          <w:szCs w:val="28"/>
        </w:rPr>
        <w:t>和附表清单</w:t>
      </w:r>
      <w:bookmarkEnd w:id="35"/>
    </w:p>
    <w:p w14:paraId="6CCA001B">
      <w:pPr>
        <w:ind w:firstLine="0" w:firstLineChars="0"/>
      </w:pPr>
    </w:p>
    <w:p w14:paraId="38D1A2C2">
      <w:pPr>
        <w:ind w:firstLine="0" w:firstLineChars="0"/>
        <w:sectPr>
          <w:pgSz w:w="11906" w:h="16838"/>
          <w:pgMar w:top="1701" w:right="1417" w:bottom="1417" w:left="1701" w:header="850" w:footer="992" w:gutter="0"/>
          <w:pgBorders>
            <w:top w:val="none" w:sz="0" w:space="0"/>
            <w:left w:val="none" w:sz="0" w:space="0"/>
            <w:bottom w:val="none" w:sz="0" w:space="0"/>
            <w:right w:val="none" w:sz="0" w:space="0"/>
          </w:pgBorders>
          <w:pgNumType w:fmt="upperRoman"/>
          <w:cols w:space="425" w:num="1"/>
          <w:docGrid w:linePitch="312" w:charSpace="0"/>
        </w:sectPr>
      </w:pPr>
    </w:p>
    <w:p w14:paraId="0FA496C6">
      <w:pPr>
        <w:spacing w:before="0" w:beforeLines="50" w:after="120" w:afterLines="100" w:line="400" w:lineRule="exact"/>
        <w:ind w:left="482" w:firstLineChars="0"/>
        <w:jc w:val="center"/>
        <w:rPr>
          <w:rFonts w:ascii="黑体" w:hAnsi="黑体" w:eastAsia="黑体"/>
          <w:b/>
          <w:sz w:val="32"/>
          <w:szCs w:val="32"/>
        </w:rPr>
      </w:pPr>
      <w:bookmarkStart w:id="36" w:name="_Toc523697197"/>
      <w:r>
        <w:rPr>
          <w:rFonts w:hint="eastAsia" w:ascii="Times New Roman" w:hAnsi="Times New Roman" w:eastAsia="黑体" w:cs="黑体"/>
          <w:b/>
          <w:sz w:val="28"/>
          <w:szCs w:val="28"/>
        </w:rPr>
        <w:t>主要</w:t>
      </w:r>
      <w:r>
        <w:rPr>
          <w:rFonts w:ascii="Times New Roman" w:hAnsi="Times New Roman" w:eastAsia="黑体" w:cs="黑体"/>
          <w:b/>
          <w:sz w:val="28"/>
          <w:szCs w:val="28"/>
        </w:rPr>
        <w:t>符号</w:t>
      </w:r>
      <w:r>
        <w:rPr>
          <w:rFonts w:hint="eastAsia" w:ascii="Times New Roman" w:hAnsi="Times New Roman" w:eastAsia="黑体" w:cs="黑体"/>
          <w:b/>
          <w:sz w:val="28"/>
          <w:szCs w:val="28"/>
        </w:rPr>
        <w:t>和术语</w:t>
      </w:r>
      <w:r>
        <w:rPr>
          <w:rFonts w:ascii="Times New Roman" w:hAnsi="Times New Roman" w:eastAsia="黑体" w:cs="黑体"/>
          <w:b/>
          <w:sz w:val="28"/>
          <w:szCs w:val="28"/>
        </w:rPr>
        <w:t>表</w:t>
      </w:r>
      <w:bookmarkEnd w:id="36"/>
    </w:p>
    <w:p w14:paraId="3C44042A">
      <w:pPr>
        <w:ind w:firstLine="0" w:firstLineChars="0"/>
      </w:pPr>
    </w:p>
    <w:p w14:paraId="13F8E379">
      <w:pPr>
        <w:ind w:firstLine="0" w:firstLineChars="0"/>
      </w:pPr>
    </w:p>
    <w:p w14:paraId="78966E40">
      <w:pPr>
        <w:ind w:firstLine="0" w:firstLineChars="0"/>
        <w:sectPr>
          <w:pgSz w:w="11906" w:h="16838"/>
          <w:pgMar w:top="1701" w:right="1417" w:bottom="1417" w:left="1701" w:header="850" w:footer="992" w:gutter="0"/>
          <w:pgBorders>
            <w:top w:val="none" w:sz="0" w:space="0"/>
            <w:left w:val="none" w:sz="0" w:space="0"/>
            <w:bottom w:val="none" w:sz="0" w:space="0"/>
            <w:right w:val="none" w:sz="0" w:space="0"/>
          </w:pgBorders>
          <w:pgNumType w:fmt="upperRoman"/>
          <w:cols w:space="425" w:num="1"/>
          <w:docGrid w:linePitch="312" w:charSpace="0"/>
        </w:sectPr>
      </w:pPr>
    </w:p>
    <w:p w14:paraId="556CD14C">
      <w:pPr>
        <w:pStyle w:val="2"/>
        <w:spacing w:line="400" w:lineRule="exact" w:before="0" w:after="0"/>
        <w:rPr>
          <w:rFonts w:hint="eastAsia" w:eastAsia="黑体"/>
          <w:lang w:eastAsia="zh-CN"/>
        </w:rPr>
        <w:jc w:val="both"/>
      </w:pPr>
      <w:bookmarkStart w:id="37" w:name="_Toc25734"/>
      <w:r>
        <w:rPr>
          <w:b/>
          <w:rFonts w:hint="eastAsia" w:eastAsia="黑体" w:ascii="Times New Roman" w:hAnsi="Times New Roman" w:cs="黑体"/>
          <w:lang w:val="en-US" w:eastAsia="zh-CN"/>
          <w:sz w:val="32"/>
          <w:szCs w:val="32"/>
        </w:rPr>
        <w:t>第一章 绪论</w:t>
      </w:r>
      <w:bookmarkEnd w:id="37"/>
    </w:p>
    <w:p w14:paraId="0E4E258C">
      <w:pPr>
        <w:pStyle w:val="3"/>
        <w:spacing w:before="240" w:after="240" w:line="400" w:lineRule="exact"/>
        <w:ind w:firstLine="0" w:firstLineChars="0"/>
        <w:rPr>
          <w:rFonts w:hint="eastAsia"/>
          <w:szCs w:val="21"/>
          <w:lang w:val="en-US" w:eastAsia="zh-CN"/>
        </w:rPr>
        <w:jc w:val="both"/>
      </w:pPr>
      <w:bookmarkStart w:id="38" w:name="_Toc21158"/>
      <w:r>
        <w:rPr>
          <w:b/>
          <w:rFonts w:eastAsia="黑体" w:ascii="Times New Roman" w:hAnsi="Times New Roman" w:cs="黑体"/>
          <w:szCs w:val="28"/>
          <w:lang w:val="en-US"/>
          <w:sz w:val="28"/>
        </w:rPr>
        <w:t>1.1研究背景及意义</w:t>
      </w:r>
      <w:bookmarkEnd w:id="38"/>
    </w:p>
    <w:p w14:paraId="2F5C4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当前，数字经济已成为驱动我国经济高质量发展的重要引擎。《中华人民共和国国民经济和社会发展第十</w:t>
      </w:r>
      <w:r>
        <w:rPr>
          <w:rFonts w:hint="eastAsia" w:ascii="Times New Roman" w:hAnsi="Times New Roman" w:cs="宋体" w:eastAsia="宋体"/>
          <w:color w:val="000000"/>
          <w:kern w:val="0"/>
          <w:sz w:val="24"/>
          <w:szCs w:val="24"/>
          <w:lang w:val="en-US" w:eastAsia="zh-CN" w:bidi="ar"/>
        </w:rPr>
        <w:t>五</w:t>
      </w:r>
      <w:r>
        <w:rPr>
          <w:rFonts w:ascii="Times New Roman" w:hAnsi="Times New Roman" w:eastAsia="宋体" w:cs="宋体"/>
          <w:color w:val="000000"/>
          <w:kern w:val="0"/>
          <w:sz w:val="24"/>
          <w:szCs w:val="24"/>
          <w:lang w:val="en-US" w:eastAsia="zh-CN" w:bidi="ar"/>
        </w:rPr>
        <w:t>个五年规划》明确提出</w:t>
      </w:r>
      <w:r>
        <w:rPr>
          <w:rFonts w:hint="eastAsia" w:ascii="Times New Roman" w:hAnsi="Times New Roman" w:cs="宋体" w:eastAsia="宋体"/>
          <w:color w:val="000000"/>
          <w:kern w:val="0"/>
          <w:sz w:val="24"/>
          <w:szCs w:val="24"/>
          <w:lang w:val="en-US" w:eastAsia="zh-CN" w:bidi="ar"/>
        </w:rPr>
        <w:t>“壮大</w:t>
      </w:r>
      <w:r>
        <w:rPr>
          <w:rFonts w:ascii="Times New Roman" w:hAnsi="Times New Roman" w:eastAsia="宋体" w:cs="宋体"/>
          <w:color w:val="000000"/>
          <w:kern w:val="0"/>
          <w:sz w:val="24"/>
          <w:szCs w:val="24"/>
          <w:lang w:val="en-US" w:eastAsia="zh-CN" w:bidi="ar"/>
        </w:rPr>
        <w:t>数字</w:t>
      </w:r>
      <w:r>
        <w:rPr>
          <w:rFonts w:hint="eastAsia" w:ascii="Times New Roman" w:hAnsi="Times New Roman" w:cs="宋体" w:eastAsia="宋体"/>
          <w:color w:val="000000"/>
          <w:kern w:val="0"/>
          <w:sz w:val="24"/>
          <w:szCs w:val="24"/>
          <w:lang w:val="en-US" w:eastAsia="zh-CN" w:bidi="ar"/>
        </w:rPr>
        <w:t>经济核心产业”“深入推进数字中国建设”</w:t>
      </w:r>
      <w:r>
        <w:rPr>
          <w:rFonts w:ascii="Times New Roman" w:hAnsi="Times New Roman" w:eastAsia="宋体" w:cs="宋体"/>
          <w:color w:val="000000"/>
          <w:kern w:val="0"/>
          <w:sz w:val="24"/>
          <w:szCs w:val="24"/>
          <w:lang w:val="en-US" w:eastAsia="zh-CN" w:bidi="ar"/>
        </w:rPr>
        <w:t>，数字经济与实体产业的深度融合已成为国家战略方向。电子商务作为数字经济的核心业态，正从分散化经营向集群化、生态化方向加速演进，农村电商集群已成为激活县域经济、推动乡村产业振兴的重要抓手。</w:t>
      </w:r>
    </w:p>
    <w:p w14:paraId="56AED6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党的二十大报告明确提出"全面推进乡村振兴""加快建设农业强国"的战略目标，农村电商被纳入乡村产业振兴的核心政策工具体系。国家商务部相继推出电子商务进农村综合示范工程、农村电商高质量发展工程等专项政策，从资金、平台、人才、物流等多维度系统支持农村电商集群发展。2024年，国务院办公厅印发《关于促进农村电商高质量发展的指导意见》，进一步强化了政策支撑体系。烟台市亦出台《烟台市数字经济发展规划》《烟台市2026年促进经济“稳中求进、提质增效”政策清单》等配套政策，积极推动电商产业集群化发展，截至2025年底，烟台已培育省级电商示范镇22个、示范村86个，电商集群化格局初步形成。</w:t>
      </w:r>
    </w:p>
    <w:p w14:paraId="6D4EB7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烟台作为胶东半岛经济圈的核心城市，拥有栖霞苹果、蓬莱葡萄酒、长岛海产等具有全国影响力的特色产业资源，为农村电商集群的形成与发展奠定了坚实的物质基础。然而，烟台农村电商集群发展面临三方面突出问题：</w:t>
      </w:r>
      <w:r>
        <w:rPr>
          <w:rFonts w:ascii="Times New Roman" w:hAnsi="Times New Roman" w:eastAsia="宋体" w:cs="宋体"/>
          <w:color w:val="auto"/>
          <w:kern w:val="0"/>
          <w:sz w:val="24"/>
          <w:szCs w:val="24"/>
          <w:highlight w:val="yellow"/>
          <w:lang w:val="en-US" w:eastAsia="zh-CN" w:bidi="ar"/>
        </w:rPr>
        <w:t>一是政策落地与产业需求之间存在错位，集群内部治理机制尚不健全；二是专业电商运营人才稀缺，从业者数字技能水平参差不齐，制约集群整体运营效能；三是现有研究多聚焦南方电商发达地区，针对烟台北方沿海特色产业产区的本土化实证研究极为匮乏，多因素联动驱动集群发展的复杂因果机制尚待厘清。</w:t>
      </w:r>
      <w:r>
        <w:rPr>
          <w:rFonts w:ascii="Times New Roman" w:hAnsi="Times New Roman" w:eastAsia="宋体" w:cs="宋体"/>
          <w:color w:val="000000"/>
          <w:kern w:val="0"/>
          <w:sz w:val="24"/>
          <w:szCs w:val="24"/>
          <w:lang w:val="en-US" w:eastAsia="zh-CN" w:bidi="ar"/>
        </w:rPr>
        <w:t>上述问题的存在，制约了烟台农村电商集群的高质量、可持续发展，亟需通过系统性的实证研究加以解答。本文的研究，正是回应这一现实需求的具体尝试。</w:t>
      </w:r>
    </w:p>
    <w:p w14:paraId="52284011">
      <w:pPr>
        <w:spacing w:before="0" w:after="0" w:line="400" w:lineRule="exact"/>
        <w:jc w:val="both"/>
        <w:ind w:firstLine="480"/>
      </w:pPr>
      <w:r>
        <w:rPr>
          <w:rFonts w:eastAsia="宋体" w:ascii="Times New Roman" w:hAnsi="Times New Roman" w:cs="宋体"/>
          <w:sz w:val="24"/>
          <w:szCs w:val="24"/>
        </w:rPr>
        <w:t>从理论意义而言，本文以烟台北方沿海特色产业产区为研究样本，填补了现有农村电商集群研究的区域空白；引入资源编排理论解释集群电商发展中多维资源整合转化的内在机制，拓展了该理论在区域产业集群领域的应用边界；构建包含资源基底、中介转化、绩效产出三层次的整合分析模型，完善了集群电商发展影响因素的理论解释框架。</w:t>
      </w:r>
    </w:p>
    <w:p w14:paraId="6541A19C">
      <w:pPr>
        <w:spacing w:before="0" w:after="0" w:line="400" w:lineRule="exact"/>
        <w:jc w:val="both"/>
        <w:ind w:firstLine="480"/>
      </w:pPr>
      <w:r>
        <w:rPr>
          <w:rFonts w:eastAsia="宋体" w:ascii="Times New Roman" w:hAnsi="Times New Roman" w:cs="宋体"/>
          <w:sz w:val="24"/>
          <w:szCs w:val="24"/>
        </w:rPr>
        <w:t>从实践意义而言，本文明确了各维度因素对集群电商发展的影响程度与作用路径，能够帮助烟台地方政府精准施策，优化政策扶持、基建投入、人才培育等工作的针对性与有效性；识别的多元等效组态路径，能够为不同类型、不同发展阶段的集群提供差异化的发展策略参考，为电商经营主体的发展决策提供实证依据。</w:t>
      </w:r>
    </w:p>
    <w:p w14:paraId="71638217">
      <w:pPr>
        <w:pStyle w:val="3"/>
        <w:spacing w:before="240" w:after="240" w:line="400" w:lineRule="exact"/>
        <w:ind w:firstLine="0" w:firstLineChars="0"/>
        <w:rPr>
          <w:rFonts w:hint="eastAsia"/>
          <w:szCs w:val="21"/>
          <w:lang w:val="en-US" w:eastAsia="zh-CN"/>
        </w:rPr>
        <w:jc w:val="both"/>
      </w:pPr>
      <w:bookmarkStart w:id="39" w:name="_Toc2208"/>
      <w:r>
        <w:rPr>
          <w:b/>
          <w:rFonts w:eastAsia="黑体" w:ascii="Times New Roman" w:hAnsi="Times New Roman" w:cs="黑体"/>
          <w:szCs w:val="28"/>
          <w:lang w:val="en-US"/>
          <w:sz w:val="28"/>
        </w:rPr>
        <w:t>1.2国内外研究现状</w:t>
      </w:r>
    </w:p>
    <w:p w14:paraId="2E1321F4">
      <w:pPr>
        <w:pStyle w:val="4"/>
        <w:spacing w:before="0" w:after="0" w:line="400" w:lineRule="exact"/>
        <w:ind w:firstLine="0" w:firstLineChars="0"/>
        <w:rPr>
          <w:rFonts w:hint="eastAsia"/>
          <w:szCs w:val="21"/>
          <w:lang w:val="en-US" w:eastAsia="zh-CN"/>
        </w:rPr>
        <w:jc w:val="both"/>
      </w:pPr>
      <w:r>
        <w:rPr>
          <w:b/>
          <w:rFonts w:eastAsia="黑体" w:ascii="Times New Roman" w:hAnsi="Times New Roman" w:cs="黑体"/>
          <w:sz w:val="24"/>
          <w:szCs w:val="24"/>
        </w:rPr>
        <w:t>1.2.1集群电商发展相关研究</w:t>
      </w:r>
    </w:p>
    <w:p w14:paraId="0CA002DD">
      <w:pPr>
        <w:spacing w:before="0" w:after="0" w:line="400" w:lineRule="exact"/>
        <w:ind w:firstLine="480" w:firstLineChars="0"/>
        <w:rPr>
          <w:rFonts w:hint="eastAsia"/>
          <w:szCs w:val="21"/>
          <w:highlight w:val="yellow"/>
          <w:lang w:val="en-US" w:eastAsia="zh-CN"/>
        </w:rPr>
        <w:jc w:val="both"/>
      </w:pPr>
      <w:r>
        <w:rPr>
          <w:rFonts w:eastAsia="宋体" w:ascii="Times New Roman" w:hAnsi="Times New Roman" w:cs="宋体"/>
          <w:sz w:val="24"/>
          <w:szCs w:val="24"/>
        </w:rPr>
        <w:t>国外关于集群电商的研究，最早可追溯至产业集群理论在数字经济领域的延伸应用，研究视角涵盖集群概念建构、竞争优势形成、生态系统演化及政策驱动效应等多个维度。在概念建构层面，</w:t>
      </w:r>
      <w:r>
        <w:rPr>
          <w:rFonts w:eastAsia="宋体" w:ascii="Times New Roman" w:hAnsi="Times New Roman" w:cs="宋体"/>
          <w:highlight w:val="yellow"/>
          <w:sz w:val="24"/>
          <w:szCs w:val="24"/>
        </w:rPr>
        <w:t>Porto等（2021）通过对巴西农村电商集聚区域的田野调查，将集群电商界定为“依托数字平台、在特定地域范围内以特色产业为核心、由相互关联的电商经营主体与配套机构共同构成的空间集聚体”，并指出其核心价值在于降低中小经营主体的市场准入门槛，推动小生产与大市场的有效对接。在集群竞争优势层面，Tan等（2022）的研究表明，电商集群内部的专业化分工与协作网络能够显著提升集群整体的市场响应能力与规模效益，形成单一主体难以复制的集群竞争优势；Boix-Domenech与Galletto（2009）基于欧洲工业区数据进一步指出，集群内部的知识溢出效应是持续提升集群整体创新能力的重要机制，这一逻辑对于理解农村电商集群的技术扩散与能力提升具有参照价值。在集群生态系统层面，Spigel与Harrison（2018）从创业生态系统视角指出，制度环境、社会资本与知识溢出是集群形成与维持竞争优势的核心驱动机制；Nuccio与Guerzoni（2019）研究了数字平台对传统产业集群的重构效应，指出平台经济通过降低交易成本、聚合分散资源，有效加速农村产业集群向“线上线下融合”的数字化新形态演进。在政策驱动型集群发展层面，Li等（2021）基于中国农村电商综合示范县的准自然实验，发现政府主导的电商推广政策能够有效促进农村集群电商的规模扩张与农户收入增长；Tregear等（2023）基于欧洲农产品电商集群的比较研究指出，地理标志特色产品与数字平台的协同赋能是欧洲农村电商集群竞争力的核心来源，与烟台特色农产品电商集群的发展逻辑存在高度相似性。</w:t>
      </w:r>
    </w:p>
    <w:p w14:paraId="746C42AE">
      <w:pPr>
        <w:spacing w:before="0" w:after="0" w:line="400" w:lineRule="exact"/>
        <w:ind w:firstLine="480" w:firstLineChars="0"/>
        <w:rPr>
          <w:rFonts w:hint="eastAsia"/>
          <w:szCs w:val="21"/>
          <w:highlight w:val="yellow"/>
          <w:lang w:val="en-US" w:eastAsia="zh-CN"/>
        </w:rPr>
        <w:jc w:val="both"/>
      </w:pPr>
      <w:r>
        <w:rPr>
          <w:rFonts w:eastAsia="宋体" w:ascii="Times New Roman" w:hAnsi="Times New Roman" w:cs="宋体"/>
          <w:highlight w:val="yellow"/>
          <w:sz w:val="24"/>
          <w:szCs w:val="24"/>
        </w:rPr>
        <w:t>国内关于集群电商的研究，伴随淘宝村、电商产业带等集群化现象的快速兴起而持续深化，在集群分类、演化阶段、高质量发展与政策效应等维度积累了丰富的实证成果。在集群分类与形成机理层面，史修松等（2017）基于江苏淘宝村调研，将农村电商集群划分为资源基础型、产业带动型与能人驱动型三类，系统阐析了不同模式的形成机理，奠定了国内集群电商分类研究的基础框架；张夏恒（2021）从产业集群演化视角梳理了县域电商成长路径，指出供应链整合与品牌化运营是县域电商集群实现价值链攀升的核心机制。在集群发展阶段与演化动力层面，郭承龙（2019）将集群电商发展划分为萌芽期、成长期与成熟期三阶段，指出政策推动与市场选择是集群演化的双重驱动力；孙炜琳等（2022）基于电商进农村综合示范项目的政策评估发现，示范政策能够有效激活县域集群电商发展潜力，并对周边地区产生显著的空间溢出效应。在高质量发展与增收效应层面，李想等（2023）指出，集群电商的可持续发展依赖于地方特色资源与数字化能力的协同整合，单纯的规模扩张难以形成持续竞争优势；仇焕广等（2020）基于大规模行政数据与农户调查，实证发现电商集群发展有效提升了农村家庭收入并优化了劳动力就业结构，揭示了集群电商对区域经济的多维溢出效应；汪三贵等（2023）则从数字包容视角探讨了电商集群发展对农村弱势群体的带动机制，发现数字技能获得与集群参与对低收入农户具有显著的增收效应。</w:t>
      </w:r>
    </w:p>
    <w:p w14:paraId="0ED1AECF">
      <w:pPr>
        <w:pStyle w:val="4"/>
        <w:spacing w:before="0" w:after="0" w:line="400" w:lineRule="exact"/>
        <w:ind w:firstLine="0" w:firstLineChars="0"/>
        <w:rPr>
          <w:rFonts w:hint="eastAsia"/>
          <w:szCs w:val="21"/>
          <w:lang w:val="en-US" w:eastAsia="zh-CN"/>
        </w:rPr>
        <w:jc w:val="both"/>
      </w:pPr>
      <w:r>
        <w:rPr>
          <w:b/>
          <w:rFonts w:eastAsia="黑体" w:ascii="Times New Roman" w:hAnsi="Times New Roman" w:cs="黑体"/>
          <w:sz w:val="24"/>
          <w:szCs w:val="24"/>
        </w:rPr>
        <w:t>1.2.2电商发展影响因素相关研究</w:t>
      </w:r>
    </w:p>
    <w:p w14:paraId="51FCE08E">
      <w:pPr>
        <w:spacing w:before="0" w:after="0" w:line="400" w:lineRule="exact"/>
        <w:ind w:firstLine="480" w:firstLineChars="0"/>
        <w:rPr>
          <w:rFonts w:hint="eastAsia"/>
          <w:szCs w:val="21"/>
          <w:highlight w:val="yellow"/>
          <w:lang w:val="en-US" w:eastAsia="zh-CN"/>
        </w:rPr>
        <w:jc w:val="both"/>
      </w:pPr>
      <w:r>
        <w:rPr>
          <w:rFonts w:eastAsia="宋体" w:ascii="Times New Roman" w:hAnsi="Times New Roman" w:cs="宋体"/>
          <w:highlight w:val="yellow"/>
          <w:sz w:val="24"/>
          <w:szCs w:val="24"/>
        </w:rPr>
        <w:t>国内外学者围绕电商发展影响因素开展了大量实证研究，研究维度涵盖政府政策与治理、人才支撑、基础设施、技术创新、数字技能与资源禀赋等核心层面，为本文研究模型的构建提供了坚实的文献基础。在政策治理方面，梁强等（2016）基于广东军埔电商集群案例，指出政府的政策扶持、产业规划与公共服务供给是集群电商形成与发展的关键制度性要素；Cui等（2019）强调，完善的集群内部治理机制是集群电商实现可持续发展的核心组织保障，治理结构的有效性直接影响集群的协同效率与竞争优势维持；Song等（2023）基于跨地区面板数据证实，地方政府电商支持政策强度与集群电商规模扩张之间存在显著正相关关系，且该效应在资源禀赋较弱的地区尤为突出；Wang等（2022）则从制度适配视角指出，政策落地的情境匹配程度对集群电商发展效果具有显著调节作用，政策设计须与本地电商发展实际深度契合。</w:t>
      </w:r>
    </w:p>
    <w:p w14:paraId="530846DD">
      <w:pPr>
        <w:spacing w:before="0" w:after="0" w:line="400" w:lineRule="exact"/>
        <w:ind w:firstLine="480" w:firstLineChars="0"/>
        <w:rPr>
          <w:rFonts w:hint="eastAsia"/>
          <w:szCs w:val="21"/>
          <w:highlight w:val="yellow"/>
          <w:lang w:val="en-US" w:eastAsia="zh-CN"/>
        </w:rPr>
        <w:jc w:val="both"/>
      </w:pPr>
      <w:r>
        <w:rPr>
          <w:rFonts w:eastAsia="宋体" w:ascii="Times New Roman" w:hAnsi="Times New Roman" w:cs="宋体"/>
          <w:highlight w:val="yellow"/>
          <w:sz w:val="24"/>
          <w:szCs w:val="24"/>
        </w:rPr>
        <w:t>在人才支撑方面，邱泽奇等（2021）指出，电商专业人才的供给不足是制约县域电商发展的核心瓶颈，从业者的数字技能与运营能力直接决定集群整体发展水平；Van Deursen与Van Dijk（2014）提出“多层次数字技能框架”，区分操作技能、信息技能与策略技能三个层次，为衡量电商从业者差异化数字能力提供了重要的理论工具；曹玲等（2022）的研究表明，电商从业者数字素养水平与平台运营效益之间存在显著正相关，技能培训的干预效果因针对性不同而呈现显著异质性。在基础设施建设方面，董坤祥等（2016）证明交通物流、仓储冷链、网络通信等基础设施是集群电商发展的核心硬件保障；Urpelainen与Yoon（2015）基于发展中国家农村地区数据发现，数字基础设施普及率与农村电商规模之间呈现显著的正向非线性关系，在基础设施覆盖率较低阶段其边际效应尤为突出；张晓山等（2021）的研究表明，冷链物流体系的完善程度对生鲜农产品电商集群的发展质量具有决定性影响。在技术创新水平方面，易法敏等（2022）指出，大数据、人工智能、直播技术等数字化技术的规模化应用能够显著提升集群电商的转型升级能力与运营效率；Premkumar与Roberts（1999）在信息技术采纳领域的经典研究指出，农村地区技术采纳障碍的突破须依赖外部政策与内部能力的协同推进；孟天广等（2023）基于中国数字经济数据表明，数字技术本地化应用深度对产业集群数字化转型效能具有显著调节效应。在数字化能力方面，张伟（2024）的SEM实证研究表明，本地特色电商平台的功能完善度与从业者数字技能均对集群发展水平具有显著正向影响，且二者存在协同增强效应；吴晓明等（2023）进一步指出，数字平台的本地化适配程度是决定平台赋能效应强弱的关键因素。在资源禀赋方面，唐艺等（2021）以江苏沭阳花木电商集群为例，指出本地特色资源是集群电商形成的核心前提，资源整合利用效率直接决定集群核心竞争力；吴比等（2023）基于资源禀赋理论进一步揭示，特色农产品资源的稀缺性与差异化程度对集群电商品牌溢价能力具有显著正向影响，强调了资源禀赋不可复制性对竞争优势的基础性作用。</w:t>
      </w:r>
    </w:p>
    <w:p w14:paraId="73FF5E6E">
      <w:pPr>
        <w:pStyle w:val="4"/>
        <w:spacing w:before="0" w:after="0" w:line="400" w:lineRule="exact"/>
        <w:ind w:firstLine="0" w:firstLineChars="0"/>
        <w:rPr>
          <w:rFonts w:hint="eastAsia"/>
          <w:szCs w:val="21"/>
          <w:lang w:val="en-US" w:eastAsia="zh-CN"/>
        </w:rPr>
        <w:jc w:val="both"/>
      </w:pPr>
      <w:r>
        <w:rPr>
          <w:b/>
          <w:rFonts w:eastAsia="黑体" w:ascii="Times New Roman" w:hAnsi="Times New Roman" w:cs="黑体"/>
          <w:sz w:val="24"/>
          <w:szCs w:val="24"/>
        </w:rPr>
        <w:t>1.2.3 SEM与fsQCA混合方法的应用研究</w:t>
      </w:r>
    </w:p>
    <w:p w14:paraId="6DB3C788">
      <w:pPr>
        <w:spacing w:before="0" w:after="0" w:line="400" w:lineRule="exact"/>
        <w:ind w:firstLine="480" w:firstLineChars="0"/>
        <w:jc w:val="both"/>
      </w:pPr>
      <w:r>
        <w:rPr>
          <w:rFonts w:eastAsia="宋体" w:ascii="Times New Roman" w:hAnsi="Times New Roman" w:cs="宋体"/>
          <w:sz w:val="24"/>
          <w:szCs w:val="24"/>
        </w:rPr>
        <w:t>SEM与fsQCA混合研究范式能够同步实现变量间线性因果验证与条件组合的组态效应分析，在复杂因果关系的探究中具有独特的方法论价值，近年来在管理学、经济学与社会学等领域获得广泛应用。在方法论基础层面，Ragin（2008）系统构建了fsQCA方法的理论框架与操作规范，Fiss（2011）在</w:t>
      </w:r>
      <w:r>
        <w:rPr>
          <w:rFonts w:eastAsia="宋体" w:ascii="Times New Roman" w:hAnsi="Times New Roman" w:cs="宋体"/>
          <w:i/>
          <w:iCs/>
          <w:sz w:val="24"/>
          <w:szCs w:val="24"/>
        </w:rPr>
        <w:t>Academy of Management Journal</w:t>
      </w:r>
      <w:r>
        <w:rPr>
          <w:rFonts w:eastAsia="宋体" w:ascii="Times New Roman" w:hAnsi="Times New Roman" w:cs="宋体"/>
          <w:sz w:val="24"/>
          <w:szCs w:val="24"/>
        </w:rPr>
        <w:t>发表的研究进一步确立了以中间解结合简约解划分核心条件与边缘条件的操作标准，成为后续研究的方法基准；Woodside（2013）在消费者行为领域系统论证了fsQCA相对于传统回归分析的方法优势，指出其在处理“小样本、多条件、非对称因果”问题上的独特适用性。</w:t>
      </w:r>
    </w:p>
    <w:p w14:paraId="15D11AFA">
      <w:pPr>
        <w:spacing w:before="0" w:after="0" w:line="400" w:lineRule="exact"/>
        <w:ind w:firstLine="480" w:firstLineChars="0"/>
        <w:rPr>
          <w:rFonts w:hint="eastAsia"/>
          <w:szCs w:val="21"/>
          <w:lang w:val="en-US" w:eastAsia="zh-CN"/>
        </w:rPr>
        <w:jc w:val="both"/>
      </w:pPr>
      <w:r>
        <w:rPr>
          <w:rFonts w:eastAsia="宋体" w:ascii="Times New Roman" w:hAnsi="Times New Roman" w:cs="宋体"/>
          <w:sz w:val="24"/>
          <w:szCs w:val="24"/>
        </w:rPr>
        <w:t>在国内研究中，易明等（2018）较早采用SEM与fsQCA混合方法研究员工沉默行为，首次在管理学领域验证了混合方法在揭示复杂因果机制中的价值；毕达天等（2021）将该方法应用于科研人员数据素养影响因素分析，进一步拓展了其在信息行为领域的适用范围；马静等（2023）采用SEM-fsQCA混合设计探究数字普惠金融对农户收入的影响路径，发现不同金融基础条件下影响路径存在显著的组态异质性；赵婷婷等（2024）在农村电商研究中应用该混合方法，识别出政策、技术与资源组合的多元等效发展路径，为本文方法选择提供了直接参照。在国外研究中，Um等（2023）采用SEM与fsQCA混合方法研究旅游移动商务中消费者冲动购买意愿，发现不同条件组合下消费者行为具有显著的“殊途同归”特征；Zheng等（2023）基于该混合方法研究在线学习质量对大学生持续学习意愿的影响，进一步拓展了混合方法的应用边界；Du等（2022）将其应用于企业数字化转型研究，发现技术能力与组织管理的不同条件组合均可驱动转型绩效的实现，揭示了组态效应的“等效性”特征。上述研究表明，SEM与fsQCA的协同应用能够有效弥补单一方法的不足，既实现因果效应的精确估计，又揭示条件组合的复杂非线性效应，是探究农村电商集群发展机制的适宜方法框架。</w:t>
      </w:r>
    </w:p>
    <w:p w14:paraId="7AEB8F7A">
      <w:pPr>
        <w:pStyle w:val="4"/>
        <w:spacing w:before="0" w:after="0" w:line="400" w:lineRule="exact"/>
        <w:ind w:firstLine="0" w:firstLineChars="0"/>
        <w:rPr>
          <w:rFonts w:hint="eastAsia"/>
          <w:szCs w:val="21"/>
          <w:lang w:val="en-US" w:eastAsia="zh-CN"/>
        </w:rPr>
        <w:jc w:val="both"/>
      </w:pPr>
      <w:r>
        <w:rPr>
          <w:b/>
          <w:rFonts w:eastAsia="黑体" w:ascii="Times New Roman" w:hAnsi="Times New Roman" w:cs="黑体"/>
          <w:sz w:val="24"/>
          <w:szCs w:val="24"/>
        </w:rPr>
        <w:t>1.2.4研究述评与研究切入点</w:t>
      </w:r>
    </w:p>
    <w:p w14:paraId="6E0E698F">
      <w:pPr>
        <w:spacing w:before="0" w:after="0" w:line="400" w:lineRule="exact"/>
        <w:ind w:firstLine="480" w:firstLineChars="0"/>
        <w:rPr>
          <w:rFonts w:hint="eastAsia"/>
          <w:szCs w:val="21"/>
          <w:lang w:val="en-US" w:eastAsia="zh-CN"/>
        </w:rPr>
        <w:jc w:val="both"/>
      </w:pPr>
      <w:r>
        <w:rPr>
          <w:rFonts w:eastAsia="宋体" w:ascii="Times New Roman" w:hAnsi="Times New Roman" w:cs="宋体"/>
          <w:sz w:val="24"/>
          <w:szCs w:val="24"/>
        </w:rPr>
        <w:t>综上所述，国内外关于集群电商的研究已取得丰硕成果，为本文奠定了坚实的理论基础，但现有研究仍存在三方面不足：</w:t>
      </w:r>
    </w:p>
    <w:p w14:paraId="32FA8138">
      <w:pPr>
        <w:spacing w:before="0" w:after="0" w:line="400" w:lineRule="exact"/>
        <w:ind w:firstLine="480" w:firstLineChars="0"/>
        <w:rPr>
          <w:rFonts w:hint="eastAsia"/>
          <w:szCs w:val="21"/>
          <w:lang w:val="en-US" w:eastAsia="zh-CN"/>
        </w:rPr>
        <w:jc w:val="both"/>
      </w:pPr>
      <w:r>
        <w:rPr>
          <w:rFonts w:eastAsia="宋体" w:ascii="Times New Roman" w:hAnsi="Times New Roman" w:cs="宋体"/>
          <w:sz w:val="24"/>
          <w:szCs w:val="24"/>
        </w:rPr>
        <w:t>第一，研究情境存在区域空白。现有研究多以浙江、江苏等南方电商发达地区为样本，针对烟台北方沿海特色产业产区的本土化实证研究极为匮乏，现有结论的本土化适配性不足。</w:t>
      </w:r>
    </w:p>
    <w:p w14:paraId="30D9DB9F">
      <w:pPr>
        <w:spacing w:before="0" w:after="0" w:line="400" w:lineRule="exact"/>
        <w:ind w:firstLine="480" w:firstLineChars="0"/>
        <w:rPr>
          <w:rFonts w:hint="eastAsia"/>
          <w:szCs w:val="21"/>
          <w:lang w:val="en-US" w:eastAsia="zh-CN"/>
        </w:rPr>
        <w:jc w:val="both"/>
      </w:pPr>
      <w:r>
        <w:rPr>
          <w:rFonts w:eastAsia="宋体" w:ascii="Times New Roman" w:hAnsi="Times New Roman" w:cs="宋体"/>
          <w:sz w:val="24"/>
          <w:szCs w:val="24"/>
        </w:rPr>
        <w:t>第二，研究维度存在同质化局限。现有研究多聚焦政策、基建、技术等通用维度，鲜有研究将本地资源禀赋、特色平台建设等区域特色变量纳入整合分析框架，难以精准解释烟台集群电商的独特发展逻辑。</w:t>
      </w:r>
    </w:p>
    <w:bookmarkEnd w:id="39"/>
    <w:p w14:paraId="1BC2D9FC">
      <w:pPr>
        <w:spacing w:before="0" w:after="0" w:line="400" w:lineRule="exact"/>
        <w:ind w:firstLine="480" w:firstLineChars="0"/>
        <w:rPr>
          <w:rFonts w:hint="eastAsia"/>
          <w:szCs w:val="21"/>
          <w:lang w:val="en-US" w:eastAsia="zh-CN"/>
        </w:rPr>
        <w:jc w:val="both"/>
      </w:pPr>
      <w:r>
        <w:rPr>
          <w:rFonts w:eastAsia="宋体" w:ascii="Times New Roman" w:hAnsi="Times New Roman" w:cs="宋体"/>
          <w:sz w:val="24"/>
          <w:szCs w:val="24"/>
        </w:rPr>
        <w:t>第三，研究方法存在单一化局限。现有研究多单独采用SEM或fsQCA，采用二者混合设计的研究仍较匮乏，难以同时揭示普遍线性影响机制与本土化多元组态路径。基于此，本文以烟台地区集群电商为研究对象，采用SEM与fsQCA混合研究方法，系统探究其发展的影响因素与高绩效组态路径，弥补现有研究不足。</w:t>
      </w:r>
    </w:p>
    <w:p w14:paraId="56F25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70E34BD">
      <w:pPr>
        <w:pStyle w:val="3"/>
        <w:spacing w:before="240" w:after="240" w:line="400" w:lineRule="exact"/>
        <w:ind w:firstLine="0" w:firstLineChars="0"/>
        <w:rPr>
          <w:rFonts w:hint="default"/>
          <w:szCs w:val="21"/>
          <w:lang w:val="en-US" w:eastAsia="zh-CN"/>
        </w:rPr>
        <w:jc w:val="both"/>
      </w:pPr>
      <w:bookmarkStart w:id="40" w:name="_Toc1812"/>
      <w:r>
        <w:rPr>
          <w:b/>
          <w:rFonts w:eastAsia="黑体" w:ascii="Times New Roman" w:hAnsi="Times New Roman" w:cs="黑体"/>
          <w:szCs w:val="28"/>
          <w:lang w:val="en-US"/>
          <w:sz w:val="28"/>
        </w:rPr>
        <w:t>1.3研究内容</w:t>
      </w:r>
      <w:bookmarkEnd w:id="40"/>
    </w:p>
    <w:p w14:paraId="46BFB19B">
      <w:pPr>
        <w:pStyle w:val="4"/>
        <w:spacing w:line="400" w:lineRule="exact" w:before="0" w:after="0"/>
        <w:rPr>
          <w:rFonts w:hint="eastAsia" w:ascii="Times New Roman" w:hAnsi="Times New Roman"/>
          <w:lang w:val="en-US" w:eastAsia="zh-CN"/>
        </w:rPr>
        <w:jc w:val="both"/>
      </w:pPr>
      <w:r>
        <w:rPr>
          <w:b/>
          <w:rFonts w:ascii="Times New Roman" w:hAnsi="Times New Roman" w:eastAsia="黑体" w:cs="黑体"/>
          <w:lang w:val="en-US"/>
          <w:sz w:val="24"/>
          <w:szCs w:val="24"/>
        </w:rPr>
        <w:t>1.3.1研究内容概述</w:t>
      </w:r>
    </w:p>
    <w:p w14:paraId="1DFF7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本文共分为五个章节，各章主要内容如下：</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cs="宋体" w:eastAsia="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一章为绪论，是全文的逻辑起点。本章首先从时代背景、政策背景、地区背景与现实问题四个维度，系统阐述本文的研究背景，明确烟台农村电商集群发展面临的核心困境；其次对国内外相关研究成果进行全面梳理与评述，揭示现有研究的成果积累与不足之处，明确本文的研究切入点；再次以分章简介的形式呈现全文研究内容；最后阐述本文的研究创新点与研究方法体系。</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cs="宋体" w:eastAsia="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二章为理论基础，是全文的理论支柱。本章首先界定集群电商、资源禀赋、数字技能等核心概念；其次系统阐述资源编排理论、TOE框架与组态理论三大核心理论基础，重点阐明资源编排理论与本文变量结构和模型设计的内在逻辑关联，为后续模型构建与假设提出提供理论依据。</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cs="宋体" w:eastAsia="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三章为研究设计，是全文的方法支撑。本章基于资源编排理论与TOE框架，构建包含六大核心变量的整合分析模型，提出SEM直接效应研究假设与fsQCA组态路径研究猜想；阐述问卷设计原则与核心变量的测量方案；介绍数据收集对象、方式与数量方案；设计SEM与fsQCA的完整分析流程，为后续实证分析奠定基础。</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cs="宋体" w:eastAsia="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四章为实证分析，是全文的核心章节。本章依次完成描述性统计分析、信度与效度检验、SEM模型拟合度检验与路径分析、fsQCA必要性检验与组态路径分析，分别从线性效应与组态效应两个维度，揭示各维度变量对烟台集群电商发展水平的影响机制与多元驱动路径。</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cs="宋体" w:eastAsia="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五章为结论与建议，是全文的落脚点。本章归纳汇总实证分析的核心发现，提炼主要研究结论；基于实证结果，分别从政府政策、基础设施建设、人才培育、数字技术应用、本地资源整合等维度，提出贴合烟台实际的集群电商高质量发展对策建议；最后指出本文研究的局限性，并展望未来研究方向。</w:t>
      </w:r>
    </w:p>
    <w:p w14:paraId="0DE1BD62">
      <w:pPr>
        <w:pStyle w:val="3"/>
        <w:spacing w:before="240" w:after="240" w:line="400" w:lineRule="exact"/>
        <w:ind w:firstLine="0" w:firstLineChars="0"/>
        <w:rPr>
          <w:szCs w:val="21"/>
          <w:lang w:val="en-US"/>
        </w:rPr>
        <w:jc w:val="both"/>
      </w:pPr>
      <w:bookmarkStart w:id="41" w:name="_Toc17945"/>
      <w:r>
        <w:rPr>
          <w:b/>
          <w:rFonts w:eastAsia="黑体" w:ascii="Times New Roman" w:hAnsi="Times New Roman" w:cs="黑体"/>
          <w:szCs w:val="28"/>
          <w:lang w:val="en-US"/>
          <w:sz w:val="28"/>
        </w:rPr>
        <w:t>1.4研究创新点</w:t>
      </w:r>
      <w:bookmarkEnd w:id="41"/>
    </w:p>
    <w:p w14:paraId="2821C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本文的研究创新点主要体现在以下三个方面：</w:t>
      </w:r>
    </w:p>
    <w:p w14:paraId="205B0C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color w:val="000000"/>
          <w:sz w:val="24"/>
          <w:szCs w:val="24"/>
        </w:rPr>
        <w:jc w:val="both"/>
      </w:pPr>
      <w:r>
        <w:rPr>
          <w:rStyle w:val="36"/>
          <w:rFonts w:eastAsia="宋体" w:ascii="Times New Roman" w:hAnsi="Times New Roman" w:cs="宋体"/>
          <w:bCs/>
          <w:color w:val="000000"/>
          <w:sz w:val="24"/>
          <w:szCs w:val="24"/>
        </w:rPr>
        <w:t>研究维度的本土化创新</w:t>
      </w:r>
      <w:r>
        <w:rPr>
          <w:rFonts w:eastAsia="宋体" w:ascii="Times New Roman" w:hAnsi="Times New Roman" w:cs="宋体"/>
          <w:color w:val="000000"/>
          <w:sz w:val="24"/>
          <w:szCs w:val="24"/>
        </w:rPr>
        <w:t>：本文结合烟台集群电商发展的实际特征，构建了包含政策治理、人才支撑、基础设施建设、技术创新水平、数字化能力、资源禀赋六大维度的整合分析模型，纳入了资源禀赋、本地平台建设等特色变量，更贴合烟台本地产业发展实际，突破了现有研究维度同质化的局限。</w:t>
      </w:r>
    </w:p>
    <w:p w14:paraId="3E8E697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b w:val="0"/>
          <w:bCs w:val="0"/>
          <w:color w:val="000000"/>
          <w:sz w:val="24"/>
          <w:szCs w:val="24"/>
        </w:rPr>
        <w:jc w:val="both"/>
      </w:pPr>
      <w:r>
        <w:rPr>
          <w:rStyle w:val="36"/>
          <w:rFonts w:eastAsia="宋体" w:ascii="Times New Roman" w:hAnsi="Times New Roman" w:cs="宋体"/>
          <w:bCs w:val="0"/>
          <w:color w:val="000000"/>
          <w:sz w:val="24"/>
          <w:szCs w:val="24"/>
        </w:rPr>
        <w:t>研究方法的融合创新：本文以资源编排理论（Resource Orchestration Theory，ROT）为统一理论底座，有机整合结构方程模型（SEM）与模糊集定性比较分析（fsQCA）两种研究范式，构建“ROT理论驱动的SEM-fsQCA协同研究设计”。在理论层面，ROT强调多维资源要素的整合编排而非单一资源的独立作用，其多资源组合驱动竞争优势、不同资源组合产生等效绩效的核心逻辑，为SEM验证中介机制与fsQCA识别组态路径提供了统一的理论框架；在方法层面，SEM用于精确估计各因素的线性净效应与完全中介机制，fsQCA则专注于揭示多因素联动的非线性组态效应与多元等效路径，二者构成线性与非线性、净效应与组合效应的双维度互补。三者在本文中形成层次递进的有机整合：ROT理论指导模型建构，SEM验证变量净效应，fsQCA识别组态路径，研究结论兼具理论严谨性与实践适配性。以ROT为统一理论基础的SEM-fsQCA协同设计，在农村电商集群研究领域尚属较少见的方法论尝试，具有一定的创新价值。</w:t>
      </w:r>
    </w:p>
    <w:p w14:paraId="7D0309C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b w:val="0"/>
          <w:bCs w:val="0"/>
          <w:color w:val="000000"/>
          <w:sz w:val="24"/>
          <w:szCs w:val="24"/>
        </w:rPr>
        <w:jc w:val="both"/>
      </w:pPr>
      <w:r>
        <w:rPr>
          <w:rStyle w:val="36"/>
          <w:rFonts w:eastAsia="宋体" w:ascii="Times New Roman" w:hAnsi="Times New Roman" w:cs="宋体"/>
          <w:bCs w:val="0"/>
          <w:color w:val="000000"/>
          <w:sz w:val="24"/>
          <w:szCs w:val="24"/>
        </w:rPr>
        <w:t>研究场景的精准化创新：本文聚焦烟台地区集群电商这一具体研究情境，兼具显著的区域适配性与方法论匹配性优势。从区域情境而言，烟台地区农村电商集群具备多维度资源异质性与多元发展路径并存的典型特征——栖霞苹果、蓬莱葡萄酒、长岛海产等地理标志产品构成差异化的资源禀赋基底，不同区县的集群发展路径各有侧重，样本内部存在显著的条件配置多样性，为fsQCA组态分析所要求的案例异质性提供了天然的数据条件。从方法匹配性而言，烟台集群电商发展受政策、技术、人才、资源等多维因素联动影响，且不同区县呈现出迥异的发展路径，这种复杂因果与多路径等效的现实特征恰好契合fsQCA非对称因果、等效路径、多条件并发的核心适用情景；同时，N=508的有效样本量亦满足</w:t>
      </w:r>
      <w:r>
        <w:rPr>
          <w:rStyle w:val="36"/>
          <w:rFonts w:eastAsia="宋体" w:ascii="Times New Roman" w:hAnsi="Times New Roman" w:cs="宋体"/>
          <w:bCs w:val="0"/>
          <w:color w:val="000000"/>
          <w:sz w:val="24"/>
          <w:szCs w:val="24"/>
          <w:highlight w:val="yellow"/>
        </w:rPr>
        <w:t>SEM建模对样本规模的基本需求（Hair等，2010）。</w:t>
      </w:r>
      <w:r>
        <w:rPr>
          <w:rStyle w:val="36"/>
          <w:rFonts w:eastAsia="宋体" w:ascii="Times New Roman" w:hAnsi="Times New Roman" w:cs="宋体"/>
          <w:bCs w:val="0"/>
          <w:color w:val="000000"/>
          <w:sz w:val="24"/>
          <w:szCs w:val="24"/>
        </w:rPr>
        <w:t>现有研究多以江浙等南方电商发达地区为样本，针对烟台北方沿海特色产业集群的本土化实证研究极为匮乏；选取烟台为研究对象并采用SEM-fsQCA混合方法，既填补了现有研究的区域空白，也体现了研究方法与研究情境的高度适配性，所提对策建议兼具地区针对性与政策可落地性。</w:t>
      </w:r>
    </w:p>
    <w:p w14:paraId="0DE6A145">
      <w:pPr>
        <w:rPr>
          <w:rFonts w:hint="eastAsia"/>
        </w:rPr>
      </w:pPr>
    </w:p>
    <w:p w14:paraId="6CB720ED">
      <w:pPr>
        <w:ind w:firstLine="480"/>
        <w:sectPr>
          <w:headerReference r:id="rId21" w:type="default"/>
          <w:footerReference r:id="rId23" w:type="default"/>
          <w:headerReference r:id="rId22" w:type="even"/>
          <w:footerReference r:id="rId24" w:type="even"/>
          <w:pgSz w:w="11906" w:h="16838"/>
          <w:pgMar w:top="1701" w:right="1417" w:bottom="1417" w:left="1701" w:header="850" w:footer="992" w:gutter="0"/>
          <w:pgBorders>
            <w:top w:val="none" w:sz="0" w:space="0"/>
            <w:left w:val="none" w:sz="0" w:space="0"/>
            <w:bottom w:val="none" w:sz="0" w:space="0"/>
            <w:right w:val="none" w:sz="0" w:space="0"/>
          </w:pgBorders>
          <w:pgNumType w:fmt="decimal" w:start="1"/>
          <w:cols w:space="425" w:num="1"/>
          <w:docGrid w:linePitch="326" w:charSpace="0"/>
        </w:sectPr>
      </w:pPr>
    </w:p>
    <w:p w14:paraId="4BE272AF">
      <w:pPr>
        <w:pStyle w:val="3"/>
        <w:spacing w:before="240" w:after="240" w:line="400" w:lineRule="exact"/>
        <w:ind w:firstLine="0" w:firstLineChars="0"/>
        <w:rPr>
          <w:rFonts w:hint="default"/>
          <w:szCs w:val="21"/>
          <w:lang w:val="en-US" w:eastAsia="zh-CN"/>
        </w:rPr>
        <w:jc w:val="both"/>
      </w:pPr>
      <w:bookmarkStart w:id="42" w:name="_Toc1599"/>
      <w:r>
        <w:rPr>
          <w:b/>
          <w:rFonts w:eastAsia="黑体" w:ascii="Times New Roman" w:hAnsi="Times New Roman" w:cs="黑体"/>
          <w:szCs w:val="28"/>
          <w:lang w:val="en-US"/>
          <w:sz w:val="28"/>
        </w:rPr>
        <w:t>1.5研究方法与技术路线</w:t>
      </w:r>
      <w:bookmarkEnd w:id="42"/>
    </w:p>
    <w:p w14:paraId="2DF3A845">
      <w:pPr>
        <w:pStyle w:val="4"/>
        <w:spacing w:before="0" w:after="0" w:line="400" w:lineRule="exact"/>
        <w:jc w:val="both"/>
      </w:pPr>
      <w:r>
        <w:rPr>
          <w:b/>
          <w:rFonts w:eastAsia="黑体" w:ascii="Times New Roman" w:hAnsi="Times New Roman" w:cs="黑体"/>
          <w:sz w:val="24"/>
          <w:szCs w:val="24"/>
        </w:rPr>
        <w:t>1.5.1研究方法</w:t>
      </w:r>
    </w:p>
    <w:p w14:paraId="45D27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val="0"/>
          <w:color w:val="000000"/>
          <w:sz w:val="24"/>
          <w:szCs w:val="24"/>
        </w:rPr>
      </w:pPr>
      <w:r>
        <w:rPr>
          <w:rFonts w:ascii="Times New Roman" w:hAnsi="Times New Roman" w:eastAsia="宋体" w:cs="宋体"/>
          <w:bCs w:val="0"/>
          <w:color w:val="000000"/>
          <w:kern w:val="0"/>
          <w:sz w:val="24"/>
          <w:szCs w:val="24"/>
          <w:lang w:val="en-US" w:eastAsia="zh-CN" w:bidi="ar"/>
        </w:rPr>
        <w:t>本文综合采用以下四种研究方法，形成完整的研究方法体系：</w:t>
      </w:r>
    </w:p>
    <w:p w14:paraId="137560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b w:val="0"/>
          <w:bCs w:val="0"/>
          <w:color w:val="000000"/>
          <w:sz w:val="24"/>
          <w:szCs w:val="24"/>
        </w:rPr>
        <w:jc w:val="both"/>
      </w:pPr>
      <w:r>
        <w:rPr>
          <w:rStyle w:val="36"/>
          <w:rFonts w:eastAsia="宋体" w:ascii="Times New Roman" w:hAnsi="Times New Roman" w:cs="宋体"/>
          <w:bCs w:val="0"/>
          <w:color w:val="000000"/>
          <w:sz w:val="24"/>
          <w:szCs w:val="24"/>
        </w:rPr>
        <w:t>文献研究法</w:t>
      </w:r>
      <w:r>
        <w:rPr>
          <w:rFonts w:eastAsia="宋体" w:ascii="Times New Roman" w:hAnsi="Times New Roman" w:cs="宋体"/>
          <w:bCs w:val="0"/>
          <w:color w:val="000000"/>
          <w:sz w:val="24"/>
          <w:szCs w:val="24"/>
        </w:rPr>
        <w:t>：系统梳理 CNKI、Web of Science 等数据库中集群电商、县域电商、TOE 框架、组态分析等相关领域的核心文献、政策文件与行业报告，把握国内外研究脉络与前沿动态，奠定研究的理论基础，明确研究缺口与切入点。</w:t>
      </w:r>
    </w:p>
    <w:p w14:paraId="14972E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b w:val="0"/>
          <w:bCs w:val="0"/>
          <w:color w:val="000000"/>
          <w:sz w:val="24"/>
          <w:szCs w:val="24"/>
        </w:rPr>
        <w:jc w:val="both"/>
      </w:pPr>
      <w:r>
        <w:rPr>
          <w:rStyle w:val="36"/>
          <w:rFonts w:eastAsia="宋体" w:ascii="Times New Roman" w:hAnsi="Times New Roman" w:cs="宋体"/>
          <w:bCs w:val="0"/>
          <w:color w:val="000000"/>
          <w:sz w:val="24"/>
          <w:szCs w:val="24"/>
        </w:rPr>
        <w:t>问卷调查法</w:t>
      </w:r>
      <w:r>
        <w:rPr>
          <w:rFonts w:eastAsia="宋体" w:ascii="Times New Roman" w:hAnsi="Times New Roman" w:cs="宋体"/>
          <w:bCs w:val="0"/>
          <w:color w:val="000000"/>
          <w:sz w:val="24"/>
          <w:szCs w:val="24"/>
        </w:rPr>
        <w:t>：基于本文的研究模型与变量设计，结合烟台集群电商发展实际，开发结构化调研问卷，以烟台各区市的电商从业者、企业管理者、配套服务商、政府相关工作人员为调研对象，通过线上线下结合的方式收集一手数据，为实证分析提供数据支撑。</w:t>
      </w:r>
    </w:p>
    <w:p w14:paraId="4EA7896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b w:val="0"/>
          <w:bCs w:val="0"/>
          <w:color w:val="000000"/>
          <w:sz w:val="24"/>
          <w:szCs w:val="24"/>
        </w:rPr>
        <w:jc w:val="both"/>
      </w:pPr>
      <w:r>
        <w:rPr>
          <w:rStyle w:val="36"/>
          <w:rFonts w:eastAsia="宋体" w:ascii="Times New Roman" w:hAnsi="Times New Roman" w:cs="宋体"/>
          <w:bCs w:val="0"/>
          <w:color w:val="000000"/>
          <w:sz w:val="24"/>
          <w:szCs w:val="24"/>
        </w:rPr>
        <w:t>结构方程模型（SEM）：采用AMOS软件开展SEM分析</w:t>
      </w:r>
      <w:r>
        <w:rPr>
          <w:rStyle w:val="FootnoteReference"/>
        </w:rPr>
        <w:endnoteReference w:id="3"/>
      </w:r>
      <w:r>
        <w:rPr>
          <w:rStyle w:val="36"/>
          <w:rFonts w:eastAsia="宋体" w:ascii="Times New Roman" w:hAnsi="Times New Roman" w:cs="宋体"/>
          <w:bCs w:val="0"/>
          <w:color w:val="000000"/>
          <w:sz w:val="24"/>
          <w:szCs w:val="24"/>
        </w:rPr>
        <w:t>，用于检验六大维度潜变量之间的因果关系，以基础设施建设与数字化能力为双中介变量，验证各维度变量对烟台集群电商发展的间接影响路径，明确各因素的作用强度与显著性。</w:t>
      </w:r>
    </w:p>
    <w:p w14:paraId="6117F0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rPr>
          <w:rFonts w:hint="eastAsia"/>
          <w:b w:val="0"/>
          <w:bCs w:val="0"/>
        </w:rPr>
        <w:jc w:val="both"/>
      </w:pPr>
      <w:r>
        <w:rPr>
          <w:rStyle w:val="36"/>
          <w:rFonts w:eastAsia="宋体" w:ascii="Times New Roman" w:hAnsi="Times New Roman" w:cs="宋体"/>
          <w:bCs w:val="0"/>
          <w:color w:val="000000"/>
          <w:sz w:val="24"/>
          <w:szCs w:val="24"/>
        </w:rPr>
        <w:t>模糊集定性比较分析（fsQCA）</w:t>
      </w:r>
      <w:r>
        <w:rPr>
          <w:rFonts w:eastAsia="宋体" w:ascii="Times New Roman" w:hAnsi="Times New Roman" w:cs="宋体"/>
          <w:bCs w:val="0"/>
          <w:color w:val="000000"/>
          <w:sz w:val="24"/>
          <w:szCs w:val="24"/>
        </w:rPr>
        <w:t>：采用 fsQCA 软件开展组态分析</w:t>
      </w:r>
      <w:r>
        <w:rPr>
          <w:rStyle w:val="FootnoteReference"/>
        </w:rPr>
        <w:endnoteReference w:id="4"/>
      </w:r>
      <w:r>
        <w:rPr>
          <w:rFonts w:eastAsia="宋体" w:ascii="Times New Roman" w:hAnsi="Times New Roman" w:cs="宋体"/>
          <w:bCs w:val="0"/>
          <w:color w:val="000000"/>
          <w:sz w:val="24"/>
          <w:szCs w:val="24"/>
        </w:rPr>
        <w:t xml:space="preserve">，基于集合论与组态理论，处理多因素并发的复杂因果问题，识别驱动烟台集群电商高绩效发展的多元条件组合与等效发展路径，为分类施策提供依据。</w:t>
      </w:r>
    </w:p>
    <w:p w14:paraId="74B62F41">
      <w:pPr>
        <w:spacing w:line="240" w:lineRule="auto"/>
        <w:ind w:firstLine="0" w:firstLineChars="0"/>
        <w:jc w:val="center"/>
        <w:rPr>
          <w:rFonts w:hint="eastAsia" w:eastAsia="宋体"/>
          <w:lang w:eastAsia="zh-CN"/>
        </w:rPr>
      </w:pPr>
    </w:p>
    <w:p w14:paraId="1BAD9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rPr>
          <w:rFonts w:hint="eastAsia" w:eastAsia="宋体"/>
          <w:lang w:eastAsia="zh-CN"/>
        </w:rPr>
        <w:jc w:val="both"/>
      </w:pPr>
      <w:r>
        <w:rPr>
          <w:b/>
          <w:rFonts w:eastAsia="黑体" w:ascii="Times New Roman" w:hAnsi="Times New Roman" w:cs="黑体"/>
          <w:color w:val="000000"/>
          <w:sz w:val="24"/>
          <w:szCs w:val="24"/>
        </w:rPr>
        <w:t>1.5.2技术路线</w:t>
      </w:r>
      <w:r>
        <w:rPr>
          <w:b/>
          <w:rFonts w:hint="eastAsia" w:eastAsia="黑体" w:ascii="Times New Roman" w:hAnsi="Times New Roman" w:cs="黑体"/>
          <w:lang w:eastAsia="zh-CN"/>
          <w:sz w:val="24"/>
          <w:szCs w:val="24"/>
        </w:rPr>
        <w:drawing>
          <wp:inline distT="0" distB="0" distL="114300" distR="114300">
            <wp:extent cx="4947285" cy="4947285"/>
            <wp:effectExtent l="0" t="0" r="5715" b="5715"/>
            <wp:docPr id="2" name="图片 2"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
                    <pic:cNvPicPr>
                      <a:picLocks noChangeAspect="1"/>
                    </pic:cNvPicPr>
                  </pic:nvPicPr>
                  <pic:blipFill>
                    <a:blip r:embed="rId31"/>
                    <a:stretch>
                      <a:fillRect/>
                    </a:stretch>
                  </pic:blipFill>
                  <pic:spPr>
                    <a:xfrm>
                      <a:off x="0" y="0"/>
                      <a:ext cx="4947285" cy="4947285"/>
                    </a:xfrm>
                    <a:prstGeom prst="rect">
                      <a:avLst/>
                    </a:prstGeom>
                  </pic:spPr>
                </pic:pic>
              </a:graphicData>
            </a:graphic>
          </wp:inline>
        </w:drawing>
      </w:r>
    </w:p>
    <w:p w14:paraId="675FE004">
      <w:pPr>
        <w:pStyle w:val="12"/>
        <w:spacing w:line="400" w:lineRule="exact" w:before="120" w:after="120"/>
        <w:ind w:firstLineChars="0"/>
        <w:jc w:val="center"/>
        <w:rPr>
          <w:rFonts w:hint="default" w:ascii="宋体" w:hAnsi="宋体" w:eastAsia="宋体" w:cs="宋体"/>
          <w:b/>
          <w:bCs/>
          <w:sz w:val="21"/>
          <w:szCs w:val="21"/>
          <w:lang w:val="en-US" w:eastAsia="zh-CN"/>
        </w:rPr>
      </w:pPr>
      <w:r>
        <w:rPr>
          <w:rFonts w:hint="eastAsia" w:ascii="Times New Roman" w:hAnsi="Times New Roman" w:eastAsia="宋体" w:cs="宋体"/>
          <w:b/>
          <w:bCs/>
          <w:sz w:val="21"/>
          <w:szCs w:val="21"/>
        </w:rPr>
        <w:t xml:space="preserve">图 </w:t>
      </w:r>
      <w:r>
        <w:rPr>
          <w:rFonts w:hint="eastAsia" w:ascii="Times New Roman" w:hAnsi="Times New Roman" w:eastAsia="宋体" w:cs="宋体"/>
          <w:b/>
          <w:bCs/>
          <w:sz w:val="21"/>
          <w:szCs w:val="21"/>
        </w:rPr>
        <w:fldChar w:fldCharType="begin"/>
      </w:r>
      <w:r>
        <w:rPr>
          <w:rFonts w:hint="eastAsia" w:ascii="Times New Roman" w:hAnsi="Times New Roman" w:eastAsia="宋体" w:cs="宋体"/>
          <w:b/>
          <w:bCs/>
          <w:sz w:val="21"/>
          <w:szCs w:val="21"/>
        </w:rPr>
        <w:instrText xml:space="preserve"> SEQ 图 \* ARABIC </w:instrText>
      </w:r>
      <w:r>
        <w:rPr>
          <w:rFonts w:hint="eastAsia" w:ascii="Times New Roman" w:hAnsi="Times New Roman" w:eastAsia="宋体" w:cs="宋体"/>
          <w:b/>
          <w:bCs/>
          <w:sz w:val="21"/>
          <w:szCs w:val="21"/>
        </w:rPr>
        <w:fldChar w:fldCharType="separate"/>
      </w:r>
      <w:r>
        <w:rPr>
          <w:rFonts w:hint="eastAsia" w:ascii="Times New Roman" w:hAnsi="Times New Roman" w:eastAsia="宋体" w:cs="宋体"/>
          <w:b/>
          <w:bCs/>
          <w:sz w:val="21"/>
          <w:szCs w:val="21"/>
        </w:rPr>
        <w:t>1</w:t>
      </w:r>
      <w:r>
        <w:rPr>
          <w:rFonts w:hint="eastAsia" w:ascii="Times New Roman" w:hAnsi="Times New Roman" w:eastAsia="宋体" w:cs="宋体"/>
          <w:b/>
          <w:bCs/>
          <w:sz w:val="21"/>
          <w:szCs w:val="21"/>
        </w:rPr>
        <w:fldChar w:fldCharType="end"/>
      </w:r>
      <w:r>
        <w:rPr>
          <w:rFonts w:hint="eastAsia" w:ascii="Times New Roman" w:hAnsi="Times New Roman" w:eastAsia="宋体" w:cs="宋体"/>
          <w:b/>
          <w:bCs/>
          <w:sz w:val="21"/>
          <w:szCs w:val="21"/>
          <w:lang w:eastAsia="zh-CN"/>
        </w:rPr>
        <w:t>-1</w:t>
      </w:r>
      <w:r>
        <w:rPr>
          <w:rFonts w:hint="eastAsia" w:ascii="Times New Roman" w:hAnsi="Times New Roman" w:eastAsia="宋体" w:cs="宋体"/>
          <w:b/>
          <w:bCs/>
          <w:sz w:val="21"/>
          <w:szCs w:val="21"/>
          <w:lang w:val="en-US" w:eastAsia="zh-CN"/>
        </w:rPr>
        <w:t xml:space="preserve"> 技术路线图</w:t>
      </w:r>
    </w:p>
    <w:p w14:paraId="72F82E4B">
      <w:pPr>
        <w:pStyle w:val="5"/>
      </w:pPr>
    </w:p>
    <w:p w14:paraId="55DA8BE8">
      <w:pPr>
        <w:pStyle w:val="2"/>
        <w:spacing w:line="400" w:lineRule="exact" w:before="0" w:after="0"/>
        <w:jc w:val="both"/>
      </w:pPr>
      <w:bookmarkStart w:id="43" w:name="_Toc1959"/>
      <w:r>
        <w:rPr>
          <w:b/>
          <w:rFonts w:hint="eastAsia" w:eastAsia="黑体" w:ascii="Times New Roman" w:hAnsi="Times New Roman" w:cs="黑体"/>
          <w:lang w:val="en-US" w:eastAsia="zh-CN"/>
          <w:sz w:val="32"/>
          <w:szCs w:val="32"/>
        </w:rPr>
        <w:t>第二章 理论基础</w:t>
      </w:r>
      <w:bookmarkEnd w:id="43"/>
    </w:p>
    <w:p w14:paraId="420FC266">
      <w:pPr>
        <w:pStyle w:val="3"/>
        <w:spacing w:before="240" w:after="240" w:line="400" w:lineRule="exact"/>
        <w:ind w:firstLine="0" w:firstLineChars="0"/>
        <w:rPr>
          <w:rFonts w:hint="default" w:eastAsia="黑体"/>
          <w:lang w:val="en-US" w:eastAsia="zh-CN"/>
        </w:rPr>
        <w:jc w:val="both"/>
      </w:pPr>
      <w:bookmarkStart w:id="44" w:name="_Toc21534"/>
      <w:r>
        <w:rPr>
          <w:b/>
          <w:rFonts w:eastAsia="黑体" w:ascii="Times New Roman" w:hAnsi="Times New Roman" w:cs="黑体"/>
          <w:sz w:val="28"/>
          <w:szCs w:val="28"/>
        </w:rPr>
        <w:t>2.1</w:t>
      </w:r>
      <w:r>
        <w:rPr>
          <w:b/>
          <w:rFonts w:hint="eastAsia" w:eastAsia="黑体" w:ascii="Times New Roman" w:hAnsi="Times New Roman" w:cs="黑体"/>
          <w:lang w:val="en-US" w:eastAsia="zh-CN"/>
          <w:sz w:val="28"/>
          <w:szCs w:val="28"/>
        </w:rPr>
        <w:t>核心概念界定</w:t>
      </w:r>
      <w:bookmarkEnd w:id="44"/>
    </w:p>
    <w:p w14:paraId="64649640">
      <w:pPr>
        <w:pStyle w:val="4"/>
        <w:spacing w:line="400" w:lineRule="exact" w:before="0" w:after="0"/>
        <w:rPr>
          <w:rFonts w:hint="eastAsia" w:ascii="Times New Roman" w:hAnsi="Times New Roman" w:eastAsia="黑体"/>
          <w:szCs w:val="21"/>
          <w:lang w:eastAsia="zh-CN"/>
        </w:rPr>
        <w:jc w:val="both"/>
      </w:pPr>
      <w:bookmarkStart w:id="45" w:name="_Toc448094852"/>
      <w:bookmarkStart w:id="46" w:name="_Toc485048993"/>
      <w:bookmarkStart w:id="47" w:name="_Toc484182524"/>
      <w:bookmarkStart w:id="48" w:name="_Toc485389080"/>
      <w:r>
        <w:rPr>
          <w:b/>
          <w:rFonts w:ascii="Times New Roman" w:hAnsi="Times New Roman" w:eastAsia="黑体" w:cs="黑体"/>
          <w:szCs w:val="24"/>
          <w:sz w:val="24"/>
        </w:rPr>
        <w:t>2.1</w:t>
      </w:r>
      <w:bookmarkEnd w:id="45"/>
      <w:r>
        <w:rPr>
          <w:b/>
          <w:rFonts w:ascii="Times New Roman" w:hAnsi="Times New Roman" w:eastAsia="黑体" w:cs="黑体"/>
          <w:szCs w:val="24"/>
          <w:sz w:val="24"/>
        </w:rPr>
        <w:t>.1</w:t>
      </w:r>
      <w:bookmarkEnd w:id="46"/>
      <w:bookmarkEnd w:id="47"/>
      <w:bookmarkEnd w:id="48"/>
      <w:r>
        <w:rPr>
          <w:b/>
          <w:rFonts w:hint="eastAsia" w:ascii="Times New Roman" w:hAnsi="Times New Roman" w:eastAsia="黑体" w:cs="黑体"/>
          <w:szCs w:val="24"/>
          <w:lang w:val="en-US" w:eastAsia="zh-CN"/>
          <w:sz w:val="24"/>
        </w:rPr>
        <w:t>集群电商</w:t>
      </w:r>
    </w:p>
    <w:p w14:paraId="42D3846D">
      <w:pPr>
        <w:spacing w:line="400" w:lineRule="exact" w:before="0" w:after="0"/>
        <w:ind w:firstLine="480"/>
        <w:rPr>
          <w:rFonts w:ascii="宋体" w:hAnsi="宋体" w:eastAsia="宋体" w:cs="宋体"/>
          <w:sz w:val="24"/>
          <w:szCs w:val="24"/>
        </w:rPr>
        <w:jc w:val="both"/>
      </w:pPr>
      <w:r>
        <w:rPr>
          <w:rFonts w:ascii="Times New Roman" w:hAnsi="Times New Roman" w:eastAsia="宋体" w:cs="宋体"/>
          <w:sz w:val="24"/>
          <w:szCs w:val="24"/>
        </w:rPr>
        <w:t>本文所指的集群电商，是指在烟台特定区域范围内，以本地特色产业为核心依托，大量相互关联的电商经营主体、配套服务企业、物流机构、行业协会及相关管理部门在空间上集聚，通过专业化分工与网络化协作形成的，具有持续竞争优势的电商产业组织形态。其核心特征包括：以本地特色产业为根基、空间集聚性显著、内部形成完善的分工协作网络、兼具规模效应与协同效应、能够带动区域经济与产业协同发展。</w:t>
      </w:r>
    </w:p>
    <w:p w14:paraId="342290FA">
      <w:pPr>
        <w:pStyle w:val="4"/>
        <w:spacing w:line="400" w:lineRule="exact" w:before="0" w:after="0"/>
        <w:rPr>
          <w:rFonts w:hint="default" w:ascii="Times New Roman" w:hAnsi="Times New Roman" w:eastAsia="黑体"/>
          <w:szCs w:val="21"/>
          <w:lang w:val="en-US" w:eastAsia="zh-CN"/>
        </w:rPr>
        <w:jc w:val="both"/>
      </w:pPr>
      <w:r>
        <w:rPr>
          <w:b/>
          <w:rFonts w:ascii="Times New Roman" w:hAnsi="Times New Roman" w:eastAsia="黑体" w:cs="黑体"/>
          <w:szCs w:val="24"/>
          <w:sz w:val="24"/>
        </w:rPr>
        <w:t>2.1.</w:t>
      </w:r>
      <w:r>
        <w:rPr>
          <w:b/>
          <w:rFonts w:hint="eastAsia" w:ascii="Times New Roman" w:hAnsi="Times New Roman" w:eastAsia="黑体" w:cs="黑体"/>
          <w:szCs w:val="24"/>
          <w:lang w:val="en-US" w:eastAsia="zh-CN"/>
          <w:sz w:val="24"/>
        </w:rPr>
        <w:t>2资源禀赋</w:t>
      </w:r>
    </w:p>
    <w:p w14:paraId="0AEBD6DC">
      <w:pPr>
        <w:spacing w:line="400" w:lineRule="exact" w:before="0" w:after="0"/>
        <w:ind w:firstLine="480"/>
        <w:rPr>
          <w:rFonts w:ascii="宋体" w:hAnsi="宋体" w:eastAsia="宋体" w:cs="宋体"/>
          <w:sz w:val="24"/>
          <w:szCs w:val="24"/>
        </w:rPr>
        <w:jc w:val="both"/>
      </w:pPr>
      <w:r>
        <w:rPr>
          <w:rFonts w:ascii="Times New Roman" w:hAnsi="Times New Roman" w:eastAsia="宋体" w:cs="宋体"/>
          <w:sz w:val="24"/>
          <w:szCs w:val="24"/>
        </w:rPr>
        <w:t>本文所指的资源禀赋，是指烟台地区能够支撑集群电商发展的各类天然与产业资源，核心包括特色农产品资源、海洋渔业资源、文旅资源、制造业产业资源、港口物流资源等，是烟台集群电商形成与发展的核心基础，也是构建区域产业核心竞争力的关键依托。</w:t>
      </w:r>
    </w:p>
    <w:p w14:paraId="36816484">
      <w:pPr>
        <w:pStyle w:val="4"/>
        <w:spacing w:line="400" w:lineRule="exact" w:before="0" w:after="0"/>
        <w:rPr>
          <w:rFonts w:hint="default" w:ascii="Times New Roman" w:hAnsi="Times New Roman" w:eastAsia="黑体"/>
          <w:szCs w:val="21"/>
          <w:lang w:val="en-US" w:eastAsia="zh-CN"/>
        </w:rPr>
        <w:jc w:val="both"/>
      </w:pPr>
      <w:r>
        <w:rPr>
          <w:b/>
          <w:rFonts w:ascii="Times New Roman" w:hAnsi="Times New Roman" w:eastAsia="黑体" w:cs="黑体"/>
          <w:szCs w:val="24"/>
          <w:sz w:val="24"/>
        </w:rPr>
        <w:t>2.1.</w:t>
      </w:r>
      <w:r>
        <w:rPr>
          <w:b/>
          <w:rFonts w:hint="eastAsia" w:ascii="Times New Roman" w:hAnsi="Times New Roman" w:eastAsia="黑体" w:cs="黑体"/>
          <w:szCs w:val="24"/>
          <w:lang w:val="en-US" w:eastAsia="zh-CN"/>
          <w:sz w:val="24"/>
        </w:rPr>
        <w:t>3数字技能</w:t>
      </w:r>
    </w:p>
    <w:p w14:paraId="781FCB69">
      <w:pPr>
        <w:spacing w:line="400" w:lineRule="exact" w:before="0" w:after="0"/>
        <w:ind w:firstLine="480"/>
        <w:rPr>
          <w:rFonts w:ascii="宋体" w:hAnsi="宋体" w:eastAsia="宋体" w:cs="宋体"/>
          <w:sz w:val="24"/>
          <w:szCs w:val="24"/>
        </w:rPr>
        <w:jc w:val="both"/>
      </w:pPr>
      <w:r>
        <w:rPr>
          <w:rFonts w:ascii="Times New Roman" w:hAnsi="Times New Roman" w:eastAsia="宋体" w:cs="宋体"/>
          <w:sz w:val="24"/>
          <w:szCs w:val="24"/>
        </w:rPr>
        <w:t>本文所指的数字技能，是指电商从业者在电商经营过程中，运用各类数字化工具的综合能力，核心包括电商平台运营、直播与短视频营销、数据分析、数字化管理、品牌线上推广等核心能力，是数字技术赋能转化为电商经营效益的核心载体。</w:t>
      </w:r>
    </w:p>
    <w:p w14:paraId="4C5E937E">
      <w:pPr>
        <w:pStyle w:val="3"/>
        <w:spacing w:before="240" w:after="240" w:line="400" w:lineRule="exact"/>
        <w:ind w:firstLine="0" w:firstLineChars="0"/>
        <w:rPr>
          <w:rFonts w:hint="eastAsia" w:eastAsia="黑体"/>
          <w:lang w:eastAsia="zh-CN"/>
        </w:rPr>
        <w:jc w:val="both"/>
      </w:pPr>
      <w:bookmarkStart w:id="49" w:name="_Toc15879"/>
      <w:r>
        <w:rPr>
          <w:b/>
          <w:rFonts w:eastAsia="黑体" w:ascii="Times New Roman" w:hAnsi="Times New Roman" w:cs="黑体"/>
          <w:sz w:val="28"/>
          <w:szCs w:val="28"/>
        </w:rPr>
        <w:t>2.2理论基础</w:t>
      </w:r>
      <w:bookmarkEnd w:id="49"/>
    </w:p>
    <w:p w14:paraId="386AD302">
      <w:pPr>
        <w:pStyle w:val="4"/>
        <w:spacing w:line="400" w:lineRule="exact" w:before="0" w:after="0"/>
        <w:rPr>
          <w:rFonts w:hint="default" w:ascii="Times New Roman" w:hAnsi="Times New Roman" w:eastAsia="黑体"/>
          <w:szCs w:val="21"/>
          <w:lang w:val="en-US" w:eastAsia="zh-CN"/>
        </w:rPr>
        <w:jc w:val="both"/>
      </w:pPr>
      <w:r>
        <w:rPr>
          <w:b/>
          <w:rFonts w:ascii="Times New Roman" w:hAnsi="Times New Roman" w:eastAsia="黑体" w:cs="黑体"/>
          <w:szCs w:val="24"/>
          <w:sz w:val="24"/>
        </w:rPr>
        <w:t>2.2.1资源编排理论（Resource Orchestration Theory）</w:t>
      </w:r>
    </w:p>
    <w:p w14:paraId="74FDB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highlight w:val="yellow"/>
        </w:rPr>
      </w:pPr>
      <w:r>
        <w:rPr>
          <w:rFonts w:ascii="Times New Roman" w:hAnsi="Times New Roman" w:eastAsia="宋体" w:cs="宋体"/>
          <w:color w:val="000000"/>
          <w:kern w:val="0"/>
          <w:sz w:val="24"/>
          <w:szCs w:val="24"/>
          <w:highlight w:val="yellow"/>
          <w:lang w:val="en-US" w:eastAsia="zh-CN" w:bidi="ar"/>
        </w:rPr>
        <w:t>资源编排理论（Resource Orchestration Theory）由Sirmon、Hitt与Ireland（2007）在《管理学评论》（Academy of Management Review）中系统提出，并经Sirmon等（2011）在《管理学学报》（Academy of Management Journal）中进一步完善。该理论的核心命题是：资源优势的形成并不取决于资源的单独持有量，而是取决于管理者能否对资源组合进行系统性编排——通过"结构化（structuring）——捆绑（bundling）——杠杆化（leveraging）"三个递进阶段，将分散的异质性资源转化为持续竞争优势与绩效产出（Sirmon et al.，2011）。</w:t>
      </w:r>
    </w:p>
    <w:p w14:paraId="6E5E4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资源编排理论的三个核心阶段各有侧重：结构化阶段关注资源的获取、积累与优化配置，即确保组织拥有必要的资源基底；捆绑阶段关注不同资源要素如何通过组合协作形成综合能力，单一资源的价值在此阶段得以放大；杠杆化阶段则强调能力如何在具体情境中部署，最终实现价值创造与绩效兑现（Hitt et al.，2011）。该理论明确指出，单一资源的丰裕并不必然产生竞争优势，绩效突破的实现依赖于多种资源要素的"组合协同"，不同的资源组合结构可以产生等效的竞争优势。</w:t>
      </w:r>
    </w:p>
    <w:p w14:paraId="1191A599">
      <w:pPr>
        <w:spacing w:before="0" w:after="0" w:line="400" w:lineRule="exact"/>
        <w:jc w:val="both"/>
        <w:ind w:firstLine="480"/>
      </w:pPr>
      <w:r>
        <w:rPr>
          <w:rFonts w:eastAsia="宋体" w:ascii="Times New Roman" w:hAnsi="Times New Roman" w:cs="宋体"/>
          <w:sz w:val="24"/>
          <w:szCs w:val="24"/>
        </w:rPr>
        <w:t>资源编排理论与本文研究框架的内在逻辑高度契合。在资源编排视角下，烟台农村电商集群的发展可被理解为一个"多层次资源编排"过程：政府政策（GP）、人才支撑（TS）、技术创新水平（TI）、资源禀赋（EN）四类外生变量，构成集群可动员的原始资源基底，对应资源编排的"结构化"阶段；基础设施（IF）将政策性资源与人力资源捆绑为集群运作的物质能力支撑，数字化能力（DS）将技术资源与禀赋资源捆绑为集群的数字化市场运营能力，两者共同构成资源编排的"捆绑"阶段——这直接解释了IF与DS在本文SEM模型中担任中介变量的理论依据；集群电商发展水平（CDL）则是资源编排完成后通过持续竞争绩效兑现的"杠杆化"产出。资源编排理论还强调多种资源组合协同产生绩效的理念，与fsQCA"多条件联动驱动结果、多条等效组态路径并存"的配置性逻辑深度呼应，为本文混合方法设计提供了统一的理论底座。</w:t>
      </w:r>
    </w:p>
    <w:p>
      <w:pPr>
        <w:spacing w:before="0" w:after="0" w:line="400" w:lineRule="exact"/>
        <w:jc w:val="both"/>
        <w:ind w:firstLine="480"/>
      </w:pPr>
      <w:r>
        <w:t>近年来，基于资源编排理论（ROT）的组态研究已形成较稳定的应用证据链，进一步支撑本文将ROT作为核心理论基础。张占贞、蔡冰冰（2024）以农业企业数字化转型为对象，证明了“资源结构化—能力捆绑—价值杠杆化”可通过多条等效组态实现同一高绩效结果；肖美丹、蔡宝进、沙德春（2025）在绿色技术创新与新质生产力研究中发现，不同资源要素在不同情境下存在显著替代与互补关系，符合ROT关于“资源组合优于单一资源”的核心命题；焦鑫铭（2025）在新能源汽车企业财务绩效研究中同样识别出多条并行有效路径，进一步验证了ROT与fsQCA在复杂因果识别上的方法兼容性。据此，本文以ROT统摄政策治理（GP）、人才支撑（TS）、基础设施建设（IF）、技术创新（TI）、数字化能力（DS）与资源禀赋（EN）六类条件，既能够解释资源编排的阶段性传导机制，也能够解释多条件联动下“殊途同归”的集群电商发展结果。</w:t>
      </w:r>
    </w:p>
    <w:p w14:paraId="462365E6">
      <w:pPr>
        <w:pStyle w:val="4"/>
        <w:spacing w:line="400" w:lineRule="exact" w:before="0" w:after="0"/>
        <w:rPr>
          <w:rFonts w:hint="default" w:ascii="Times New Roman" w:hAnsi="Times New Roman" w:eastAsia="黑体"/>
          <w:szCs w:val="21"/>
          <w:lang w:val="en-US" w:eastAsia="zh-CN"/>
        </w:rPr>
        <w:jc w:val="both"/>
      </w:pPr>
      <w:r>
        <w:rPr>
          <w:b/>
          <w:rFonts w:ascii="Times New Roman" w:hAnsi="Times New Roman" w:eastAsia="黑体" w:cs="黑体"/>
          <w:szCs w:val="24"/>
          <w:sz w:val="24"/>
        </w:rPr>
        <w:t>2.2.2技术-组织-环境（TOE）框架</w:t>
      </w:r>
    </w:p>
    <w:p w14:paraId="0B18B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TOE框架由Tornatzky和Fleischer（1990）提出</w:t>
      </w:r>
      <w:r>
        <w:rPr>
          <w:rStyle w:val="FootnoteReference"/>
        </w:rPr>
        <w:endnoteReference w:id="2"/>
      </w:r>
      <w:r>
        <w:rPr>
          <w:rFonts w:ascii="Times New Roman" w:hAnsi="Times New Roman" w:eastAsia="宋体" w:cs="宋体"/>
          <w:color w:val="000000"/>
          <w:kern w:val="0"/>
          <w:sz w:val="24"/>
          <w:szCs w:val="24"/>
          <w:lang w:val="en-US" w:eastAsia="zh-CN" w:bidi="ar"/>
        </w:rPr>
        <w:t>，认为组织的技术创新与应用行为受到技术（Technology）、组织（Organization）、环境（Environment）三个维度因素的共同影响。本文以TOE框架作为变量选取与分类的补充性参照框架，将六大核心影响维度系统整合到技术、组织、环境三个维度中：技术维度包含技术创新水平（TI）与数字化能力（DS）；组织维度包含政策治理（GP）和人才支撑（TS）；环境维度包含基础设施建设（IF）与自然环境及资源禀赋（EN）。TOE框架在此发挥变量体系分类与研究情境适配的辅助作用，其系统性与整体性为六维度变量的整合提供了分析坐标。</w:t>
      </w:r>
    </w:p>
    <w:p w14:paraId="396A1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754D3B7">
      <w:pPr>
        <w:pStyle w:val="4"/>
        <w:spacing w:before="0" w:after="0" w:line="400" w:lineRule="exact"/>
        <w:jc w:val="both"/>
      </w:pPr>
      <w:r>
        <w:rPr>
          <w:b/>
          <w:rFonts w:eastAsia="黑体" w:ascii="Times New Roman" w:hAnsi="Times New Roman" w:cs="黑体"/>
          <w:sz w:val="24"/>
          <w:szCs w:val="24"/>
        </w:rPr>
        <w:t>2.2.3组态理论</w:t>
      </w:r>
    </w:p>
    <w:p w14:paraId="7B6CDD1D">
      <w:pPr>
        <w:spacing w:before="0" w:after="0" w:line="400" w:lineRule="exact"/>
        <w:jc w:val="both"/>
        <w:ind w:firstLine="480"/>
      </w:pPr>
      <w:r>
        <w:rPr>
          <w:rFonts w:eastAsia="宋体" w:ascii="Times New Roman" w:hAnsi="Times New Roman" w:cs="宋体"/>
          <w:sz w:val="24"/>
          <w:szCs w:val="24"/>
        </w:rPr>
        <w:t>组态理论诞生于20世纪初的战略管理领域，其核心思想是：组织的高绩效结果并非由单一因素独立决定，而是由多个相互关联、相互依赖的前因条件，以特定的组合方式协同作用产生的。该理论以整体论为核心，突破了传统还原论"单因素独立影响"的线性思维局限，强调因果关系的三大核心特征：一是多重并发，结果的发生由多个前因条件共同作用；二是等效性，不同的条件组合可以产生相同的结果，即"殊途同归"；三是非对称性，高绩效结果的前因条件组合与低绩效结果的前因条件组合往往并不对称（Ragin，2008）。</w:t>
      </w:r>
    </w:p>
    <w:p w14:paraId="2217E803">
      <w:pPr>
        <w:spacing w:before="0" w:after="0" w:line="400" w:lineRule="exact"/>
        <w:jc w:val="both"/>
        <w:ind w:firstLine="480"/>
      </w:pPr>
      <w:r>
        <w:rPr>
          <w:rFonts w:eastAsia="宋体" w:ascii="Times New Roman" w:hAnsi="Times New Roman" w:cs="宋体"/>
          <w:sz w:val="24"/>
          <w:szCs w:val="24"/>
        </w:rPr>
        <w:t>组态理论与资源编排理论在底层逻辑上高度契合：两者均强调多要素的组合协同而非单一要素的独立作用，前者从方法论层面提供了识别不同要素组合路径的分析工具，后者从理论层面阐明了多资源组合产生竞争优势的内在机制。本文基于组态理论，运用fsQCA方法，探究驱动烟台集群电商高绩效发展的多元条件组态与等效发展路径。</w:t>
      </w:r>
    </w:p>
    <w:p w14:paraId="4A5343C8">
      <w:pPr>
        <w:pStyle w:val="2"/>
        <w:spacing w:line="400" w:lineRule="exact" w:before="0" w:after="0"/>
        <w:rPr>
          <w:lang w:val="zh-CN"/>
        </w:rPr>
        <w:jc w:val="both"/>
      </w:pPr>
      <w:bookmarkStart w:id="50" w:name="_Toc24454"/>
      <w:r>
        <w:rPr>
          <w:b/>
          <w:rFonts w:hint="eastAsia" w:eastAsia="黑体" w:ascii="Times New Roman" w:hAnsi="Times New Roman" w:cs="黑体"/>
          <w:lang w:val="en-US" w:eastAsia="zh-CN"/>
          <w:sz w:val="32"/>
          <w:szCs w:val="32"/>
        </w:rPr>
        <w:t>第三章 研究设计</w:t>
      </w:r>
      <w:bookmarkEnd w:id="50"/>
    </w:p>
    <w:p w14:paraId="7DE972D1">
      <w:pPr>
        <w:pStyle w:val="3"/>
        <w:spacing w:before="240" w:after="240" w:line="400" w:lineRule="exact"/>
        <w:ind w:firstLine="0" w:firstLineChars="0"/>
        <w:rPr>
          <w:rFonts w:hint="default"/>
          <w:szCs w:val="21"/>
          <w:lang w:val="en-US" w:eastAsia="zh-CN"/>
        </w:rPr>
        <w:jc w:val="both"/>
      </w:pPr>
      <w:bookmarkStart w:id="51" w:name="_Toc26904"/>
      <w:r>
        <w:rPr>
          <w:b/>
          <w:rFonts w:eastAsia="黑体" w:ascii="Times New Roman" w:hAnsi="Times New Roman" w:cs="黑体"/>
          <w:szCs w:val="28"/>
          <w:lang w:val="en-US"/>
          <w:sz w:val="28"/>
        </w:rPr>
        <w:t>3.1</w:t>
      </w:r>
      <w:r>
        <w:rPr>
          <w:b/>
          <w:rFonts w:hint="eastAsia" w:eastAsia="黑体" w:ascii="Times New Roman" w:hAnsi="Times New Roman" w:cs="黑体"/>
          <w:szCs w:val="28"/>
          <w:lang w:val="en-US" w:eastAsia="zh-CN"/>
          <w:sz w:val="28"/>
        </w:rPr>
        <w:t>理论模型构建</w:t>
      </w:r>
      <w:bookmarkEnd w:id="51"/>
    </w:p>
    <w:p w14:paraId="7BA4BD17">
      <w:pPr>
        <w:spacing w:line="400" w:lineRule="exact" w:before="0" w:after="0"/>
        <w:ind w:firstLine="480"/>
        <w:rPr>
          <w:rFonts w:ascii="宋体" w:hAnsi="宋体" w:eastAsia="宋体" w:cs="宋体"/>
          <w:sz w:val="24"/>
          <w:szCs w:val="24"/>
        </w:rPr>
        <w:jc w:val="both"/>
      </w:pPr>
      <w:r>
        <w:rPr>
          <w:rFonts w:ascii="Times New Roman" w:hAnsi="Times New Roman" w:eastAsia="宋体" w:cs="宋体"/>
          <w:sz w:val="24"/>
          <w:szCs w:val="24"/>
        </w:rPr>
        <w:t>本文以资源编排理论为核心理论框架，以TOE框架为变量分类参照，结合烟台集群电商发展的实际特征，构建"资源基底—中介转化—绩效产出"三层次整合分析模型，具体如下：在资源基底层，政策治理（GP）、人才支撑（TS）、技术创新水平（TI）、资源禀赋（EN）四大外生变量构成集群的原始资源组合，对应资源编排的"结构化"阶段；在中介转化层，基础设施建设（IF）与数字化能力（DS）作为中介变量，分别承载"GP/TS→IF→CDL"与"TI/EN→DS→CDL"两条核心中介路径，对应资源编排的"捆绑"阶段，将原始资源转化为集群能力；在绩效产出层，集群电商发展水平（CDL）作为结果变量，对应资源编排的"杠杆化"阶段，体现资源编排的最终绩效产出。</w:t>
      </w:r>
    </w:p>
    <w:tbl>
      <w:tblPr>
        <w:tblStyle w:val="33"/>
        <w:tblpPr w:leftFromText="180" w:rightFromText="180" w:vertAnchor="text" w:horzAnchor="page" w:tblpX="1695" w:tblpY="402"/>
        <w:tblOverlap w:val="never"/>
        <w:tblW w:w="5000" w:type="pct"/>
        <w:tblInd w:w="0" w:type="dxa"/>
        <w:shd w:val="clear" w:color="auto" w:fill="auto"/>
        <w:tblLayout w:type="autofit"/>
        <w:tblCellMar>
          <w:top w:w="15" w:type="dxa"/>
          <w:left w:w="15" w:type="dxa"/>
          <w:bottom w:w="15" w:type="dxa"/>
          <w:right w:w="15"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15"/>
        <w:gridCol w:w="6312"/>
      </w:tblGrid>
      <w:tr w14:paraId="1B61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120" w:type="dxa"/>
              <w:bottom w:w="120" w:type="dxa"/>
              <w:right w:w="120" w:type="dxa"/>
            </w:tcMar>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3BC2142">
            <w:pPr>
              <w:keepNext w:val="0"/>
              <w:keepLines w:val="0"/>
              <w:widowControl/>
              <w:suppressLineNumbers w:val="0"/>
              <w:jc w:val="center"/>
              <w:rPr>
                <w:b/>
                <w:bCs/>
              </w:rPr>
              <w:spacing w:before="60" w:after="60" w:line="320" w:lineRule="exact"/>
              <w:ind/>
            </w:pPr>
            <w:r>
              <w:rPr>
                <w:rFonts w:ascii="Times New Roman" w:hAnsi="Times New Roman" w:eastAsia="宋体" w:cs="宋体"/>
                <w:b/>
                <w:bCs/>
                <w:kern w:val="0"/>
                <w:sz w:val="21"/>
                <w:szCs w:val="21"/>
                <w:lang w:val="en-US" w:eastAsia="zh-CN" w:bidi="ar"/>
              </w:rPr>
              <w:t>TOE 框架维度</w:t>
            </w:r>
          </w:p>
        </w:tc>
        <w:tc>
          <w:tcPr>
            <w:tcW w:w="0" w:type="auto"/>
            <w:shd w:val="clear" w:color="auto" w:fill="auto"/>
            <w:tcMar>
              <w:top w:w="120" w:type="dxa"/>
              <w:left w:w="120" w:type="dxa"/>
              <w:bottom w:w="120" w:type="dxa"/>
              <w:right w:w="120" w:type="dxa"/>
            </w:tcMar>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A4E2FD6">
            <w:pPr>
              <w:keepNext w:val="0"/>
              <w:keepLines w:val="0"/>
              <w:widowControl/>
              <w:suppressLineNumbers w:val="0"/>
              <w:jc w:val="center"/>
              <w:rPr>
                <w:b/>
                <w:bCs/>
              </w:rPr>
              <w:spacing w:before="60" w:after="60" w:line="320" w:lineRule="exact"/>
              <w:ind/>
            </w:pPr>
            <w:r>
              <w:rPr>
                <w:rFonts w:ascii="Times New Roman" w:hAnsi="Times New Roman" w:eastAsia="宋体" w:cs="宋体"/>
                <w:b/>
                <w:bCs/>
                <w:kern w:val="0"/>
                <w:sz w:val="21"/>
                <w:szCs w:val="21"/>
                <w:lang w:val="en-US" w:eastAsia="zh-CN" w:bidi="ar"/>
              </w:rPr>
              <w:t>核心潜变量</w:t>
            </w:r>
          </w:p>
        </w:tc>
      </w:tr>
      <w:tr w14:paraId="621720FB">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21B6C11">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技术维度</w:t>
            </w:r>
          </w:p>
        </w:tc>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6B9D270">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技术创新水平、数字化能力</w:t>
            </w:r>
          </w:p>
        </w:tc>
      </w:tr>
      <w:tr w14:paraId="5DD48004">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A3FADAA">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组织维度</w:t>
            </w:r>
          </w:p>
        </w:tc>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8D23FB4">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政策治理、人才支撑</w:t>
            </w:r>
          </w:p>
        </w:tc>
      </w:tr>
      <w:tr w14:paraId="6F12896C">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B2BB935">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环境维度</w:t>
            </w:r>
          </w:p>
        </w:tc>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05C9015">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基础设施建设、资源禀赋</w:t>
            </w:r>
          </w:p>
        </w:tc>
      </w:tr>
      <w:tr w14:paraId="65E08CA8">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3C10B656">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结果变量</w:t>
            </w:r>
          </w:p>
        </w:tc>
        <w:tc>
          <w:tcPr>
            <w:tcW w:w="0" w:type="auto"/>
            <w:shd w:val="clear" w:color="auto" w:fill="auto"/>
            <w:tcMar>
              <w:top w:w="120" w:type="dxa"/>
              <w:left w:w="120" w:type="dxa"/>
              <w:bottom w:w="120" w:type="dxa"/>
              <w:right w:w="120" w:type="dxa"/>
            </w:tcMar>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B71F9B1">
            <w:pPr>
              <w:keepNext w:val="0"/>
              <w:keepLines w:val="0"/>
              <w:widowControl/>
              <w:suppressLineNumbers w:val="0"/>
              <w:jc w:val="center"/>
              <w:spacing w:before="60" w:after="60" w:line="320" w:lineRule="exact"/>
              <w:ind/>
            </w:pPr>
            <w:r>
              <w:rPr>
                <w:rFonts w:ascii="Times New Roman" w:hAnsi="Times New Roman" w:eastAsia="宋体" w:cs="宋体"/>
                <w:kern w:val="0"/>
                <w:sz w:val="21"/>
                <w:szCs w:val="21"/>
                <w:lang w:val="en-US" w:eastAsia="zh-CN" w:bidi="ar"/>
              </w:rPr>
              <w:t>烟台集群电商发展水平</w:t>
            </w:r>
          </w:p>
        </w:tc>
      </w:tr>
    </w:tbl>
    <w:p w14:paraId="2DBA47CB">
      <w:pPr>
        <w:spacing w:line="400" w:lineRule="exact"/>
        <w:ind w:firstLine="480"/>
        <w:rPr>
          <w:rFonts w:ascii="宋体" w:hAnsi="宋体" w:eastAsia="宋体" w:cs="宋体"/>
          <w:sz w:val="24"/>
          <w:szCs w:val="24"/>
        </w:rPr>
      </w:pPr>
    </w:p>
    <w:p w14:paraId="506DD29C">
      <w:pPr>
        <w:pStyle w:val="12"/>
        <w:spacing w:line="400" w:lineRule="exact" w:before="120" w:after="120"/>
        <w:ind w:firstLineChars="0"/>
        <w:jc w:val="center"/>
        <w:rPr>
          <w:rFonts w:hint="eastAsia" w:eastAsia="宋体"/>
          <w:sz w:val="21"/>
          <w:szCs w:val="21"/>
          <w:lang w:eastAsia="zh-CN"/>
        </w:rPr>
      </w:pPr>
      <w:r>
        <w:rPr>
          <w:rFonts w:hint="eastAsia" w:ascii="Times New Roman" w:hAnsi="Times New Roman" w:eastAsia="宋体" w:cs="宋体"/>
          <w:b/>
          <w:bCs/>
          <w:sz w:val="21"/>
          <w:szCs w:val="21"/>
        </w:rPr>
        <w:t xml:space="preserve">表 </w:t>
      </w:r>
      <w:r>
        <w:rPr>
          <w:rFonts w:hint="eastAsia" w:ascii="Times New Roman" w:hAnsi="Times New Roman" w:eastAsia="宋体" w:cs="宋体"/>
          <w:b/>
          <w:bCs/>
          <w:sz w:val="21"/>
          <w:szCs w:val="21"/>
        </w:rPr>
        <w:fldChar w:fldCharType="begin"/>
      </w:r>
      <w:r>
        <w:rPr>
          <w:rFonts w:hint="eastAsia" w:ascii="Times New Roman" w:hAnsi="Times New Roman" w:eastAsia="宋体" w:cs="宋体"/>
          <w:b/>
          <w:bCs/>
          <w:sz w:val="21"/>
          <w:szCs w:val="21"/>
        </w:rPr>
        <w:instrText xml:space="preserve"> SEQ 表 \* ARABIC </w:instrText>
      </w:r>
      <w:r>
        <w:rPr>
          <w:rFonts w:hint="eastAsia" w:ascii="Times New Roman" w:hAnsi="Times New Roman" w:eastAsia="宋体" w:cs="宋体"/>
          <w:b/>
          <w:bCs/>
          <w:sz w:val="21"/>
          <w:szCs w:val="21"/>
        </w:rPr>
        <w:fldChar w:fldCharType="separate"/>
      </w:r>
      <w:r>
        <w:rPr>
          <w:rFonts w:hint="eastAsia" w:ascii="Times New Roman" w:hAnsi="Times New Roman" w:eastAsia="宋体" w:cs="宋体"/>
          <w:b/>
          <w:bCs/>
          <w:sz w:val="21"/>
          <w:szCs w:val="21"/>
        </w:rPr>
        <w:t>1</w:t>
      </w:r>
      <w:r>
        <w:rPr>
          <w:rFonts w:hint="eastAsia" w:ascii="Times New Roman" w:hAnsi="Times New Roman" w:eastAsia="宋体" w:cs="宋体"/>
          <w:b/>
          <w:bCs/>
          <w:sz w:val="21"/>
          <w:szCs w:val="21"/>
        </w:rPr>
        <w:fldChar w:fldCharType="end"/>
      </w:r>
      <w:r>
        <w:rPr>
          <w:rFonts w:hint="eastAsia" w:ascii="Times New Roman" w:hAnsi="Times New Roman" w:eastAsia="宋体" w:cs="宋体"/>
          <w:b/>
          <w:bCs/>
          <w:sz w:val="21"/>
          <w:szCs w:val="21"/>
          <w:lang w:eastAsia="zh-CN"/>
        </w:rPr>
        <w:t>-1 TOE框架维度表</w:t>
      </w:r>
    </w:p>
    <w:p w14:paraId="151CEF4B">
      <w:pPr>
        <w:overflowPunct/>
        <w:spacing w:line="400" w:lineRule="exact" w:before="0" w:after="0"/>
        <w:ind w:firstLine="480" w:firstLineChars="0"/>
        <w:jc w:val="both"/>
      </w:pPr>
      <w:r>
        <w:rPr>
          <w:rFonts w:ascii="Times New Roman" w:hAnsi="Times New Roman" w:eastAsia="宋体" w:cs="宋体"/>
          <w:kern w:val="2"/>
          <w:sz w:val="24"/>
          <w:szCs w:val="24"/>
          <w:lang w:val="en-US" w:eastAsia="zh-CN" w:bidi="ar-SA"/>
        </w:rPr>
        <w:t>本文的研究模型分为两个部分：一是基于SEM的中介影响机制模型，用于验证六大维度核心变量经由基础设施建设（IF）与数字化能力（DS）两个中介变量，对烟台集群电商发展水平产生的间接影响路径；二是基于fsQCA的组态效应模型，以六大核心变量为前因条件，探究多因素联动匹配对集群电商高绩效发展的组合效应与多元等效路径。</w:t>
      </w:r>
    </w:p>
    <w:p w14:paraId="5E644638">
      <w:pPr>
        <w:pStyle w:val="3"/>
        <w:spacing w:before="240" w:after="240" w:line="400" w:lineRule="exact"/>
        <w:ind w:firstLine="0" w:firstLineChars="0"/>
        <w:rPr>
          <w:szCs w:val="21"/>
        </w:rPr>
        <w:jc w:val="both"/>
      </w:pPr>
      <w:bookmarkStart w:id="52" w:name="_Toc19091"/>
      <w:r>
        <w:rPr>
          <w:b/>
          <w:rFonts w:eastAsia="黑体" w:ascii="Times New Roman" w:hAnsi="Times New Roman" w:cs="黑体"/>
          <w:szCs w:val="28"/>
          <w:lang w:val="en-US"/>
          <w:sz w:val="28"/>
        </w:rPr>
        <w:t>3.2</w:t>
      </w:r>
      <w:r>
        <w:rPr>
          <w:b/>
          <w:rFonts w:hint="eastAsia" w:eastAsia="黑体" w:ascii="Times New Roman" w:hAnsi="Times New Roman" w:cs="黑体"/>
          <w:szCs w:val="28"/>
          <w:lang w:val="en-US" w:eastAsia="zh-CN"/>
          <w:sz w:val="28"/>
        </w:rPr>
        <w:t>研究假设提出</w:t>
      </w:r>
      <w:bookmarkEnd w:id="52"/>
    </w:p>
    <w:p w14:paraId="5A0957C2">
      <w:pPr>
        <w:pStyle w:val="4"/>
        <w:tabs>
          <w:tab w:val="clear" w:pos="561"/>
          <w:tab w:val="clear" w:pos="720"/>
        </w:tabs>
        <w:overflowPunct/>
        <w:spacing w:line="400" w:lineRule="exact" w:before="0" w:after="0"/>
        <w:jc w:val="both"/>
        <w:rPr>
          <w:rFonts w:hint="default" w:ascii="Times New Roman" w:hAnsi="Times New Roman" w:eastAsia="黑体"/>
          <w:lang w:val="en-US" w:eastAsia="zh-CN"/>
        </w:rPr>
      </w:pPr>
      <w:r>
        <w:rPr>
          <w:b/>
          <w:rFonts w:ascii="Times New Roman" w:hAnsi="Times New Roman" w:eastAsia="黑体" w:cs="黑体"/>
          <w:sz w:val="24"/>
          <w:szCs w:val="24"/>
        </w:rPr>
        <w:t>3.2.1 研究假设</w:t>
      </w:r>
    </w:p>
    <w:p w14:paraId="172D3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基于资源编排理论与TOE框架，结合现有文献研究成果及烟台集群电商发展的实际情境，本文构建以基础设施建设与数字化能力为双中介的部分中介结构方程模型，提出以下研究假设：</w:t>
      </w:r>
    </w:p>
    <w:p w14:paraId="3292B1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rPr>
          <w:rStyle w:val="36"/>
          <w:b/>
          <w:bCs/>
          <w:color w:val="000000"/>
          <w:sz w:val="24"/>
          <w:szCs w:val="24"/>
        </w:rPr>
        <w:jc w:val="both"/>
      </w:pPr>
      <w:r>
        <w:rPr>
          <w:rStyle w:val="36"/>
          <w:rFonts w:eastAsia="宋体" w:ascii="Times New Roman" w:hAnsi="Times New Roman" w:cs="宋体"/>
          <w:bCs/>
          <w:color w:val="000000"/>
          <w:sz w:val="24"/>
          <w:szCs w:val="24"/>
        </w:rPr>
        <w:t>H1a：政策治理对基础设施建设具有显著正向影响。</w:t>
      </w:r>
    </w:p>
    <w:p w14:paraId="29DB75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rPr>
          <w:rStyle w:val="36"/>
          <w:b/>
          <w:bCs/>
          <w:color w:val="000000"/>
          <w:sz w:val="24"/>
          <w:szCs w:val="24"/>
        </w:rPr>
        <w:jc w:val="both"/>
      </w:pPr>
      <w:r>
        <w:rPr>
          <w:rStyle w:val="36"/>
          <w:rFonts w:eastAsia="宋体" w:ascii="Times New Roman" w:hAnsi="Times New Roman" w:cs="宋体"/>
          <w:bCs/>
          <w:color w:val="000000"/>
          <w:sz w:val="24"/>
          <w:szCs w:val="24"/>
        </w:rPr>
        <w:t>H1b：人才支撑对基础设施建设具有显著正向影响。</w:t>
      </w:r>
    </w:p>
    <w:p w14:paraId="7E1170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rPr>
          <w:rStyle w:val="36"/>
          <w:b/>
          <w:bCs/>
          <w:color w:val="000000"/>
          <w:sz w:val="24"/>
          <w:szCs w:val="24"/>
        </w:rPr>
        <w:jc w:val="both"/>
      </w:pPr>
      <w:r>
        <w:rPr>
          <w:rStyle w:val="36"/>
          <w:rFonts w:eastAsia="宋体" w:ascii="Times New Roman" w:hAnsi="Times New Roman" w:cs="宋体"/>
          <w:bCs/>
          <w:color w:val="000000"/>
          <w:sz w:val="24"/>
          <w:szCs w:val="24"/>
        </w:rPr>
        <w:t>H2a：技术创新水平对数字化能力具有显著正向影响。</w:t>
      </w:r>
    </w:p>
    <w:p w14:paraId="56C4CF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rPr>
          <w:rStyle w:val="36"/>
          <w:b/>
          <w:bCs/>
          <w:color w:val="000000"/>
          <w:sz w:val="24"/>
          <w:szCs w:val="24"/>
        </w:rPr>
        <w:jc w:val="both"/>
      </w:pPr>
      <w:r>
        <w:rPr>
          <w:rStyle w:val="36"/>
          <w:rFonts w:eastAsia="宋体" w:ascii="Times New Roman" w:hAnsi="Times New Roman" w:cs="宋体"/>
          <w:bCs/>
          <w:color w:val="000000"/>
          <w:sz w:val="24"/>
          <w:szCs w:val="24"/>
        </w:rPr>
        <w:t>H2b：资源禀赋对数字化能力具有显著正向影响。</w:t>
      </w:r>
    </w:p>
    <w:p w14:paraId="46F40C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rPr>
          <w:rStyle w:val="36"/>
          <w:b/>
          <w:bCs/>
          <w:color w:val="000000"/>
          <w:sz w:val="24"/>
          <w:szCs w:val="24"/>
        </w:rPr>
        <w:jc w:val="both"/>
      </w:pPr>
      <w:r>
        <w:rPr>
          <w:rStyle w:val="36"/>
          <w:rFonts w:eastAsia="宋体" w:ascii="Times New Roman" w:hAnsi="Times New Roman" w:cs="宋体"/>
          <w:bCs/>
          <w:color w:val="000000"/>
          <w:sz w:val="24"/>
          <w:szCs w:val="24"/>
        </w:rPr>
        <w:t>H3a：基础设施建设对集群电商发展水平具有显著正向影响。</w:t>
      </w:r>
    </w:p>
    <w:p w14:paraId="163E21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rPr>
          <w:rStyle w:val="36"/>
          <w:b/>
          <w:bCs/>
          <w:color w:val="000000"/>
          <w:sz w:val="24"/>
          <w:szCs w:val="24"/>
        </w:rPr>
        <w:jc w:val="both"/>
      </w:pPr>
      <w:r>
        <w:rPr>
          <w:rStyle w:val="36"/>
          <w:rFonts w:eastAsia="宋体" w:ascii="Times New Roman" w:hAnsi="Times New Roman" w:cs="宋体"/>
          <w:bCs/>
          <w:color w:val="000000"/>
          <w:sz w:val="24"/>
          <w:szCs w:val="24"/>
        </w:rPr>
        <w:t>H3b：数字化能力对集群电商发展水平具有显著正向影响。</w:t>
      </w:r>
    </w:p>
    <w:p w14:paraId="28924E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eastAsia="宋体" w:ascii="Times New Roman" w:hAnsi="Times New Roman" w:cs="宋体"/>
          <w:bCs/>
          <w:color w:val="000000"/>
          <w:sz w:val="24"/>
          <w:szCs w:val="24"/>
        </w:rPr>
        <w:t>H4a：基础设施建设在政府政策与集群电商发展水平之间发挥部分中介作用。</w:t>
      </w:r>
    </w:p>
    <w:p w14:paraId="6AB707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eastAsia="宋体" w:ascii="Times New Roman" w:hAnsi="Times New Roman" w:cs="宋体"/>
          <w:bCs/>
          <w:color w:val="000000"/>
          <w:sz w:val="24"/>
          <w:szCs w:val="24"/>
        </w:rPr>
        <w:t>H4b：基础设施建设在人才支撑与集群电商发展水平之间发挥部分中介作用。</w:t>
      </w:r>
    </w:p>
    <w:p w14:paraId="11413D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eastAsia="宋体" w:ascii="Times New Roman" w:hAnsi="Times New Roman" w:cs="宋体"/>
          <w:bCs/>
          <w:color w:val="000000"/>
          <w:sz w:val="24"/>
          <w:szCs w:val="24"/>
        </w:rPr>
        <w:t>H5a：数字化能力在技术创新水平与集群电商发展水平之间发挥部分中介作用。</w:t>
      </w:r>
    </w:p>
    <w:p w14:paraId="0B8208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eastAsia="宋体" w:ascii="Times New Roman" w:hAnsi="Times New Roman" w:cs="宋体"/>
          <w:bCs/>
          <w:color w:val="000000"/>
          <w:sz w:val="24"/>
          <w:szCs w:val="24"/>
        </w:rPr>
        <w:t>H5b：数字化能力在资源禀赋与集群电商发展水平之间发挥部分中介作用。</w:t>
      </w:r>
    </w:p>
    <w:p w14:paraId="6A92FC39">
      <w:pPr>
        <w:pStyle w:val="4"/>
        <w:tabs>
          <w:tab w:val="clear" w:pos="561"/>
          <w:tab w:val="clear" w:pos="720"/>
        </w:tabs>
        <w:overflowPunct/>
        <w:spacing w:line="400" w:lineRule="exact" w:before="0" w:after="0"/>
        <w:jc w:val="both"/>
        <w:rPr>
          <w:rFonts w:hint="eastAsia" w:ascii="Times New Roman" w:hAnsi="Times New Roman"/>
          <w:lang w:val="en-US" w:eastAsia="zh-CN"/>
        </w:rPr>
      </w:pPr>
      <w:r>
        <w:rPr>
          <w:b/>
          <w:rFonts w:ascii="Times New Roman" w:hAnsi="Times New Roman" w:eastAsia="黑体" w:cs="黑体"/>
          <w:sz w:val="24"/>
          <w:szCs w:val="24"/>
        </w:rPr>
        <w:t>3.2.</w:t>
      </w:r>
      <w:r>
        <w:rPr>
          <w:b/>
          <w:rFonts w:hint="eastAsia" w:ascii="Times New Roman" w:hAnsi="Times New Roman" w:eastAsia="黑体" w:cs="黑体"/>
          <w:lang w:val="en-US" w:eastAsia="zh-CN"/>
          <w:sz w:val="24"/>
          <w:szCs w:val="24"/>
        </w:rPr>
        <w:t>2组态路径研究猜想</w:t>
      </w:r>
    </w:p>
    <w:p w14:paraId="301D75E3">
      <w:pPr>
        <w:pStyle w:val="5"/>
        <w:rPr>
          <w:rFonts w:hint="default" w:ascii="宋体" w:hAnsi="宋体" w:eastAsia="宋体" w:cs="宋体"/>
          <w:color w:val="000000"/>
          <w:kern w:val="0"/>
          <w:sz w:val="24"/>
          <w:szCs w:val="24"/>
          <w:lang w:val="en-US" w:eastAsia="zh-CN" w:bidi="ar"/>
        </w:rPr>
        <w:spacing w:before="0" w:after="0" w:line="400" w:lineRule="exact"/>
        <w:jc w:val="both"/>
        <w:ind w:firstLine="480"/>
      </w:pPr>
      <w:r>
        <w:rPr>
          <w:rFonts w:ascii="Times New Roman" w:hAnsi="Times New Roman" w:eastAsia="宋体" w:cs="宋体"/>
          <w:color w:val="000000"/>
          <w:kern w:val="0"/>
          <w:sz w:val="24"/>
          <w:szCs w:val="24"/>
          <w:lang w:val="en-US" w:eastAsia="zh-CN" w:bidi="ar"/>
        </w:rPr>
        <w:t>基于组态理论，本文提出以下研究猜想：烟台集群电商的高绩效发展，并非由单一前因变量独立决定，而是由技术、组织、环境维度的六大变量以不同的组合方式协同作用产生；不存在唯一的最优发展模式，存在多条 “殊途同归” 的等效组态路径，不同资源禀赋、不同发展阶段的集群，可通过差异化的条件组合实现高绩效发展。</w:t>
      </w:r>
    </w:p>
    <w:p w14:paraId="4D9FE210">
      <w:pPr>
        <w:spacing w:line="400" w:lineRule="exact"/>
        <w:ind w:left="0" w:leftChars="0" w:firstLine="0" w:firstLineChars="0"/>
      </w:pPr>
    </w:p>
    <w:p w14:paraId="3B06FD61">
      <w:pPr>
        <w:pStyle w:val="3"/>
        <w:spacing w:before="240" w:after="240" w:line="400" w:lineRule="exact"/>
        <w:ind w:firstLine="0" w:firstLineChars="0"/>
        <w:rPr>
          <w:szCs w:val="21"/>
        </w:rPr>
        <w:jc w:val="both"/>
      </w:pPr>
      <w:bookmarkStart w:id="53" w:name="_Toc24192"/>
      <w:r>
        <w:rPr>
          <w:b/>
          <w:rFonts w:eastAsia="黑体" w:ascii="Times New Roman" w:hAnsi="Times New Roman" w:cs="黑体"/>
          <w:szCs w:val="28"/>
          <w:lang w:val="en-US"/>
          <w:sz w:val="28"/>
        </w:rPr>
        <w:t>3.3</w:t>
      </w:r>
      <w:r>
        <w:rPr>
          <w:b/>
          <w:rFonts w:hint="eastAsia" w:eastAsia="黑体" w:ascii="Times New Roman" w:hAnsi="Times New Roman" w:cs="黑体"/>
          <w:szCs w:val="28"/>
          <w:lang w:val="en-US" w:eastAsia="zh-CN"/>
          <w:sz w:val="28"/>
        </w:rPr>
        <w:t>问卷设计与变量测量</w:t>
      </w:r>
      <w:bookmarkEnd w:id="53"/>
    </w:p>
    <w:p w14:paraId="0501FE36">
      <w:pPr>
        <w:pStyle w:val="4"/>
        <w:tabs>
          <w:tab w:val="clear" w:pos="561"/>
          <w:tab w:val="clear" w:pos="720"/>
        </w:tabs>
        <w:overflowPunct/>
        <w:spacing w:line="400" w:lineRule="exact" w:before="0" w:after="0"/>
        <w:jc w:val="both"/>
        <w:rPr>
          <w:color w:val="000000"/>
          <w:sz w:val="24"/>
          <w:szCs w:val="24"/>
        </w:rPr>
      </w:pPr>
      <w:r>
        <w:rPr>
          <w:b/>
          <w:rFonts w:eastAsia="黑体" w:ascii="Times New Roman" w:hAnsi="Times New Roman" w:cs="黑体"/>
          <w:color w:val="000000"/>
          <w:sz w:val="24"/>
          <w:szCs w:val="24"/>
        </w:rPr>
        <w:t>3.3.1 问卷设计流程与结构</w:t>
      </w:r>
    </w:p>
    <w:p w14:paraId="1CE3D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本文的问卷设计严格遵循社会科学研究的学术规范，围绕本文的研究模型、核心变量与研究问题展开，确保问卷的科学性、针对性与情境适配性，具体设计过程与结构如下：</w:t>
      </w:r>
    </w:p>
    <w:p w14:paraId="6991E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问卷设计原则与依据本次问卷设计以本文构建的 TOE 三维度六因素研究模型为核心，题项设计主要遵循三大原则：一是科学性原则，核心变量的测量题项均借鉴国内外相关领域已通过信效度检验的成熟量表，确保测量工具的学术严谨性；二是本土化原则，结合烟台集群电商发展的产业特征、本地资源禀赋与调研对象的实际经营场景，对成熟量表的题项表述进行适配性调整，避免题项与调研情境脱节；三是易懂性原则，题项表述简洁直白，无专业歧义与引导性表述，适配不同学历、不同从业年限的调研对象的认知水平。</w:t>
      </w:r>
    </w:p>
    <w:p w14:paraId="7C9C7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基于上述原则，本文已完成正式调查问卷的设计与定稿，问卷围绕研究核心问题设置对应题项，完整覆盖本文的六大核心影响维度与结果变量，能够为后续实证分析提供有效的数据支撑。</w:t>
      </w:r>
    </w:p>
    <w:p w14:paraId="79733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问卷结构与内容本文的正式调查问卷共分为五个部分，各部分内容与题项设置和设计的问卷完全一致，具体如下：第一部分为个人基本信息，共设置 6 道单选题，涵盖受访者的性别、年龄、最高学历、常住居住地、个人月均收入区间、职业类型 6 项基础信息，用于后续样本特征的描述性统计分析。第二部分为职业差异化题目，针对不同职业类型的受访者设置对应题项，包含政府 / 事业单位工作人员专属题、电商经营主体专属题、全职业通用多选题，共 6 道题，用于补充收集不同主体对烟台集群电商发展的差异化认知。第三部分为集群电商经济发展影响因素李克特量表题，为本次问卷的核心部分，对应本文的六大核心研究维度，共设置 18 道题，采用 Likert 5 级量表进行测量，1 代表 “完全不认同”，5 代表 “完全认同”，用于获取受访者对各维度影响因素的评价数据，是后续 SEM 与 fsQCA 分析的核心数据来源。第四部分为集群电商发展现状与障碍单选题，共设置 3 道题，用于了解受访者对烟台集群电商整体发展阶段、经营主体数字化转型进度、核心发展障碍的认知，补充完善研究数据。第五部分为开放问答题，设置 1 道填空题，用于收集受访者对烟台集群电商发展现存障碍、改进建议的补充性观点，丰富研究的实践参考内容。</w:t>
      </w:r>
    </w:p>
    <w:p w14:paraId="143F5EFB">
      <w:pPr>
        <w:spacing w:line="400" w:lineRule="exact"/>
        <w:ind w:firstLine="0" w:firstLineChars="0"/>
        <w:rPr>
          <w:szCs w:val="21"/>
        </w:rPr>
      </w:pPr>
    </w:p>
    <w:p w14:paraId="53D9FC1C">
      <w:pPr>
        <w:pStyle w:val="4"/>
        <w:tabs>
          <w:tab w:val="clear" w:pos="561"/>
          <w:tab w:val="clear" w:pos="720"/>
        </w:tabs>
        <w:overflowPunct/>
        <w:spacing w:line="400" w:lineRule="exact" w:before="0" w:after="0"/>
        <w:jc w:val="both"/>
        <w:rPr>
          <w:rFonts w:hint="eastAsia" w:ascii="Times New Roman" w:hAnsi="Times New Roman"/>
          <w:lang w:val="en-US" w:eastAsia="zh-CN"/>
        </w:rPr>
      </w:pPr>
      <w:r>
        <w:rPr>
          <w:b/>
          <w:rFonts w:ascii="Times New Roman" w:hAnsi="Times New Roman" w:eastAsia="黑体" w:cs="黑体"/>
          <w:sz w:val="24"/>
          <w:szCs w:val="24"/>
        </w:rPr>
        <w:t>3.3.2 核心变量测量题项</w:t>
      </w:r>
    </w:p>
    <w:p w14:paraId="2880C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eastAsia="宋体" w:ascii="Times New Roman" w:hAnsi="Times New Roman" w:cs="宋体"/>
          <w:sz w:val="24"/>
          <w:szCs w:val="24"/>
        </w:rPr>
        <w:t>本文核心变量的测量题项依据成熟量表并结合烟台集群电商实际情境进行适配性调整，经预调研信效度检验后确定，采用李克特五点量表</w:t>
      </w:r>
      <w:r>
        <w:rPr>
          <w:rStyle w:val="FootnoteReference"/>
        </w:rPr>
        <w:endnoteReference w:id="7"/>
      </w:r>
      <w:r>
        <w:rPr>
          <w:rFonts w:eastAsia="宋体" w:ascii="Times New Roman" w:hAnsi="Times New Roman" w:cs="宋体"/>
          <w:sz w:val="24"/>
          <w:szCs w:val="24"/>
        </w:rPr>
        <w:t xml:space="preserve">（1=完全不认同，5=完全认同）进行测量，具体题项及参考量表来源见表3-2。</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1"/>
        <w:gridCol w:w="3001"/>
        <w:gridCol w:w="3001"/>
      </w:tblGrid>
      <w:tr w14:paraId="52A7D48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C8A4A1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b/>
                <w:rFonts w:hint="eastAsia" w:ascii="Times New Roman" w:hAnsi="Times New Roman" w:cs="宋体" w:eastAsia="宋体"/>
                <w:color w:val="000000"/>
                <w:kern w:val="0"/>
                <w:sz w:val="21"/>
                <w:szCs w:val="21"/>
                <w:vertAlign w:val="baseline"/>
                <w:lang w:val="en-US" w:eastAsia="zh-CN" w:bidi="ar"/>
              </w:rPr>
              <w:t>变量</w:t>
            </w:r>
          </w:p>
        </w:tc>
        <w:tc>
          <w:tcPr>
            <w:tcW w:w="3001"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39F7E1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b/>
                <w:rFonts w:hint="eastAsia" w:ascii="Times New Roman" w:hAnsi="Times New Roman" w:cs="宋体" w:eastAsia="宋体"/>
                <w:color w:val="000000"/>
                <w:kern w:val="0"/>
                <w:sz w:val="21"/>
                <w:szCs w:val="21"/>
                <w:vertAlign w:val="baseline"/>
                <w:lang w:val="en-US" w:eastAsia="zh-CN" w:bidi="ar"/>
              </w:rPr>
              <w:t>题项</w:t>
            </w:r>
          </w:p>
        </w:tc>
        <w:tc>
          <w:tcPr>
            <w:tcW w:w="3001"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2B92889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b/>
                <w:rFonts w:hint="eastAsia" w:ascii="Times New Roman" w:hAnsi="Times New Roman" w:cs="宋体" w:eastAsia="宋体"/>
                <w:color w:val="000000"/>
                <w:kern w:val="0"/>
                <w:sz w:val="21"/>
                <w:szCs w:val="21"/>
                <w:vertAlign w:val="baseline"/>
                <w:lang w:val="en-US" w:eastAsia="zh-CN" w:bidi="ar"/>
              </w:rPr>
              <w:t>参考文献</w:t>
            </w:r>
          </w:p>
        </w:tc>
      </w:tr>
      <w:tr w14:paraId="4901FB5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5C595A7">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政策治理（GP）</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7EE64F9">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GP1：当地政府出台的电商扶持政策与集群电商的实际发展需求相符合</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C00AD46">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Tornatzky &amp; Fleischer，1990；吴结兵等，2016</w:t>
            </w:r>
          </w:p>
        </w:tc>
      </w:tr>
      <w:tr w14:paraId="4EFDE9A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37312BA1">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095B1E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GP2：当地政府对电商集群的统筹规划与治理举措有助于产业规范有序地发展</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Tornatzky &amp; Fleischer，1990；吴结兵等，2016</w:t>
            </w:r>
          </w:p>
        </w:tc>
      </w:tr>
      <w:tr w14:paraId="6D548C0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5D8BF5FB">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E58CE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hint="default" w:ascii="宋体" w:hAnsi="宋体" w:eastAsia="宋体" w:cs="宋体"/>
                <w:color w:val="000000"/>
                <w:kern w:val="0"/>
                <w:sz w:val="24"/>
                <w:szCs w:val="24"/>
                <w:lang w:val="en-US" w:eastAsia="zh-CN" w:bidi="ar"/>
              </w:rPr>
            </w:pPr>
            <w:r>
              <w:rPr>
                <w:rFonts w:eastAsia="宋体" w:ascii="Times New Roman" w:hAnsi="Times New Roman" w:cs="宋体"/>
                <w:sz w:val="21"/>
                <w:szCs w:val="21"/>
              </w:rPr>
              <w:t>GP3：政府部门在电商产业监管约束与公共服务供给之间保持了合理平衡</w:t>
            </w:r>
          </w:p>
          <w:p w14:paraId="789B31BC">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Tornatzky &amp; Fleischer，1990；吴结兵等，2016</w:t>
            </w:r>
          </w:p>
        </w:tc>
      </w:tr>
      <w:tr w14:paraId="62FF4B4B">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B7B2783">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人才支撑（TS）</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96E5CB0">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TS1：当地电商行业专业运营与技术人才的整体供给水平与企业实际发展需求相匹配</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0C2388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Chang &amp; Chen，2004；李海舰等，2018</w:t>
            </w:r>
          </w:p>
        </w:tc>
      </w:tr>
      <w:tr w14:paraId="4D220BC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711B52CA">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341232B">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TS2：当地高校与职业培训机构向电商行业持续输送了具备专业素质的人才</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Chang &amp; Chen，2004；李海舰等，2018</w:t>
            </w:r>
          </w:p>
        </w:tc>
      </w:tr>
      <w:tr w14:paraId="4299B57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78EA58E9">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C6C2C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ascii="宋体" w:hAnsi="宋体" w:eastAsia="宋体" w:cs="宋体"/>
                <w:color w:val="000000"/>
                <w:kern w:val="0"/>
                <w:sz w:val="24"/>
                <w:szCs w:val="24"/>
                <w:lang w:val="en-US" w:eastAsia="zh-CN" w:bidi="ar"/>
              </w:rPr>
            </w:pPr>
            <w:r>
              <w:rPr>
                <w:rFonts w:eastAsia="宋体" w:ascii="Times New Roman" w:hAnsi="Times New Roman" w:cs="宋体"/>
                <w:sz w:val="21"/>
                <w:szCs w:val="21"/>
              </w:rPr>
              <w:t>TS3：当地电商企业能够在可接受的条件下完成专业人才的招募与保留</w:t>
            </w:r>
          </w:p>
          <w:p w14:paraId="38513789">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Chang &amp; Chen，2004；李海舰等，2018</w:t>
            </w:r>
          </w:p>
        </w:tc>
      </w:tr>
      <w:tr w14:paraId="003D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1"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4594D4A">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基础设施建设（IF）</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2DD2A0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IF1：当地网络通信（宽带/5G）等数字化基础设施的建设水平基本满足电商业务的运营需求</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AB79697">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Iacovou et al.，1995；刘笑尘等，2020</w:t>
            </w:r>
          </w:p>
        </w:tc>
      </w:tr>
      <w:tr w14:paraId="2220FBD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192EECA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BFE399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IF2：当地物流配送、仓储等电商配套基础设施的整体布局能够支撑集群电商的规模化运营</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Iacovou et al.，1995；刘笑尘等，2020</w:t>
            </w:r>
          </w:p>
        </w:tc>
      </w:tr>
      <w:tr w14:paraId="5470E41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45B24E8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56694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hint="default" w:ascii="宋体" w:hAnsi="宋体" w:eastAsia="宋体" w:cs="宋体"/>
                <w:color w:val="000000"/>
                <w:kern w:val="0"/>
                <w:sz w:val="24"/>
                <w:szCs w:val="24"/>
                <w:lang w:val="en-US" w:eastAsia="zh-CN" w:bidi="ar"/>
              </w:rPr>
            </w:pPr>
            <w:r>
              <w:rPr>
                <w:rFonts w:eastAsia="宋体" w:ascii="Times New Roman" w:hAnsi="Times New Roman" w:cs="宋体"/>
                <w:sz w:val="21"/>
                <w:szCs w:val="21"/>
              </w:rPr>
              <w:t>IF3：当地交通基础设施的整体条件有助于保障电商货物流通与市场覆盖效率</w:t>
            </w:r>
          </w:p>
          <w:p w14:paraId="02F2D876">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Iacovou et al.，1995；刘笑尘等，2020</w:t>
            </w:r>
          </w:p>
        </w:tc>
      </w:tr>
      <w:tr w14:paraId="530FFA2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D5E653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技术创新水平（TI）</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B81B7E8">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TI1：当地电商企业总体上具备将数字化运营技术应用于日常经营的基本能力</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0C9A3D4">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Rogers，1995；鲁耀斌等，2022</w:t>
            </w:r>
          </w:p>
        </w:tc>
      </w:tr>
      <w:tr w14:paraId="2423BD9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6036F8A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922E8A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TI2：大数据分析、直播及短视频等新兴数字技术在当地电商企业中得到了一定程度的实际应用</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Rogers，1995；鲁耀斌等，2022</w:t>
            </w:r>
          </w:p>
        </w:tc>
      </w:tr>
      <w:tr w14:paraId="75D22E0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63662C26">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78F39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hint="default" w:ascii="宋体" w:hAnsi="宋体" w:eastAsia="宋体" w:cs="宋体"/>
                <w:color w:val="000000"/>
                <w:kern w:val="0"/>
                <w:sz w:val="24"/>
                <w:szCs w:val="24"/>
                <w:lang w:val="en-US" w:eastAsia="zh-CN" w:bidi="ar"/>
              </w:rPr>
            </w:pPr>
            <w:r>
              <w:rPr>
                <w:rFonts w:eastAsia="宋体" w:ascii="Times New Roman" w:hAnsi="Times New Roman" w:cs="宋体"/>
                <w:sz w:val="21"/>
                <w:szCs w:val="21"/>
              </w:rPr>
              <w:t>TI3：政府部门或行业组织向有技术升级需求的电商主体提供了一定的技术支持与辅导服务</w:t>
            </w:r>
          </w:p>
          <w:p w14:paraId="45913D40">
            <w:pPr>
              <w:keepNext w:val="0"/>
              <w:keepLines w:val="0"/>
              <w:widowControl/>
              <w:suppressLineNumbers w:val="0"/>
              <w:spacing w:before="60" w:beforeAutospacing="0" w:after="60" w:afterAutospacing="0" w:line="320" w:lineRule="exact"/>
              <w:ind w:right="0"/>
              <w:jc w:val="center"/>
              <w:rPr>
                <w:rFonts w:hint="default" w:ascii="宋体" w:hAnsi="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Rogers，1995；鲁耀斌等，2022</w:t>
            </w:r>
          </w:p>
        </w:tc>
      </w:tr>
      <w:tr w14:paraId="3338862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9CD972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数字化能力（DS）</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D442040">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DS1：当地特色电商平台具有一定的市场规模与区域品牌影响力</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1B805E4">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Venkatesh et al.，2003；张伟，2024</w:t>
            </w:r>
          </w:p>
        </w:tc>
      </w:tr>
      <w:tr w14:paraId="1A6C816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34F5906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F90DF1D">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DS2：当地电商从业者总体上具备从事线上运营所需的基本数字操作与平台运营技能</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Venkatesh et al.，2003；张伟，2024</w:t>
            </w:r>
          </w:p>
        </w:tc>
      </w:tr>
      <w:tr w14:paraId="6536DEC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0D87701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54323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ascii="宋体" w:hAnsi="宋体" w:eastAsia="宋体" w:cs="宋体"/>
                <w:color w:val="000000"/>
                <w:kern w:val="0"/>
                <w:sz w:val="24"/>
                <w:szCs w:val="24"/>
                <w:lang w:val="en-US" w:eastAsia="zh-CN" w:bidi="ar"/>
              </w:rPr>
            </w:pPr>
            <w:r>
              <w:rPr>
                <w:rFonts w:eastAsia="宋体" w:ascii="Times New Roman" w:hAnsi="Times New Roman" w:cs="宋体"/>
                <w:sz w:val="21"/>
                <w:szCs w:val="21"/>
              </w:rPr>
              <w:t>DS3：当地电商经营主体在推进数字化转型与技能提升方面具有一定的主动意愿</w:t>
            </w:r>
          </w:p>
          <w:p w14:paraId="3473734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Venkatesh et al.，2003；张伟，2024</w:t>
            </w:r>
          </w:p>
        </w:tc>
      </w:tr>
      <w:tr w14:paraId="4FFD7BD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6B38AF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资源禀赋（EN）</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E41EAAE">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EN1：当地自然环境与地理条件对特色农产品、海产品等电商主力品类的品质形成具有客观支撑作用</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8A7D4DF">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Barney，1991；刘强等，2021</w:t>
            </w:r>
          </w:p>
        </w:tc>
      </w:tr>
      <w:tr w14:paraId="732D4C3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51912958">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9CE3A39">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EN2：当地特色自然资源为集群电商产品的差异化竞争优势奠定了一定的资源基础</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Barney，1991；刘强等，2021</w:t>
            </w:r>
          </w:p>
        </w:tc>
      </w:tr>
      <w:tr w14:paraId="5B56607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3C560EA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298156">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EN3：当地对自然资源与产业资源的整合开发效率能够在一定程度上支撑电商集群的规模化发展</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Barney，1991；刘强等，2021</w:t>
            </w:r>
          </w:p>
        </w:tc>
      </w:tr>
      <w:tr w14:paraId="6567C1E5">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2B010B3B">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集群电商发展水平（CDL）</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290CFE1">
            <w:pPr>
              <w:keepNext w:val="0"/>
              <w:keepLines w:val="0"/>
              <w:widowControl/>
              <w:suppressLineNumbers w:val="0"/>
              <w:spacing w:before="60" w:beforeAutospacing="0" w:after="60" w:afterAutospacing="0" w:line="320" w:lineRule="exact"/>
              <w:ind w:right="0"/>
              <w:jc w:val="center"/>
              <w:rPr>
                <w:rFonts w:hint="default" w:ascii="宋体" w:hAnsi="宋体" w:cs="宋体"/>
                <w:color w:val="000000"/>
                <w:kern w:val="0"/>
                <w:sz w:val="24"/>
                <w:szCs w:val="24"/>
                <w:vertAlign w:val="baseline"/>
                <w:lang w:val="en-US" w:eastAsia="zh-CN" w:bidi="ar"/>
              </w:rPr>
            </w:pPr>
            <w:r>
              <w:rPr>
                <w:rFonts w:eastAsia="宋体" w:ascii="Times New Roman" w:hAnsi="Times New Roman" w:cs="宋体"/>
                <w:sz w:val="21"/>
                <w:szCs w:val="21"/>
              </w:rPr>
              <w:t>CDL1：烟台地区集群电商整体发展规模与产业成熟度处于相对良好的水平</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806B30E">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eastAsia="宋体" w:ascii="Times New Roman" w:hAnsi="Times New Roman" w:cs="宋体"/>
                <w:sz w:val="21"/>
                <w:szCs w:val="21"/>
              </w:rPr>
              <w:t>Lin &amp; Chen，2007；张伟，2024</w:t>
            </w:r>
          </w:p>
        </w:tc>
      </w:tr>
      <w:tr w14:paraId="2A949B2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none" w:sz="0" w:space="0" w:color="auto"/>
              <w:left w:val="none" w:sz="0" w:space="0" w:color="auto"/>
              <w:right w:val="none" w:sz="0" w:space="0" w:color="auto"/>
            </w:tcBorders>
          </w:tcPr>
          <w:p w14:paraId="2D6CD73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6AF499D">
            <w:pPr>
              <w:keepNext w:val="0"/>
              <w:keepLines w:val="0"/>
              <w:widowControl/>
              <w:suppressLineNumbers w:val="0"/>
              <w:spacing w:before="60" w:beforeAutospacing="0" w:after="60" w:afterAutospacing="0" w:line="320" w:lineRule="exact"/>
              <w:ind w:right="0"/>
              <w:jc w:val="center"/>
              <w:rPr>
                <w:rFonts w:hint="eastAsia" w:ascii="宋体" w:hAnsi="宋体" w:cs="宋体"/>
                <w:color w:val="000000"/>
                <w:kern w:val="0"/>
                <w:sz w:val="24"/>
                <w:szCs w:val="24"/>
                <w:vertAlign w:val="baseline"/>
                <w:lang w:val="en-US" w:eastAsia="zh-CN" w:bidi="ar"/>
              </w:rPr>
            </w:pPr>
            <w:r>
              <w:rPr>
                <w:rFonts w:eastAsia="宋体" w:ascii="Times New Roman" w:hAnsi="Times New Roman" w:cs="宋体"/>
                <w:sz w:val="21"/>
                <w:szCs w:val="21"/>
              </w:rPr>
              <w:t>CDL2：烟台集群电商对带动区域就业增长和特色产业产品线上销售具有积极促进作用</w:t>
            </w:r>
          </w:p>
        </w:tc>
        <w:tc>
          <w:tcPr>
            <w:tcW w:w="3001"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Lin &amp; Chen，2007；张伟，2024</w:t>
            </w:r>
          </w:p>
        </w:tc>
      </w:tr>
      <w:tr w14:paraId="2A949B2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vAlign w:val="center"/>
            <w:tcBorders>
              <w:top w:val="none" w:sz="0" w:space="0" w:color="auto"/>
              <w:bottom w:val="single" w:sz="12" w:space="0" w:color="auto"/>
              <w:left w:val="none" w:sz="0" w:space="0" w:color="auto"/>
              <w:right w:val="none" w:sz="0" w:space="0" w:color="auto"/>
            </w:tcBorders>
          </w:tcPr>
          <w:p w14:paraId="2D6CD73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CDL3：烟台集群电商的数字化运营水平与长期可持续发展能力总体上处于较好状态</w:t>
            </w:r>
          </w:p>
        </w:tc>
        <w:tc>
          <w:tcPr>
            <w:tcW w:w="3001"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Lin &amp; Chen，2007；张伟，2024</w:t>
            </w:r>
          </w:p>
        </w:tc>
      </w:tr>
    </w:tbl>
    <w:p w14:paraId="5F4CC1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11A828C6">
      <w:pPr>
        <w:pStyle w:val="5"/>
        <w:rPr>
          <w:rFonts w:hint="default" w:ascii="宋体" w:hAnsi="宋体" w:eastAsia="宋体" w:cs="宋体"/>
          <w:color w:val="000000"/>
          <w:kern w:val="0"/>
          <w:sz w:val="24"/>
          <w:szCs w:val="24"/>
          <w:lang w:val="en-US" w:eastAsia="zh-CN" w:bidi="ar"/>
        </w:rPr>
      </w:pPr>
    </w:p>
    <w:p w14:paraId="0320FCEF">
      <w:pPr>
        <w:pStyle w:val="3"/>
        <w:spacing w:before="240" w:after="240" w:line="400" w:lineRule="exact"/>
        <w:ind w:firstLine="0" w:firstLineChars="0"/>
        <w:rPr>
          <w:rFonts w:hint="default"/>
          <w:lang w:val="en-US" w:eastAsia="zh-CN"/>
        </w:rPr>
        <w:jc w:val="both"/>
      </w:pPr>
      <w:bookmarkStart w:id="54" w:name="_Toc8393"/>
      <w:r>
        <w:rPr>
          <w:b/>
          <w:rFonts w:eastAsia="黑体" w:ascii="Times New Roman" w:hAnsi="Times New Roman" w:cs="黑体"/>
          <w:szCs w:val="28"/>
          <w:lang w:val="en-US"/>
          <w:sz w:val="28"/>
        </w:rPr>
        <w:t>3</w:t>
      </w:r>
      <w:r>
        <w:rPr>
          <w:b/>
          <w:rFonts w:hint="eastAsia" w:eastAsia="黑体" w:ascii="Times New Roman" w:hAnsi="Times New Roman" w:cs="黑体"/>
          <w:szCs w:val="28"/>
          <w:lang w:val="en-US" w:eastAsia="zh-CN"/>
          <w:sz w:val="28"/>
        </w:rPr>
        <w:t>.4数据收集方案</w:t>
      </w:r>
      <w:bookmarkEnd w:id="54"/>
    </w:p>
    <w:p w14:paraId="7035280A">
      <w:pPr>
        <w:pStyle w:val="4"/>
        <w:tabs>
          <w:tab w:val="clear" w:pos="561"/>
          <w:tab w:val="clear" w:pos="720"/>
        </w:tabs>
        <w:overflowPunct/>
        <w:spacing w:line="400" w:lineRule="exact" w:before="0" w:after="0"/>
        <w:jc w:val="both"/>
        <w:rPr>
          <w:rFonts w:ascii="Times New Roman" w:hAnsi="Times New Roman"/>
        </w:rPr>
      </w:pPr>
      <w:r>
        <w:rPr>
          <w:b/>
          <w:rFonts w:ascii="Times New Roman" w:hAnsi="Times New Roman" w:eastAsia="黑体" w:cs="黑体"/>
          <w:sz w:val="24"/>
          <w:szCs w:val="24"/>
        </w:rPr>
        <w:t>3.4.1 调研对象</w:t>
      </w:r>
    </w:p>
    <w:p w14:paraId="728A19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本文的调研对象为烟台地区芝罘区、福山区、莱山区、牟平区、蓬莱区、开发区 / 高新区及其他区县的电商相关从业者，具体包括：政府 / 事业单位电商相关工作人员、电商企业经营者 / 管理者、电商从业者（客服、运营、主播等）、电商配套服务从业者（物流、包装、营销等）、个体电商农户 / 商户。</w:t>
      </w:r>
    </w:p>
    <w:p w14:paraId="5DAC3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rPr>
          <w:color w:val="000000"/>
          <w:sz w:val="24"/>
          <w:szCs w:val="24"/>
        </w:rPr>
        <w:jc w:val="both"/>
      </w:pPr>
      <w:r>
        <w:rPr>
          <w:b/>
          <w:rFonts w:eastAsia="黑体" w:ascii="Times New Roman" w:hAnsi="Times New Roman" w:cs="黑体"/>
          <w:color w:val="000000"/>
          <w:sz w:val="24"/>
          <w:szCs w:val="24"/>
        </w:rPr>
        <w:t>3.4.2 数据收集方式</w:t>
      </w:r>
    </w:p>
    <w:p w14:paraId="214D6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线上线下相结合的方式开展问卷调研：线上通过问卷星平台制作电子问卷，依托烟台各区县电商协会、电商产业园区、村镇电商服务站、行业社群进行转发发放；线下组建调研团队，深入烟台各区县电商产业园区、淘宝村、特色产业乡镇，开展实地走访与面对面问卷填写，确保样本的代表性与数据质量。</w:t>
      </w:r>
    </w:p>
    <w:p w14:paraId="2AA8C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6186211C">
      <w:pPr>
        <w:pStyle w:val="3"/>
        <w:spacing w:before="240" w:after="240" w:line="400" w:lineRule="exact"/>
        <w:ind w:firstLine="0" w:firstLineChars="0"/>
        <w:rPr>
          <w:rFonts w:hint="default"/>
          <w:szCs w:val="21"/>
          <w:lang w:val="en-US" w:eastAsia="zh-CN"/>
        </w:rPr>
        <w:jc w:val="both"/>
      </w:pPr>
      <w:bookmarkStart w:id="55" w:name="_Toc10800"/>
      <w:r>
        <w:rPr>
          <w:b/>
          <w:rFonts w:eastAsia="黑体" w:ascii="Times New Roman" w:hAnsi="Times New Roman" w:cs="黑体"/>
          <w:szCs w:val="28"/>
          <w:lang w:val="en-US"/>
          <w:sz w:val="28"/>
        </w:rPr>
        <w:t>3</w:t>
      </w:r>
      <w:r>
        <w:rPr>
          <w:b/>
          <w:rFonts w:hint="eastAsia" w:eastAsia="黑体" w:ascii="Times New Roman" w:hAnsi="Times New Roman" w:cs="黑体"/>
          <w:szCs w:val="28"/>
          <w:lang w:val="en-US" w:eastAsia="zh-CN"/>
          <w:sz w:val="28"/>
        </w:rPr>
        <w:t>.5数据分析方法设计</w:t>
      </w:r>
      <w:bookmarkEnd w:id="55"/>
    </w:p>
    <w:p w14:paraId="35F171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rPr>
          <w:rFonts w:hint="default"/>
          <w:color w:val="000000"/>
          <w:sz w:val="24"/>
          <w:szCs w:val="24"/>
          <w:lang w:val="en-US" w:eastAsia="zh-CN"/>
        </w:rPr>
        <w:jc w:val="both"/>
      </w:pPr>
      <w:r>
        <w:rPr>
          <w:b/>
          <w:rFonts w:eastAsia="黑体" w:ascii="Times New Roman" w:hAnsi="Times New Roman" w:cs="黑体"/>
          <w:color w:val="000000"/>
          <w:sz w:val="24"/>
          <w:szCs w:val="24"/>
        </w:rPr>
        <w:t>3.</w:t>
      </w:r>
      <w:r>
        <w:rPr>
          <w:b/>
          <w:rFonts w:hint="eastAsia" w:eastAsia="黑体" w:ascii="Times New Roman" w:hAnsi="Times New Roman" w:cs="黑体"/>
          <w:color w:val="000000"/>
          <w:sz w:val="24"/>
          <w:szCs w:val="24"/>
          <w:lang w:val="en-US" w:eastAsia="zh-CN"/>
        </w:rPr>
        <w:t>5</w:t>
      </w:r>
      <w:r>
        <w:rPr>
          <w:b/>
          <w:rFonts w:eastAsia="黑体" w:ascii="Times New Roman" w:hAnsi="Times New Roman" w:cs="黑体"/>
          <w:color w:val="000000"/>
          <w:sz w:val="24"/>
          <w:szCs w:val="24"/>
        </w:rPr>
        <w:t xml:space="preserve">.1 </w:t>
      </w:r>
      <w:r>
        <w:rPr>
          <w:b/>
          <w:rFonts w:hint="eastAsia" w:eastAsia="黑体" w:ascii="Times New Roman" w:hAnsi="Times New Roman" w:cs="黑体"/>
          <w:color w:val="000000"/>
          <w:sz w:val="24"/>
          <w:szCs w:val="24"/>
          <w:lang w:val="en-US" w:eastAsia="zh-CN"/>
        </w:rPr>
        <w:t>结构方程模型（SEM）分析流程</w:t>
      </w:r>
    </w:p>
    <w:p w14:paraId="73EF8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 AMOS 24.0 软件进行 SEM 分析，具体分析流程如下：</w:t>
      </w:r>
    </w:p>
    <w:p w14:paraId="35823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数据预处理：剔除填写时间过短、答案存在明显规律、信息缺失严重的无效问卷，处理异常值，采用 Harman 单因子检验法检验共同方法偏差</w:t>
      </w:r>
      <w:r>
        <w:rPr>
          <w:rStyle w:val="FootnoteReference"/>
        </w:rPr>
        <w:endnoteReference w:id="5"/>
      </w:r>
      <w:r>
        <w:rPr>
          <w:rFonts w:ascii="Times New Roman" w:hAnsi="Times New Roman" w:eastAsia="宋体" w:cs="宋体"/>
          <w:color w:val="000000"/>
          <w:kern w:val="0"/>
          <w:sz w:val="24"/>
          <w:szCs w:val="24"/>
          <w:lang w:val="en-US" w:eastAsia="zh-CN" w:bidi="ar"/>
        </w:rPr>
        <w:t xml:space="preserve">。</w:t>
      </w:r>
    </w:p>
    <w:p w14:paraId="4B2E2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信度与效度检验：通过 Cronbach's α 系数与组合信度（CR）检验量表的信度，判断量表的内部一致性；通过验证性因子分析（CFA）检验量表的收敛效度与判别效度。</w:t>
      </w:r>
    </w:p>
    <w:p w14:paraId="63884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模型拟合度检验：构建初始结构方程模型，检验模型的各项拟合指标，包括 χ²/df、RMSEA、SRMR、CFI、TLI 等，根据修正指数对模型进行合理优化，确保模型拟合度达到学术标准。</w:t>
      </w:r>
    </w:p>
    <w:p w14:paraId="3FECF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研究假设检验：通过路径分析，检验六大核心变量的直接效应是否显著，验证本文提出的研究假设，并对检验结果进行分析解读。</w:t>
      </w:r>
    </w:p>
    <w:p w14:paraId="40597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23FE6E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rPr>
          <w:color w:val="000000"/>
          <w:sz w:val="24"/>
          <w:szCs w:val="24"/>
        </w:rPr>
        <w:jc w:val="both"/>
      </w:pPr>
      <w:r>
        <w:rPr>
          <w:b/>
          <w:rFonts w:eastAsia="黑体" w:ascii="Times New Roman" w:hAnsi="Times New Roman" w:cs="黑体"/>
          <w:color w:val="000000"/>
          <w:sz w:val="24"/>
          <w:szCs w:val="24"/>
        </w:rPr>
        <w:t>3.</w:t>
      </w:r>
      <w:r>
        <w:rPr>
          <w:b/>
          <w:rFonts w:hint="eastAsia" w:eastAsia="黑体" w:ascii="Times New Roman" w:hAnsi="Times New Roman" w:cs="黑体"/>
          <w:color w:val="000000"/>
          <w:sz w:val="24"/>
          <w:szCs w:val="24"/>
          <w:lang w:val="en-US" w:eastAsia="zh-CN"/>
        </w:rPr>
        <w:t>5</w:t>
      </w:r>
      <w:r>
        <w:rPr>
          <w:b/>
          <w:rFonts w:eastAsia="黑体" w:ascii="Times New Roman" w:hAnsi="Times New Roman" w:cs="黑体"/>
          <w:color w:val="000000"/>
          <w:sz w:val="24"/>
          <w:szCs w:val="24"/>
        </w:rPr>
        <w:t>.2 模糊集定性比较分析（fsQCA）分析流程</w:t>
      </w:r>
    </w:p>
    <w:p w14:paraId="1E00F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 fsQCA 4.0 软件进行组态分析，具体分析流程如下：</w:t>
      </w:r>
    </w:p>
    <w:p w14:paraId="633D5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highlight w:val="yellow"/>
          <w:lang w:val="en-US" w:eastAsia="zh-CN" w:bidi="ar"/>
        </w:rPr>
      </w:pPr>
      <w:r>
        <w:rPr>
          <w:rFonts w:ascii="Times New Roman" w:hAnsi="Times New Roman" w:eastAsia="宋体" w:cs="宋体"/>
          <w:color w:val="000000"/>
          <w:kern w:val="0"/>
          <w:sz w:val="24"/>
          <w:szCs w:val="24"/>
          <w:lang w:val="en-US" w:eastAsia="zh-CN" w:bidi="ar"/>
        </w:rPr>
        <w:t>变量校准：采用直接校准法，以样本数据的 95% 分位数、50% 分位数、5% 分位数分别设定为完全隶属、交叉点、完全不隶属三个校准锚点，将六个条件变量与结果变量转换为 0-1 之间的模糊集隶属度。</w:t>
      </w:r>
      <w:r>
        <w:rPr>
          <w:rFonts w:ascii="Times New Roman" w:hAnsi="Times New Roman" w:eastAsia="宋体" w:cs="宋体"/>
          <w:color w:val="000000"/>
          <w:kern w:val="0"/>
          <w:sz w:val="24"/>
          <w:szCs w:val="24"/>
          <w:highlight w:val="yellow"/>
          <w:lang w:val="en-US" w:eastAsia="zh-CN" w:bidi="ar"/>
        </w:rPr>
      </w:r>
    </w:p>
    <w:p w14:paraId="3DE28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highlight w:val="yellow"/>
          <w:lang w:val="en-US" w:eastAsia="zh-CN" w:bidi="ar"/>
        </w:rPr>
      </w:pPr>
      <w:r>
        <w:rPr>
          <w:rFonts w:ascii="Times New Roman" w:hAnsi="Times New Roman" w:eastAsia="宋体" w:cs="宋体"/>
          <w:color w:val="000000"/>
          <w:kern w:val="0"/>
          <w:sz w:val="24"/>
          <w:szCs w:val="24"/>
          <w:lang w:val="en-US" w:eastAsia="zh-CN" w:bidi="ar"/>
        </w:rPr>
        <w:t>单变量必要性检验：对单个前因变量进行必要性分析，</w:t>
      </w:r>
      <w:r>
        <w:rPr>
          <w:rFonts w:ascii="Times New Roman" w:hAnsi="Times New Roman" w:eastAsia="宋体" w:cs="宋体"/>
          <w:color w:val="000000"/>
          <w:kern w:val="0"/>
          <w:sz w:val="24"/>
          <w:szCs w:val="24"/>
          <w:highlight w:val="yellow"/>
          <w:lang w:val="en-US" w:eastAsia="zh-CN" w:bidi="ar"/>
        </w:rPr>
        <w:t>通过一致性与覆盖率指标，判断单个变量是否为产生集群电商高绩效发展的必要条件，以一致性阈值 0.9 作为判断标准。</w:t>
      </w:r>
    </w:p>
    <w:p w14:paraId="21CC26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真值表构建与优化：设定合理的案例频数阈值与原始一致性阈值，</w:t>
      </w:r>
      <w:r>
        <w:rPr>
          <w:rFonts w:ascii="Times New Roman" w:hAnsi="Times New Roman" w:eastAsia="宋体" w:cs="宋体"/>
          <w:color w:val="000000"/>
          <w:kern w:val="0"/>
          <w:sz w:val="24"/>
          <w:szCs w:val="24"/>
          <w:highlight w:val="yellow"/>
          <w:lang w:val="en-US" w:eastAsia="zh-CN" w:bidi="ar"/>
        </w:rPr>
        <w:t>参考现有研究的通用做法，案例频数阈值设定为 3，原始一致性阈值设定为 0.85，同时设定 PRI 一致性阈值为 0.7，剔除不符合标准的组态，构建标准化真值表。</w:t>
      </w:r>
    </w:p>
    <w:p w14:paraId="4CE40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组态分析与结果解读：通过标准化分析，得到复杂解、简约解与中间解，以中间解为核心，结合简约解划分核心条件与边缘条件，识别驱动集群电商高绩效发展的多元组态路径，并对各条路径的内涵进行解读。</w:t>
      </w:r>
    </w:p>
    <w:p w14:paraId="768CA9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稳健性检验：通过调整校准锚点、提高一致性阈值等方式，重新进行组态分析，检验组态结果的稳定性与可靠性，确保研究结论的严谨性。</w:t>
      </w:r>
    </w:p>
    <w:p w14:paraId="30259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2E613EA">
      <w:pPr>
        <w:spacing w:line="400" w:lineRule="exact"/>
        <w:ind w:firstLine="0" w:firstLineChars="0"/>
        <w:rPr>
          <w:szCs w:val="21"/>
        </w:rPr>
      </w:pPr>
    </w:p>
    <w:p w14:paraId="20105730">
      <w:pPr>
        <w:pStyle w:val="3"/>
        <w:spacing w:before="240" w:after="240" w:line="400" w:lineRule="exact"/>
        <w:jc w:val="both"/>
      </w:pPr>
      <w:r>
        <w:rPr>
          <w:b/>
          <w:rFonts w:eastAsia="黑体" w:ascii="Times New Roman" w:hAnsi="Times New Roman" w:cs="黑体"/>
          <w:sz w:val="28"/>
          <w:szCs w:val="28"/>
        </w:rPr>
        <w:t>3.6预调研结果分析</w:t>
      </w:r>
    </w:p>
    <w:p w14:paraId="7935A41E">
      <w:pPr>
        <w:spacing w:before="0" w:after="0" w:line="400" w:lineRule="exact"/>
        <w:jc w:val="both"/>
        <w:ind w:firstLine="480"/>
      </w:pPr>
      <w:r>
        <w:rPr>
          <w:rFonts w:eastAsia="宋体" w:ascii="Times New Roman" w:hAnsi="Times New Roman" w:cs="宋体"/>
          <w:sz w:val="24"/>
          <w:szCs w:val="24"/>
        </w:rPr>
        <w:t>在完成正式调研问卷设计后，本文于2026年3月上旬开展小规模预调研，检验问卷题项表述的清晰度及量表的信度与效度，评估问卷的整体可行性与质量。预调研以烟台各区县电商相关从业者为对象，采用问卷星平台进行网络发放，共回收157份问卷，全部为有效问卷（有效率100%）。以下依次报告预调研基本信息分析、信度检验与效度检验（含主成分分析）的结果。</w:t>
      </w:r>
    </w:p>
    <w:p w14:paraId="52509C55">
      <w:pPr>
        <w:pStyle w:val="4"/>
        <w:spacing w:before="0" w:after="0" w:line="400" w:lineRule="exact"/>
        <w:jc w:val="both"/>
      </w:pPr>
      <w:r>
        <w:rPr>
          <w:b/>
          <w:rFonts w:eastAsia="黑体" w:ascii="Times New Roman" w:hAnsi="Times New Roman" w:cs="黑体"/>
          <w:sz w:val="24"/>
          <w:szCs w:val="24"/>
        </w:rPr>
        <w:t>3.6.1预调研基本信息分析</w:t>
      </w:r>
    </w:p>
    <w:p w14:paraId="2AD61891">
      <w:pPr>
        <w:spacing w:before="0" w:after="0" w:line="400" w:lineRule="exact"/>
        <w:jc w:val="both"/>
        <w:ind w:firstLine="480"/>
      </w:pPr>
      <w:r>
        <w:rPr>
          <w:rFonts w:eastAsia="宋体" w:ascii="Times New Roman" w:hAnsi="Times New Roman" w:cs="宋体"/>
          <w:sz w:val="24"/>
          <w:szCs w:val="24"/>
        </w:rPr>
        <w:t>本次预调研共回收有效问卷157份，样本基本特征如下：性别方面，男性72人（45.9%），女性85人（54.1%），比例较均衡；年龄方面，21-30岁占26.8%，31-40岁占28.0%，41-50岁占25.5%，中青年为主；学历方面，初中及以下占47.8%，大专22.3%，本科16.6%，符合烟台电商从业者整体学历结构；居住地涵盖芝罘区（29.9%）、牟平区（26.1%）、莱山区（15.9%）等主要电商集聚区；月均收入以5001-8000元占比最高（36.0%）；职业类型中个体电商农户/商户占44.0%，电商企业经营者/管理者占22.0%，样本覆盖烟台集群电商核心参与主体，具有良好代表性。</w:t>
      </w:r>
    </w:p>
    <w:p w14:paraId="200FC98E">
      <w:pPr>
        <w:pStyle w:val="4"/>
        <w:spacing w:before="0" w:after="0" w:line="400" w:lineRule="exact"/>
        <w:jc w:val="both"/>
      </w:pPr>
      <w:r>
        <w:rPr>
          <w:b/>
          <w:rFonts w:eastAsia="黑体" w:ascii="Times New Roman" w:hAnsi="Times New Roman" w:cs="黑体"/>
          <w:sz w:val="24"/>
          <w:szCs w:val="24"/>
        </w:rPr>
        <w:t>3.6.2信度检验</w:t>
      </w:r>
    </w:p>
    <w:p w14:paraId="5F2D14F7">
      <w:pPr>
        <w:spacing w:before="0" w:after="0" w:line="400" w:lineRule="exact"/>
        <w:jc w:val="both"/>
        <w:ind w:firstLine="480"/>
      </w:pPr>
      <w:r>
        <w:rPr>
          <w:rFonts w:eastAsia="宋体" w:ascii="Times New Roman" w:hAnsi="Times New Roman" w:cs="宋体"/>
          <w:sz w:val="24"/>
          <w:szCs w:val="24"/>
        </w:rPr>
        <w:t xml:space="preserve">本文采用Cronbach α系数对预调研数据（N=157）各维度量表进行信度检验，以评估题项内部一致性。通常认为α≥0.700表示量表具有可接受的信度（Nunnally，1978）</w:t>
      </w:r>
      <w:r>
        <w:rPr>
          <w:rStyle w:val="FootnoteReference"/>
        </w:rPr>
        <w:endnoteReference w:id="8"/>
      </w:r>
      <w:r>
        <w:rPr>
          <w:rFonts w:eastAsia="宋体" w:ascii="Times New Roman" w:hAnsi="Times New Roman" w:cs="宋体"/>
          <w:sz w:val="24"/>
          <w:szCs w:val="24"/>
        </w:rPr>
        <w:t xml:space="preserve">。检验结果如表3-1所示。</w:t>
      </w:r>
      <w:r>
        <w:rPr>
          <w:rFonts w:hint="eastAsia" w:eastAsia="宋体" w:ascii="Times New Roman" w:hAnsi="Times New Roman" w:cs="宋体"/>
          <w:lang w:val="en-US" w:eastAsia="zh-CN"/>
          <w:sz w:val="24"/>
          <w:szCs w:val="24"/>
        </w:rPr>
      </w:r>
      <w:r>
        <w:rPr>
          <w:rFonts w:eastAsia="宋体" w:ascii="Times New Roman" w:hAnsi="Times New Roman" w:cs="宋体"/>
          <w:sz w:val="24"/>
          <w:szCs w:val="24"/>
        </w:rPr>
      </w:r>
      <w:r>
        <w:rPr>
          <w:rFonts w:hint="eastAsia" w:eastAsia="宋体" w:ascii="Times New Roman" w:hAnsi="Times New Roman" w:cs="宋体"/>
          <w:lang w:val="en-US" w:eastAsia="zh-CN"/>
          <w:sz w:val="24"/>
          <w:szCs w:val="24"/>
        </w:rPr>
      </w:r>
      <w:r>
        <w:rPr>
          <w:rFonts w:eastAsia="宋体" w:ascii="Times New Roman" w:hAnsi="Times New Roman" w:cs="宋体"/>
          <w:sz w:val="24"/>
          <w:szCs w:val="24"/>
        </w:rPr>
      </w:r>
      <w:r>
        <w:rPr>
          <w:rFonts w:eastAsia="宋体" w:ascii="Times New Roman" w:hAnsi="Times New Roman" w:cs="宋体"/>
          <w:highlight w:val="yellow"/>
          <w:sz w:val="24"/>
          <w:szCs w:val="24"/>
        </w:rPr>
      </w:r>
      <w:r>
        <w:rPr>
          <w:rFonts w:eastAsia="宋体" w:ascii="Times New Roman" w:hAnsi="Times New Roman" w:cs="宋体"/>
          <w:sz w:val="24"/>
          <w:szCs w:val="24"/>
        </w:rPr>
      </w:r>
    </w:p>
    <w:p w14:paraId="488B4AAF">
      <w:pPr>
        <w:pStyle w:val="12"/>
        <w:jc w:val="center"/>
        <w:spacing w:before="120" w:after="120" w:line="400" w:lineRule="exact"/>
        <w:ind/>
      </w:pPr>
      <w:r>
        <w:rPr>
          <w:b/>
          <w:rFonts w:eastAsia="宋体" w:ascii="Times New Roman" w:hAnsi="Times New Roman" w:cs="宋体"/>
          <w:sz w:val="21"/>
          <w:szCs w:val="21"/>
        </w:rPr>
        <w:t>表3-1 各维度Cronbach α系数（预调研，N=157）</w:t>
      </w:r>
      <w:r>
        <w:rPr>
          <w:b/>
          <w:rFonts w:hint="eastAsia" w:eastAsia="宋体" w:ascii="Times New Roman" w:hAnsi="Times New Roman" w:cs="宋体"/>
          <w:lang w:val="en-US" w:eastAsia="zh-CN"/>
          <w:sz w:val="21"/>
          <w:szCs w:val="21"/>
        </w:rPr>
      </w:r>
      <w:r>
        <w:rPr>
          <w:b/>
          <w:rFonts w:eastAsia="宋体" w:ascii="Times New Roman" w:hAnsi="Times New Roman" w:cs="宋体"/>
          <w:sz w:val="21"/>
          <w:szCs w:val="21"/>
        </w:rPr>
      </w:r>
    </w:p>
    <w:tbl>
      <w:tblPr>
        <w:tblStyle w:val="33"/>
        <w:tblW w:w="8036" w:type="dxa"/>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48"/>
        <w:gridCol w:w="1266"/>
        <w:gridCol w:w="1248"/>
        <w:gridCol w:w="1656"/>
        <w:gridCol w:w="1368"/>
        <w:gridCol w:w="1250"/>
      </w:tblGrid>
      <w:tr w14:paraId="5B591E66">
        <w:tblPrEx>
          <w:tblCellMar>
            <w:top w:w="0" w:type="dxa"/>
            <w:left w:w="108" w:type="dxa"/>
            <w:bottom w:w="0" w:type="dxa"/>
            <w:right w:w="108" w:type="dxa"/>
          </w:tblCellMar>
        </w:tblPrEx>
        <w:trPr>
          <w:trHeight w:val="174" w:hRule="atLeast"/>
        </w:trPr>
        <w:tc>
          <w:tcPr>
            <w:tcW w:w="126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802BBBC">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维度</w:t>
            </w:r>
          </w:p>
        </w:tc>
        <w:tc>
          <w:tcPr>
            <w:tcW w:w="1280"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9A5A3D3">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量表缩写</w:t>
            </w:r>
          </w:p>
        </w:tc>
        <w:tc>
          <w:tcPr>
            <w:tcW w:w="126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5FDF7AD">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题项数</w:t>
            </w:r>
          </w:p>
        </w:tc>
        <w:tc>
          <w:tcPr>
            <w:tcW w:w="1625"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F870484">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Cronbach α系数</w:t>
            </w:r>
          </w:p>
        </w:tc>
        <w:tc>
          <w:tcPr>
            <w:tcW w:w="1332"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259A331">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判断标准</w:t>
            </w:r>
          </w:p>
        </w:tc>
        <w:tc>
          <w:tcPr>
            <w:tcW w:w="1267"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82C3B0E">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结论</w:t>
            </w:r>
          </w:p>
        </w:tc>
      </w:tr>
      <w:tr w14:paraId="009964F9">
        <w:tblPrEx>
          <w:tblCellMar>
            <w:top w:w="0" w:type="dxa"/>
            <w:left w:w="108" w:type="dxa"/>
            <w:bottom w:w="0" w:type="dxa"/>
            <w:right w:w="108" w:type="dxa"/>
          </w:tblCellMar>
        </w:tblPrEx>
        <w:trPr>
          <w:trHeight w:val="257" w:hRule="atLeast"/>
        </w:trPr>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363B27C">
            <w:pPr>
              <w:ind/>
              <w:jc w:val="center"/>
              <w:rPr>
                <w:b w:val="0"/>
                <w:bCs/>
              </w:rPr>
              <w:spacing w:before="60" w:after="60" w:line="320" w:lineRule="exact"/>
            </w:pPr>
            <w:r>
              <w:rPr>
                <w:rFonts w:eastAsia="宋体" w:ascii="Times New Roman" w:hAnsi="Times New Roman" w:cs="宋体"/>
                <w:bCs/>
                <w:sz w:val="21"/>
                <w:szCs w:val="21"/>
              </w:rPr>
              <w:t>政策治理</w:t>
            </w:r>
          </w:p>
        </w:tc>
        <w:tc>
          <w:tcPr>
            <w:tcW w:w="1280"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3E05D54">
            <w:pPr>
              <w:ind/>
              <w:jc w:val="center"/>
              <w:rPr>
                <w:b w:val="0"/>
                <w:bCs/>
              </w:rPr>
              <w:spacing w:before="60" w:after="60" w:line="320" w:lineRule="exact"/>
            </w:pPr>
            <w:r>
              <w:rPr>
                <w:rFonts w:eastAsia="宋体" w:ascii="Times New Roman" w:hAnsi="Times New Roman" w:cs="宋体"/>
                <w:bCs/>
                <w:sz w:val="21"/>
                <w:szCs w:val="21"/>
              </w:rPr>
              <w:t>GP</w:t>
            </w:r>
          </w:p>
        </w:tc>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8E637C0">
            <w:pPr>
              <w:ind/>
              <w:jc w:val="center"/>
              <w:rPr>
                <w:b w:val="0"/>
                <w:bCs/>
              </w:rPr>
              <w:spacing w:before="60" w:after="60" w:line="320" w:lineRule="exact"/>
            </w:pPr>
            <w:r>
              <w:rPr>
                <w:rFonts w:eastAsia="宋体" w:ascii="Times New Roman" w:hAnsi="Times New Roman" w:cs="宋体"/>
                <w:bCs/>
                <w:sz w:val="21"/>
                <w:szCs w:val="21"/>
              </w:rPr>
              <w:t>3</w:t>
            </w:r>
          </w:p>
        </w:tc>
        <w:tc>
          <w:tcPr>
            <w:tcW w:w="1625" w:type="dxa"/>
            <w:shd w:val="clear" w:color="auto" w:fill="auto"/>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28ED7BE">
            <w:pPr>
              <w:ind w:firstLineChars="200"/>
              <w:jc w:val="center"/>
              <w:rPr>
                <w:b w:val="0"/>
                <w:bCs/>
              </w:rPr>
              <w:spacing w:before="60" w:after="60" w:line="320" w:lineRule="exact"/>
            </w:pPr>
            <w:r>
              <w:rPr>
                <w:rFonts w:eastAsia="宋体" w:ascii="Times New Roman" w:hAnsi="Times New Roman" w:cs="宋体"/>
                <w:sz w:val="21"/>
                <w:szCs w:val="21"/>
              </w:rPr>
              <w:t>0.867</w:t>
            </w:r>
          </w:p>
        </w:tc>
        <w:tc>
          <w:tcPr>
            <w:tcW w:w="1332"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8143363">
            <w:pPr>
              <w:ind/>
              <w:jc w:val="center"/>
              <w:rPr>
                <w:b w:val="0"/>
                <w:bCs/>
              </w:rPr>
              <w:spacing w:before="60" w:after="60" w:line="320" w:lineRule="exact"/>
            </w:pPr>
            <w:r>
              <w:rPr>
                <w:rFonts w:eastAsia="宋体" w:ascii="Times New Roman" w:hAnsi="Times New Roman" w:cs="宋体"/>
                <w:bCs/>
                <w:sz w:val="21"/>
                <w:szCs w:val="21"/>
              </w:rPr>
              <w:t>≥0.700</w:t>
            </w:r>
          </w:p>
        </w:tc>
        <w:tc>
          <w:tcPr>
            <w:tcW w:w="1267"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A90BC4">
            <w:pPr>
              <w:ind/>
              <w:jc w:val="center"/>
              <w:rPr>
                <w:b w:val="0"/>
                <w:bCs/>
              </w:rPr>
              <w:spacing w:before="60" w:after="60" w:line="320" w:lineRule="exact"/>
            </w:pPr>
            <w:r>
              <w:rPr>
                <w:rFonts w:eastAsia="宋体" w:ascii="Times New Roman" w:hAnsi="Times New Roman" w:cs="宋体"/>
                <w:bCs/>
                <w:sz w:val="21"/>
                <w:szCs w:val="21"/>
              </w:rPr>
              <w:t>信度良好</w:t>
            </w:r>
          </w:p>
        </w:tc>
      </w:tr>
      <w:tr w14:paraId="4EE7869F">
        <w:tblPrEx>
          <w:tblCellMar>
            <w:top w:w="0" w:type="dxa"/>
            <w:left w:w="108" w:type="dxa"/>
            <w:bottom w:w="0" w:type="dxa"/>
            <w:right w:w="108" w:type="dxa"/>
          </w:tblCellMar>
        </w:tblPrEx>
        <w:trPr>
          <w:trHeight w:val="167" w:hRule="atLeast"/>
        </w:trPr>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8CEDB5C">
            <w:pPr>
              <w:ind/>
              <w:jc w:val="center"/>
              <w:rPr>
                <w:b w:val="0"/>
                <w:bCs/>
              </w:rPr>
              <w:spacing w:before="60" w:after="60" w:line="320" w:lineRule="exact"/>
            </w:pPr>
            <w:r>
              <w:rPr>
                <w:rFonts w:eastAsia="宋体" w:ascii="Times New Roman" w:hAnsi="Times New Roman" w:cs="宋体"/>
                <w:bCs/>
                <w:sz w:val="21"/>
                <w:szCs w:val="21"/>
              </w:rPr>
              <w:t>人才支撑</w:t>
            </w:r>
          </w:p>
        </w:tc>
        <w:tc>
          <w:tcPr>
            <w:tcW w:w="1280"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181959">
            <w:pPr>
              <w:ind/>
              <w:jc w:val="center"/>
              <w:rPr>
                <w:b w:val="0"/>
                <w:bCs/>
              </w:rPr>
              <w:spacing w:before="60" w:after="60" w:line="320" w:lineRule="exact"/>
            </w:pPr>
            <w:r>
              <w:rPr>
                <w:rFonts w:eastAsia="宋体" w:ascii="Times New Roman" w:hAnsi="Times New Roman" w:cs="宋体"/>
                <w:bCs/>
                <w:sz w:val="21"/>
                <w:szCs w:val="21"/>
              </w:rPr>
              <w:t>TS</w:t>
            </w:r>
          </w:p>
        </w:tc>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15AF344">
            <w:pPr>
              <w:ind/>
              <w:jc w:val="center"/>
              <w:rPr>
                <w:b w:val="0"/>
                <w:bCs/>
              </w:rPr>
              <w:spacing w:before="60" w:after="60" w:line="320" w:lineRule="exact"/>
            </w:pPr>
            <w:r>
              <w:rPr>
                <w:rFonts w:eastAsia="宋体" w:ascii="Times New Roman" w:hAnsi="Times New Roman" w:cs="宋体"/>
                <w:bCs/>
                <w:sz w:val="21"/>
                <w:szCs w:val="21"/>
              </w:rPr>
              <w:t>3</w:t>
            </w:r>
          </w:p>
        </w:tc>
        <w:tc>
          <w:tcPr>
            <w:tcW w:w="1625" w:type="dxa"/>
            <w:shd w:val="clear" w:color="auto" w:fill="auto"/>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EF26D59">
            <w:pPr>
              <w:ind w:firstLineChars="200"/>
              <w:jc w:val="center"/>
              <w:rPr>
                <w:b w:val="0"/>
                <w:bCs/>
              </w:rPr>
              <w:spacing w:before="60" w:after="60" w:line="320" w:lineRule="exact"/>
            </w:pPr>
            <w:r>
              <w:rPr>
                <w:rFonts w:eastAsia="宋体" w:ascii="Times New Roman" w:hAnsi="Times New Roman" w:cs="宋体"/>
                <w:sz w:val="21"/>
                <w:szCs w:val="21"/>
              </w:rPr>
              <w:t>0.875</w:t>
            </w:r>
          </w:p>
        </w:tc>
        <w:tc>
          <w:tcPr>
            <w:tcW w:w="1332"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1655E10">
            <w:pPr>
              <w:ind/>
              <w:jc w:val="center"/>
              <w:rPr>
                <w:b w:val="0"/>
                <w:bCs/>
              </w:rPr>
              <w:spacing w:before="60" w:after="60" w:line="320" w:lineRule="exact"/>
            </w:pPr>
            <w:r>
              <w:rPr>
                <w:rFonts w:eastAsia="宋体" w:ascii="Times New Roman" w:hAnsi="Times New Roman" w:cs="宋体"/>
                <w:bCs/>
                <w:sz w:val="21"/>
                <w:szCs w:val="21"/>
              </w:rPr>
              <w:t>≥0.700</w:t>
            </w:r>
          </w:p>
        </w:tc>
        <w:tc>
          <w:tcPr>
            <w:tcW w:w="1267"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4CDD72">
            <w:pPr>
              <w:ind/>
              <w:jc w:val="center"/>
              <w:rPr>
                <w:b w:val="0"/>
                <w:bCs/>
              </w:rPr>
              <w:spacing w:before="60" w:after="60" w:line="320" w:lineRule="exact"/>
            </w:pPr>
            <w:r>
              <w:rPr>
                <w:rFonts w:eastAsia="宋体" w:ascii="Times New Roman" w:hAnsi="Times New Roman" w:cs="宋体"/>
                <w:bCs/>
                <w:sz w:val="21"/>
                <w:szCs w:val="21"/>
              </w:rPr>
              <w:t>信度良好</w:t>
            </w:r>
          </w:p>
        </w:tc>
      </w:tr>
      <w:tr w14:paraId="03BD39D5">
        <w:tblPrEx>
          <w:tblCellMar>
            <w:top w:w="0" w:type="dxa"/>
            <w:left w:w="108" w:type="dxa"/>
            <w:bottom w:w="0" w:type="dxa"/>
            <w:right w:w="108" w:type="dxa"/>
          </w:tblCellMar>
        </w:tblPrEx>
        <w:trPr>
          <w:trHeight w:val="167" w:hRule="atLeast"/>
        </w:trPr>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C381879">
            <w:pPr>
              <w:ind/>
              <w:jc w:val="center"/>
              <w:rPr>
                <w:b w:val="0"/>
                <w:bCs/>
              </w:rPr>
              <w:spacing w:before="60" w:after="60" w:line="320" w:lineRule="exact"/>
            </w:pPr>
            <w:r>
              <w:rPr>
                <w:rFonts w:eastAsia="宋体" w:ascii="Times New Roman" w:hAnsi="Times New Roman" w:cs="宋体"/>
                <w:bCs/>
                <w:sz w:val="21"/>
                <w:szCs w:val="21"/>
              </w:rPr>
              <w:t>基础设施建设</w:t>
            </w:r>
          </w:p>
        </w:tc>
        <w:tc>
          <w:tcPr>
            <w:tcW w:w="1280"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9FEEFAF">
            <w:pPr>
              <w:ind/>
              <w:jc w:val="center"/>
              <w:rPr>
                <w:b w:val="0"/>
                <w:bCs/>
              </w:rPr>
              <w:spacing w:before="60" w:after="60" w:line="320" w:lineRule="exact"/>
            </w:pPr>
            <w:r>
              <w:rPr>
                <w:rFonts w:eastAsia="宋体" w:ascii="Times New Roman" w:hAnsi="Times New Roman" w:cs="宋体"/>
                <w:bCs/>
                <w:sz w:val="21"/>
                <w:szCs w:val="21"/>
              </w:rPr>
              <w:t>IF</w:t>
            </w:r>
          </w:p>
        </w:tc>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6E5DAB9">
            <w:pPr>
              <w:ind/>
              <w:jc w:val="center"/>
              <w:rPr>
                <w:b w:val="0"/>
                <w:bCs/>
              </w:rPr>
              <w:spacing w:before="60" w:after="60" w:line="320" w:lineRule="exact"/>
            </w:pPr>
            <w:r>
              <w:rPr>
                <w:rFonts w:eastAsia="宋体" w:ascii="Times New Roman" w:hAnsi="Times New Roman" w:cs="宋体"/>
                <w:bCs/>
                <w:sz w:val="21"/>
                <w:szCs w:val="21"/>
              </w:rPr>
              <w:t>3</w:t>
            </w:r>
          </w:p>
        </w:tc>
        <w:tc>
          <w:tcPr>
            <w:tcW w:w="1625" w:type="dxa"/>
            <w:shd w:val="clear" w:color="auto" w:fill="auto"/>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DF05735">
            <w:pPr>
              <w:ind w:firstLineChars="200"/>
              <w:jc w:val="center"/>
              <w:rPr>
                <w:b w:val="0"/>
                <w:bCs/>
              </w:rPr>
              <w:spacing w:before="60" w:after="60" w:line="320" w:lineRule="exact"/>
            </w:pPr>
            <w:r>
              <w:rPr>
                <w:rFonts w:eastAsia="宋体" w:ascii="Times New Roman" w:hAnsi="Times New Roman" w:cs="宋体"/>
                <w:sz w:val="21"/>
                <w:szCs w:val="21"/>
              </w:rPr>
              <w:t>0.842</w:t>
            </w:r>
          </w:p>
        </w:tc>
        <w:tc>
          <w:tcPr>
            <w:tcW w:w="1332"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3BFBB96">
            <w:pPr>
              <w:ind/>
              <w:jc w:val="center"/>
              <w:rPr>
                <w:b w:val="0"/>
                <w:bCs/>
              </w:rPr>
              <w:spacing w:before="60" w:after="60" w:line="320" w:lineRule="exact"/>
            </w:pPr>
            <w:r>
              <w:rPr>
                <w:rFonts w:eastAsia="宋体" w:ascii="Times New Roman" w:hAnsi="Times New Roman" w:cs="宋体"/>
                <w:bCs/>
                <w:sz w:val="21"/>
                <w:szCs w:val="21"/>
              </w:rPr>
              <w:t>≥0.700</w:t>
            </w:r>
          </w:p>
        </w:tc>
        <w:tc>
          <w:tcPr>
            <w:tcW w:w="1267"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CFF93B1">
            <w:pPr>
              <w:ind/>
              <w:jc w:val="center"/>
              <w:rPr>
                <w:b w:val="0"/>
                <w:bCs/>
              </w:rPr>
              <w:spacing w:before="60" w:after="60" w:line="320" w:lineRule="exact"/>
            </w:pPr>
            <w:r>
              <w:rPr>
                <w:rFonts w:eastAsia="宋体" w:ascii="Times New Roman" w:hAnsi="Times New Roman" w:cs="宋体"/>
                <w:bCs/>
                <w:sz w:val="21"/>
                <w:szCs w:val="21"/>
              </w:rPr>
              <w:t>信度良好</w:t>
            </w:r>
          </w:p>
        </w:tc>
      </w:tr>
      <w:tr w14:paraId="767D8A2F">
        <w:tblPrEx>
          <w:tblCellMar>
            <w:top w:w="0" w:type="dxa"/>
            <w:left w:w="108" w:type="dxa"/>
            <w:bottom w:w="0" w:type="dxa"/>
            <w:right w:w="108" w:type="dxa"/>
          </w:tblCellMar>
        </w:tblPrEx>
        <w:trPr>
          <w:trHeight w:val="167" w:hRule="atLeast"/>
        </w:trPr>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CC7B0C9">
            <w:pPr>
              <w:ind/>
              <w:jc w:val="center"/>
              <w:rPr>
                <w:b w:val="0"/>
                <w:bCs/>
              </w:rPr>
              <w:spacing w:before="60" w:after="60" w:line="320" w:lineRule="exact"/>
            </w:pPr>
            <w:r>
              <w:rPr>
                <w:rFonts w:eastAsia="宋体" w:ascii="Times New Roman" w:hAnsi="Times New Roman" w:cs="宋体"/>
                <w:bCs/>
                <w:sz w:val="21"/>
                <w:szCs w:val="21"/>
              </w:rPr>
              <w:t>技术创新水平</w:t>
            </w:r>
          </w:p>
        </w:tc>
        <w:tc>
          <w:tcPr>
            <w:tcW w:w="1280"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CE23C92">
            <w:pPr>
              <w:ind/>
              <w:jc w:val="center"/>
              <w:rPr>
                <w:b w:val="0"/>
                <w:bCs/>
              </w:rPr>
              <w:spacing w:before="60" w:after="60" w:line="320" w:lineRule="exact"/>
            </w:pPr>
            <w:r>
              <w:rPr>
                <w:rFonts w:eastAsia="宋体" w:ascii="Times New Roman" w:hAnsi="Times New Roman" w:cs="宋体"/>
                <w:bCs/>
                <w:sz w:val="21"/>
                <w:szCs w:val="21"/>
              </w:rPr>
              <w:t>TI</w:t>
            </w:r>
          </w:p>
        </w:tc>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1EB1897">
            <w:pPr>
              <w:ind/>
              <w:jc w:val="center"/>
              <w:rPr>
                <w:b w:val="0"/>
                <w:bCs/>
              </w:rPr>
              <w:spacing w:before="60" w:after="60" w:line="320" w:lineRule="exact"/>
            </w:pPr>
            <w:r>
              <w:rPr>
                <w:rFonts w:eastAsia="宋体" w:ascii="Times New Roman" w:hAnsi="Times New Roman" w:cs="宋体"/>
                <w:bCs/>
                <w:sz w:val="21"/>
                <w:szCs w:val="21"/>
              </w:rPr>
              <w:t>3</w:t>
            </w:r>
          </w:p>
        </w:tc>
        <w:tc>
          <w:tcPr>
            <w:tcW w:w="1625" w:type="dxa"/>
            <w:shd w:val="clear" w:color="auto" w:fill="auto"/>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02CD12B">
            <w:pPr>
              <w:ind w:firstLineChars="200"/>
              <w:jc w:val="center"/>
              <w:rPr>
                <w:b w:val="0"/>
                <w:bCs/>
              </w:rPr>
              <w:spacing w:before="60" w:after="60" w:line="320" w:lineRule="exact"/>
            </w:pPr>
            <w:r>
              <w:rPr>
                <w:rFonts w:eastAsia="宋体" w:ascii="Times New Roman" w:hAnsi="Times New Roman" w:cs="宋体"/>
                <w:sz w:val="21"/>
                <w:szCs w:val="21"/>
              </w:rPr>
              <w:t>0.846</w:t>
            </w:r>
          </w:p>
        </w:tc>
        <w:tc>
          <w:tcPr>
            <w:tcW w:w="1332"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3FCBF67">
            <w:pPr>
              <w:ind/>
              <w:jc w:val="center"/>
              <w:rPr>
                <w:b w:val="0"/>
                <w:bCs/>
              </w:rPr>
              <w:spacing w:before="60" w:after="60" w:line="320" w:lineRule="exact"/>
            </w:pPr>
            <w:r>
              <w:rPr>
                <w:rFonts w:eastAsia="宋体" w:ascii="Times New Roman" w:hAnsi="Times New Roman" w:cs="宋体"/>
                <w:bCs/>
                <w:sz w:val="21"/>
                <w:szCs w:val="21"/>
              </w:rPr>
              <w:t>≥0.700</w:t>
            </w:r>
          </w:p>
        </w:tc>
        <w:tc>
          <w:tcPr>
            <w:tcW w:w="1267"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60528B8">
            <w:pPr>
              <w:ind/>
              <w:jc w:val="center"/>
              <w:rPr>
                <w:b w:val="0"/>
                <w:bCs/>
              </w:rPr>
              <w:spacing w:before="60" w:after="60" w:line="320" w:lineRule="exact"/>
            </w:pPr>
            <w:r>
              <w:rPr>
                <w:rFonts w:eastAsia="宋体" w:ascii="Times New Roman" w:hAnsi="Times New Roman" w:cs="宋体"/>
                <w:bCs/>
                <w:sz w:val="21"/>
                <w:szCs w:val="21"/>
              </w:rPr>
              <w:t>信度良好</w:t>
            </w:r>
          </w:p>
        </w:tc>
      </w:tr>
      <w:tr w14:paraId="0A0B05B2">
        <w:tblPrEx>
          <w:tblCellMar>
            <w:top w:w="0" w:type="dxa"/>
            <w:left w:w="108" w:type="dxa"/>
            <w:bottom w:w="0" w:type="dxa"/>
            <w:right w:w="108" w:type="dxa"/>
          </w:tblCellMar>
        </w:tblPrEx>
        <w:trPr>
          <w:trHeight w:val="250" w:hRule="atLeast"/>
        </w:trPr>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AE412E3">
            <w:pPr>
              <w:ind/>
              <w:jc w:val="center"/>
              <w:rPr>
                <w:b w:val="0"/>
                <w:bCs/>
              </w:rPr>
              <w:spacing w:before="60" w:after="60" w:line="320" w:lineRule="exact"/>
            </w:pPr>
            <w:r>
              <w:rPr>
                <w:rFonts w:eastAsia="宋体" w:ascii="Times New Roman" w:hAnsi="Times New Roman" w:cs="宋体"/>
                <w:bCs/>
                <w:sz w:val="21"/>
                <w:szCs w:val="21"/>
              </w:rPr>
              <w:t>数字化能力</w:t>
            </w:r>
          </w:p>
        </w:tc>
        <w:tc>
          <w:tcPr>
            <w:tcW w:w="1280"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AC9FDC4">
            <w:pPr>
              <w:ind/>
              <w:jc w:val="center"/>
              <w:rPr>
                <w:b w:val="0"/>
                <w:bCs/>
              </w:rPr>
              <w:spacing w:before="60" w:after="60" w:line="320" w:lineRule="exact"/>
            </w:pPr>
            <w:r>
              <w:rPr>
                <w:rFonts w:eastAsia="宋体" w:ascii="Times New Roman" w:hAnsi="Times New Roman" w:cs="宋体"/>
                <w:bCs/>
                <w:sz w:val="21"/>
                <w:szCs w:val="21"/>
              </w:rPr>
              <w:t>DS</w:t>
            </w:r>
          </w:p>
        </w:tc>
        <w:tc>
          <w:tcPr>
            <w:tcW w:w="126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33D6625">
            <w:pPr>
              <w:ind/>
              <w:jc w:val="center"/>
              <w:rPr>
                <w:b w:val="0"/>
                <w:bCs/>
              </w:rPr>
              <w:spacing w:before="60" w:after="60" w:line="320" w:lineRule="exact"/>
            </w:pPr>
            <w:r>
              <w:rPr>
                <w:rFonts w:eastAsia="宋体" w:ascii="Times New Roman" w:hAnsi="Times New Roman" w:cs="宋体"/>
                <w:bCs/>
                <w:sz w:val="21"/>
                <w:szCs w:val="21"/>
              </w:rPr>
              <w:t>3</w:t>
            </w:r>
          </w:p>
        </w:tc>
        <w:tc>
          <w:tcPr>
            <w:tcW w:w="1625" w:type="dxa"/>
            <w:shd w:val="clear" w:color="auto" w:fill="auto"/>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A001041">
            <w:pPr>
              <w:ind w:firstLineChars="200"/>
              <w:jc w:val="center"/>
              <w:rPr>
                <w:b w:val="0"/>
                <w:bCs/>
              </w:rPr>
              <w:spacing w:before="60" w:after="60" w:line="320" w:lineRule="exact"/>
            </w:pPr>
            <w:r>
              <w:rPr>
                <w:rFonts w:eastAsia="宋体" w:ascii="Times New Roman" w:hAnsi="Times New Roman" w:cs="宋体"/>
                <w:sz w:val="21"/>
                <w:szCs w:val="21"/>
              </w:rPr>
              <w:t>0.855</w:t>
            </w:r>
          </w:p>
        </w:tc>
        <w:tc>
          <w:tcPr>
            <w:tcW w:w="1332"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764BD7F">
            <w:pPr>
              <w:ind/>
              <w:jc w:val="center"/>
              <w:rPr>
                <w:b w:val="0"/>
                <w:bCs/>
              </w:rPr>
              <w:spacing w:before="60" w:after="60" w:line="320" w:lineRule="exact"/>
            </w:pPr>
            <w:r>
              <w:rPr>
                <w:rFonts w:eastAsia="宋体" w:ascii="Times New Roman" w:hAnsi="Times New Roman" w:cs="宋体"/>
                <w:bCs/>
                <w:sz w:val="21"/>
                <w:szCs w:val="21"/>
              </w:rPr>
              <w:t>≥0.700</w:t>
            </w:r>
          </w:p>
        </w:tc>
        <w:tc>
          <w:tcPr>
            <w:tcW w:w="1267"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FC3496F">
            <w:pPr>
              <w:ind/>
              <w:jc w:val="center"/>
              <w:rPr>
                <w:b w:val="0"/>
                <w:bCs/>
              </w:rPr>
              <w:spacing w:before="60" w:after="60" w:line="320" w:lineRule="exact"/>
            </w:pPr>
            <w:r>
              <w:rPr>
                <w:rFonts w:eastAsia="宋体" w:ascii="Times New Roman" w:hAnsi="Times New Roman" w:cs="宋体"/>
                <w:bCs/>
                <w:sz w:val="21"/>
                <w:szCs w:val="21"/>
              </w:rPr>
              <w:t>信度良好</w:t>
            </w:r>
          </w:p>
        </w:tc>
      </w:tr>
      <w:tr w14:paraId="6674F816">
        <w:tblPrEx>
          <w:tblCellMar>
            <w:top w:w="0" w:type="dxa"/>
            <w:left w:w="108" w:type="dxa"/>
            <w:bottom w:w="0" w:type="dxa"/>
            <w:right w:w="108" w:type="dxa"/>
          </w:tblCellMar>
        </w:tblPrEx>
        <w:trPr>
          <w:trHeight w:val="257" w:hRule="atLeast"/>
        </w:trPr>
        <w:tc>
          <w:tcPr>
            <w:tcW w:w="126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16311D98">
            <w:pPr>
              <w:ind/>
              <w:jc w:val="center"/>
              <w:rPr>
                <w:b w:val="0"/>
                <w:bCs/>
              </w:rPr>
              <w:spacing w:before="60" w:after="60" w:line="320" w:lineRule="exact"/>
            </w:pPr>
            <w:r>
              <w:rPr>
                <w:rFonts w:eastAsia="宋体" w:ascii="Times New Roman" w:hAnsi="Times New Roman" w:cs="宋体"/>
                <w:bCs/>
                <w:sz w:val="21"/>
                <w:szCs w:val="21"/>
              </w:rPr>
              <w:t>资源禀赋</w:t>
            </w:r>
          </w:p>
        </w:tc>
        <w:tc>
          <w:tcPr>
            <w:tcW w:w="1280"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24CCFB33">
            <w:pPr>
              <w:ind/>
              <w:jc w:val="center"/>
              <w:rPr>
                <w:b w:val="0"/>
                <w:bCs/>
              </w:rPr>
              <w:spacing w:before="60" w:after="60" w:line="320" w:lineRule="exact"/>
            </w:pPr>
            <w:r>
              <w:rPr>
                <w:rFonts w:eastAsia="宋体" w:ascii="Times New Roman" w:hAnsi="Times New Roman" w:cs="宋体"/>
                <w:bCs/>
                <w:sz w:val="21"/>
                <w:szCs w:val="21"/>
              </w:rPr>
              <w:t>EN</w:t>
            </w:r>
          </w:p>
        </w:tc>
        <w:tc>
          <w:tcPr>
            <w:tcW w:w="126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4B87DB4D">
            <w:pPr>
              <w:ind/>
              <w:jc w:val="center"/>
              <w:rPr>
                <w:b w:val="0"/>
                <w:bCs/>
              </w:rPr>
              <w:spacing w:before="60" w:after="60" w:line="320" w:lineRule="exact"/>
            </w:pPr>
            <w:r>
              <w:rPr>
                <w:rFonts w:eastAsia="宋体" w:ascii="Times New Roman" w:hAnsi="Times New Roman" w:cs="宋体"/>
                <w:bCs/>
                <w:sz w:val="21"/>
                <w:szCs w:val="21"/>
              </w:rPr>
              <w:t>3</w:t>
            </w:r>
          </w:p>
        </w:tc>
        <w:tc>
          <w:tcPr>
            <w:tcW w:w="1625" w:type="dxa"/>
            <w:shd w:val="clear" w:color="auto" w:fill="auto"/>
            <w:vAlign w:val="top"/>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0B2FE35A">
            <w:pPr>
              <w:ind w:firstLineChars="200"/>
              <w:jc w:val="center"/>
              <w:rPr>
                <w:b w:val="0"/>
                <w:bCs/>
              </w:rPr>
              <w:spacing w:before="60" w:after="60" w:line="320" w:lineRule="exact"/>
            </w:pPr>
            <w:r>
              <w:rPr>
                <w:rFonts w:eastAsia="宋体" w:ascii="Times New Roman" w:hAnsi="Times New Roman" w:cs="宋体"/>
                <w:sz w:val="21"/>
                <w:szCs w:val="21"/>
              </w:rPr>
              <w:t>0.821</w:t>
            </w:r>
          </w:p>
        </w:tc>
        <w:tc>
          <w:tcPr>
            <w:tcW w:w="1332"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360653EB">
            <w:pPr>
              <w:ind/>
              <w:jc w:val="center"/>
              <w:rPr>
                <w:b w:val="0"/>
                <w:bCs/>
              </w:rPr>
              <w:spacing w:before="60" w:after="60" w:line="320" w:lineRule="exact"/>
            </w:pPr>
            <w:r>
              <w:rPr>
                <w:rFonts w:eastAsia="宋体" w:ascii="Times New Roman" w:hAnsi="Times New Roman" w:cs="宋体"/>
                <w:bCs/>
                <w:sz w:val="21"/>
                <w:szCs w:val="21"/>
              </w:rPr>
              <w:t>≥0.700</w:t>
            </w:r>
          </w:p>
        </w:tc>
        <w:tc>
          <w:tcPr>
            <w:tcW w:w="1267"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BC2CD43">
            <w:pPr>
              <w:ind/>
              <w:jc w:val="center"/>
              <w:rPr>
                <w:b w:val="0"/>
                <w:bCs/>
              </w:rPr>
              <w:spacing w:before="60" w:after="60" w:line="320" w:lineRule="exact"/>
            </w:pPr>
            <w:r>
              <w:rPr>
                <w:rFonts w:eastAsia="宋体" w:ascii="Times New Roman" w:hAnsi="Times New Roman" w:cs="宋体"/>
                <w:bCs/>
                <w:sz w:val="21"/>
                <w:szCs w:val="21"/>
              </w:rPr>
              <w:t>信度良好</w:t>
            </w:r>
          </w:p>
        </w:tc>
      </w:tr>
    </w:tbl>
    <w:p w14:paraId="275A5B2B">
      <w:pPr>
        <w:spacing w:before="0" w:after="0" w:line="400" w:lineRule="exact"/>
        <w:jc w:val="both"/>
        <w:ind w:firstLine="480"/>
      </w:pPr>
      <w:r>
        <w:rPr>
          <w:rFonts w:eastAsia="宋体" w:ascii="Times New Roman" w:hAnsi="Times New Roman" w:cs="宋体"/>
          <w:sz w:val="24"/>
          <w:szCs w:val="24"/>
        </w:rPr>
        <w:t>由表3-1可知，各维度Cronbach α均在0.750以上，均显著超过0.700的可接受标准，表明本问卷各维度测量题项内部一致性良好，量表信度满足正式调研要求。</w:t>
      </w:r>
      <w:r>
        <w:rPr>
          <w:rFonts w:hint="eastAsia" w:eastAsia="宋体" w:ascii="Times New Roman" w:hAnsi="Times New Roman" w:cs="宋体"/>
          <w:lang w:val="en-US" w:eastAsia="zh-CN"/>
          <w:sz w:val="24"/>
          <w:szCs w:val="24"/>
        </w:rPr>
      </w:r>
      <w:r>
        <w:rPr>
          <w:rFonts w:eastAsia="宋体" w:ascii="Times New Roman" w:hAnsi="Times New Roman" w:cs="宋体"/>
          <w:sz w:val="24"/>
          <w:szCs w:val="24"/>
        </w:rPr>
      </w:r>
    </w:p>
    <w:p w14:paraId="66FBB03F">
      <w:pPr>
        <w:pStyle w:val="4"/>
        <w:spacing w:before="0" w:after="0" w:line="400" w:lineRule="exact"/>
        <w:jc w:val="both"/>
      </w:pPr>
      <w:r>
        <w:rPr>
          <w:b/>
          <w:rFonts w:eastAsia="黑体" w:ascii="Times New Roman" w:hAnsi="Times New Roman" w:cs="黑体"/>
          <w:sz w:val="24"/>
          <w:szCs w:val="24"/>
        </w:rPr>
        <w:t>3.6.3效度检验（KMO与Bartlett检验）</w:t>
      </w:r>
    </w:p>
    <w:p w14:paraId="5E6F1BFB">
      <w:pPr>
        <w:spacing w:before="0" w:after="0" w:line="400" w:lineRule="exact"/>
        <w:jc w:val="both"/>
        <w:ind w:firstLine="480"/>
      </w:pPr>
      <w:r>
        <w:rPr>
          <w:rFonts w:eastAsia="宋体" w:ascii="Times New Roman" w:hAnsi="Times New Roman" w:cs="宋体"/>
          <w:sz w:val="24"/>
          <w:szCs w:val="24"/>
        </w:rPr>
        <w:t>效度检验旨在验证各测量题项能准确反映其对应潜变量内涵。本文首先通过KMO取样适切性量数与Bartlett球形检验评估数据适合度，结果如表3-2所示。</w:t>
      </w:r>
    </w:p>
    <w:p w14:paraId="256431FA">
      <w:pPr>
        <w:pStyle w:val="12"/>
        <w:jc w:val="center"/>
        <w:spacing w:before="120" w:after="120" w:line="400" w:lineRule="exact"/>
        <w:ind/>
      </w:pPr>
      <w:r>
        <w:rPr>
          <w:b/>
          <w:rFonts w:eastAsia="宋体" w:ascii="Times New Roman" w:hAnsi="Times New Roman" w:cs="宋体"/>
          <w:sz w:val="21"/>
          <w:szCs w:val="21"/>
        </w:rPr>
        <w:t>表3-2 KMO和Bartlett球形检验结果</w:t>
      </w:r>
    </w:p>
    <w:tbl>
      <w:tblPr>
        <w:tblStyle w:val="33"/>
        <w:tblW w:w="8500" w:type="dxa"/>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00"/>
        <w:gridCol w:w="1700"/>
        <w:gridCol w:w="1700"/>
        <w:gridCol w:w="1700"/>
        <w:gridCol w:w="1700"/>
      </w:tblGrid>
      <w:tr w14:paraId="370CE1EF">
        <w:trP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7CAB2D2">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检验项目</w:t>
            </w:r>
          </w:p>
        </w:tc>
        <w:tc>
          <w:tcPr>
            <w:tcW w:w="1700"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5B37EDF">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统计量</w:t>
            </w:r>
          </w:p>
        </w:tc>
        <w:tc>
          <w:tcPr>
            <w:tcW w:w="1700"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72BDB25">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值</w:t>
            </w:r>
          </w:p>
        </w:tc>
        <w:tc>
          <w:tcPr>
            <w:tcW w:w="1700"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2354AA7A">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判断标准</w:t>
            </w:r>
          </w:p>
        </w:tc>
        <w:tc>
          <w:tcPr>
            <w:tcW w:w="1700"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92E7E63">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 w:val="0"/>
                <w:bCs/>
                <w:sz w:val="21"/>
                <w:szCs w:val="21"/>
              </w:rPr>
              <w:t>结论</w:t>
            </w:r>
          </w:p>
        </w:tc>
      </w:tr>
      <w:tr w14:paraId="51B56995">
        <w:trP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2D8DCE3">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KMO取样适切性量数</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86DCF0B">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KMO</w:t>
            </w:r>
          </w:p>
        </w:tc>
        <w:tc>
          <w:tcPr>
            <w:tcW w:w="1700" w:type="dxa"/>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851A006">
            <w:pPr>
              <w:ind w:firstLineChars="200"/>
              <w:jc w:val="center"/>
              <w:rPr>
                <w:rFonts w:hint="eastAsia" w:ascii="宋体" w:hAnsi="宋体" w:eastAsia="宋体" w:cs="宋体"/>
                <w:b w:val="0"/>
                <w:bCs/>
              </w:rPr>
              <w:spacing w:before="60" w:after="60" w:line="320" w:lineRule="exact"/>
            </w:pPr>
            <w:r>
              <w:rPr>
                <w:rFonts w:eastAsia="宋体" w:ascii="Times New Roman" w:hAnsi="Times New Roman" w:cs="宋体"/>
                <w:sz w:val="21"/>
                <w:szCs w:val="21"/>
              </w:rPr>
              <w:t>0.785</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7A7D527">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&gt;0.700</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DF24616">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适合进行因子分析</w:t>
            </w:r>
          </w:p>
        </w:tc>
      </w:tr>
      <w:tr w14:paraId="4C7A1EA8">
        <w:trP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78288DE">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Bartlett球形检验</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A6EDDB6">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近似卡方值（χ²）</w:t>
            </w:r>
          </w:p>
        </w:tc>
        <w:tc>
          <w:tcPr>
            <w:tcW w:w="1700" w:type="dxa"/>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2127F94">
            <w:pPr>
              <w:ind w:firstLineChars="200"/>
              <w:jc w:val="center"/>
              <w:rPr>
                <w:rFonts w:hint="eastAsia" w:ascii="宋体" w:hAnsi="宋体" w:eastAsia="宋体" w:cs="宋体"/>
                <w:b w:val="0"/>
                <w:bCs/>
              </w:rPr>
              <w:spacing w:before="60" w:after="60" w:line="320" w:lineRule="exact"/>
            </w:pPr>
            <w:r>
              <w:rPr>
                <w:rFonts w:eastAsia="宋体" w:ascii="Times New Roman" w:hAnsi="Times New Roman" w:cs="宋体"/>
                <w:sz w:val="21"/>
                <w:szCs w:val="21"/>
              </w:rPr>
              <w:t>1419.603</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9750BB6">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AEE14C4">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w:t>
            </w:r>
          </w:p>
        </w:tc>
      </w:tr>
      <w:tr w14:paraId="55A4BDDD">
        <w:trP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restart"/>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1EFBEDD1">
            <w:pPr>
              <w:ind/>
              <w:jc w:val="center"/>
              <w:rPr>
                <w:rFonts w:hint="eastAsia" w:ascii="宋体" w:hAnsi="宋体" w:eastAsia="宋体" w:cs="宋体"/>
                <w:b w:val="0"/>
                <w:bCs/>
              </w:rPr>
              <w:spacing w:before="60" w:after="60" w:line="320" w:lineRule="exact"/>
            </w:pP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49F9713">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自由度（df）</w:t>
            </w:r>
          </w:p>
        </w:tc>
        <w:tc>
          <w:tcPr>
            <w:tcW w:w="1700" w:type="dxa"/>
            <w:vAlign w:val="top"/>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2AFA5B6">
            <w:pPr>
              <w:ind w:firstLineChars="200"/>
              <w:jc w:val="center"/>
              <w:rPr>
                <w:rFonts w:hint="eastAsia" w:ascii="宋体" w:hAnsi="宋体" w:eastAsia="宋体" w:cs="宋体"/>
                <w:b w:val="0"/>
                <w:bCs/>
              </w:rPr>
              <w:spacing w:before="60" w:after="60" w:line="320" w:lineRule="exact"/>
            </w:pPr>
            <w:r>
              <w:rPr>
                <w:rFonts w:eastAsia="宋体" w:ascii="Times New Roman" w:hAnsi="Times New Roman" w:cs="宋体"/>
                <w:sz w:val="21"/>
                <w:szCs w:val="21"/>
              </w:rPr>
              <w:t>153</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6003EB9">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w:t>
            </w:r>
          </w:p>
        </w:tc>
        <w:tc>
          <w:tcPr>
            <w:tcW w:w="1700"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282CC08">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w:t>
            </w:r>
          </w:p>
        </w:tc>
      </w:tr>
      <w:tr w14:paraId="4352FF93">
        <w:trP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continue"/>
            <w:tcBorders>
              <w:top w:val="none" w:sz="0" w:space="0" w:color="auto"/>
              <w:bottom w:val="single" w:sz="12" w:space="0" w:color="auto"/>
              <w:left w:val="none" w:sz="0" w:space="0" w:color="auto"/>
              <w:right w:val="none" w:sz="0" w:space="0" w:color="auto"/>
            </w:tcBorders>
          </w:tcPr>
          <w:p w14:paraId="0D0F97DB">
            <w:pPr>
              <w:ind w:firstLine="0"/>
              <w:jc w:val="center"/>
              <w:rPr>
                <w:rFonts w:hint="eastAsia" w:ascii="宋体" w:hAnsi="宋体" w:eastAsia="宋体" w:cs="宋体"/>
                <w:b w:val="0"/>
                <w:bCs/>
              </w:rPr>
            </w:pPr>
          </w:p>
        </w:tc>
        <w:tc>
          <w:tcPr>
            <w:tcW w:w="1700"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4414E9B">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显著性（Sig.）</w:t>
            </w:r>
          </w:p>
        </w:tc>
        <w:tc>
          <w:tcPr>
            <w:tcW w:w="1700" w:type="dxa"/>
            <w:vAlign w:val="top"/>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73202320">
            <w:pPr>
              <w:ind w:firstLineChars="200"/>
              <w:jc w:val="center"/>
              <w:rPr>
                <w:rFonts w:hint="eastAsia" w:ascii="宋体" w:hAnsi="宋体" w:eastAsia="宋体" w:cs="宋体"/>
                <w:b w:val="0"/>
                <w:bCs/>
              </w:rPr>
              <w:spacing w:before="60" w:after="60" w:line="320" w:lineRule="exact"/>
            </w:pPr>
            <w:r>
              <w:rPr>
                <w:rFonts w:eastAsia="宋体" w:ascii="Times New Roman" w:hAnsi="Times New Roman" w:cs="宋体"/>
                <w:sz w:val="21"/>
                <w:szCs w:val="21"/>
              </w:rPr>
              <w:t>&lt;0.001</w:t>
            </w:r>
          </w:p>
        </w:tc>
        <w:tc>
          <w:tcPr>
            <w:tcW w:w="1700"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59A17602">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&lt;0.05</w:t>
            </w:r>
          </w:p>
        </w:tc>
        <w:tc>
          <w:tcPr>
            <w:tcW w:w="1700"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522D8780">
            <w:pPr>
              <w:ind/>
              <w:jc w:val="center"/>
              <w:rPr>
                <w:rFonts w:hint="eastAsia" w:ascii="宋体" w:hAnsi="宋体" w:eastAsia="宋体" w:cs="宋体"/>
                <w:b w:val="0"/>
                <w:bCs/>
              </w:rPr>
              <w:spacing w:before="60" w:after="60" w:line="320" w:lineRule="exact"/>
            </w:pPr>
            <w:r>
              <w:rPr>
                <w:rFonts w:hint="eastAsia" w:ascii="Times New Roman" w:hAnsi="Times New Roman" w:eastAsia="宋体" w:cs="宋体"/>
                <w:bCs/>
                <w:sz w:val="21"/>
                <w:szCs w:val="21"/>
              </w:rPr>
              <w:t>适合进行因子分析</w:t>
            </w:r>
          </w:p>
        </w:tc>
      </w:tr>
    </w:tbl>
    <w:p w14:paraId="61FDF7C2">
      <w:pPr>
        <w:spacing w:before="0" w:after="0" w:line="400" w:lineRule="exact"/>
        <w:jc w:val="both"/>
        <w:ind w:firstLine="480"/>
      </w:pPr>
      <w:r>
        <w:rPr>
          <w:rFonts w:eastAsia="宋体" w:ascii="Times New Roman" w:hAnsi="Times New Roman" w:cs="宋体"/>
          <w:sz w:val="24"/>
          <w:szCs w:val="24"/>
        </w:rPr>
        <w:t>由表3-2可知，</w:t>
      </w:r>
      <w:r>
        <w:rPr>
          <w:rFonts w:eastAsia="宋体" w:ascii="Times New Roman" w:hAnsi="Times New Roman" w:cs="宋体"/>
          <w:highlight w:val="yellow"/>
          <w:sz w:val="24"/>
          <w:szCs w:val="24"/>
        </w:rPr>
        <w:t>KMO值为0.7</w:t>
      </w:r>
      <w:r>
        <w:rPr>
          <w:rFonts w:hint="eastAsia" w:eastAsia="宋体" w:ascii="Times New Roman" w:hAnsi="Times New Roman" w:cs="宋体"/>
          <w:highlight w:val="yellow"/>
          <w:lang w:val="en-US" w:eastAsia="zh-CN"/>
          <w:sz w:val="24"/>
          <w:szCs w:val="24"/>
        </w:rPr>
        <w:t>8</w:t>
      </w:r>
      <w:r>
        <w:rPr>
          <w:rFonts w:eastAsia="宋体" w:ascii="Times New Roman" w:hAnsi="Times New Roman" w:cs="宋体"/>
          <w:highlight w:val="yellow"/>
          <w:sz w:val="24"/>
          <w:szCs w:val="24"/>
        </w:rPr>
        <w:t xml:space="preserve">5，超过0.700标准，达到"良好"水平（Kaiser，1974）</w:t>
      </w:r>
      <w:r>
        <w:rPr>
          <w:rStyle w:val="FootnoteReference"/>
        </w:rPr>
        <w:endnoteReference w:id="9"/>
      </w:r>
      <w:r>
        <w:rPr>
          <w:rFonts w:eastAsia="宋体" w:ascii="Times New Roman" w:hAnsi="Times New Roman" w:cs="宋体"/>
          <w:highlight w:val="yellow"/>
          <w:sz w:val="24"/>
          <w:szCs w:val="24"/>
        </w:rPr>
        <w:t xml:space="preserve">；</w:t>
      </w:r>
      <w:r>
        <w:rPr>
          <w:rFonts w:eastAsia="宋体" w:ascii="Times New Roman" w:hAnsi="Times New Roman" w:cs="宋体"/>
          <w:sz w:val="24"/>
          <w:szCs w:val="24"/>
        </w:rPr>
        <w:t>Bartlett球形检验近似卡方值为1419.603（df=153，p&lt;0.001），拒绝相关矩阵为单位阵的原假设，验证了变量间存在充分共变关系，数据结构满足因子分析前提条件。</w:t>
      </w:r>
    </w:p>
    <w:p w14:paraId="5233A5F7">
      <w:pPr>
        <w:pStyle w:val="4"/>
        <w:spacing w:before="0" w:after="0" w:line="400" w:lineRule="exact"/>
        <w:jc w:val="both"/>
      </w:pPr>
      <w:r>
        <w:rPr>
          <w:b/>
          <w:rFonts w:eastAsia="黑体" w:ascii="Times New Roman" w:hAnsi="Times New Roman" w:cs="黑体"/>
          <w:sz w:val="24"/>
          <w:szCs w:val="24"/>
        </w:rPr>
        <w:t>3.6.4主成分分析</w:t>
      </w:r>
    </w:p>
    <w:p w14:paraId="15B5776D">
      <w:pPr>
        <w:spacing w:before="0" w:after="0" w:line="400" w:lineRule="exact"/>
        <w:jc w:val="both"/>
        <w:ind w:firstLine="480"/>
      </w:pPr>
      <w:r>
        <w:rPr>
          <w:rFonts w:eastAsia="宋体" w:ascii="Times New Roman" w:hAnsi="Times New Roman" w:cs="宋体"/>
          <w:sz w:val="24"/>
          <w:szCs w:val="24"/>
        </w:rPr>
        <w:t>在上述检验通过的基础上，本文采用主成分分析法进行探索性因子分析，以Kaiser标准化最大方差法（Varimax）进行正交旋转，依据理论模型提取6个公因子。各成分特征根与方差解释情况如表3-3所示。</w:t>
      </w:r>
    </w:p>
    <w:p w14:paraId="6231B2B6">
      <w:pPr>
        <w:pStyle w:val="12"/>
        <w:jc w:val="center"/>
        <w:spacing w:before="120" w:after="120" w:line="400" w:lineRule="exact"/>
        <w:ind/>
      </w:pPr>
      <w:r>
        <w:rPr>
          <w:b/>
          <w:rFonts w:eastAsia="宋体" w:ascii="Times New Roman" w:hAnsi="Times New Roman" w:cs="宋体"/>
          <w:sz w:val="21"/>
          <w:szCs w:val="21"/>
        </w:rPr>
        <w:t>表3-3 总方差解释（提取6个公因子）</w:t>
      </w:r>
    </w:p>
    <w:tbl>
      <w:tblPr>
        <w:tblStyle w:val="33"/>
        <w:tblW w:w="8500" w:type="dxa"/>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25"/>
        <w:gridCol w:w="2125"/>
        <w:gridCol w:w="2125"/>
        <w:gridCol w:w="2125"/>
      </w:tblGrid>
      <w:tr w14:paraId="3EC4F276">
        <w:trPr/>
        <w:tblPrEx>
          <w:tblCellMar>
            <w:top w:w="0" w:type="dxa"/>
            <w:left w:w="108" w:type="dxa"/>
            <w:bottom w:w="0" w:type="dxa"/>
            <w:right w:w="108" w:type="dxa"/>
          </w:tblCellMar>
        </w:tblPrEx>
        <w:tc>
          <w:tcPr>
            <w:tcW w:w="2125"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ED1DC83">
            <w:pPr>
              <w:ind/>
              <w:jc w:val="center"/>
              <w:rPr>
                <w:b w:val="0"/>
                <w:bCs/>
              </w:rPr>
              <w:spacing w:before="60" w:after="60" w:line="320" w:lineRule="exact"/>
            </w:pPr>
            <w:r>
              <w:rPr>
                <w:rFonts w:eastAsia="宋体" w:ascii="Times New Roman" w:hAnsi="Times New Roman" w:cs="宋体"/>
                <w:b w:val="0"/>
                <w:bCs/>
                <w:sz w:val="21"/>
                <w:szCs w:val="21"/>
              </w:rPr>
              <w:t>成分</w:t>
            </w:r>
          </w:p>
        </w:tc>
        <w:tc>
          <w:tcPr>
            <w:tcW w:w="2125"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1BDFAD8">
            <w:pPr>
              <w:ind/>
              <w:jc w:val="center"/>
              <w:rPr>
                <w:b w:val="0"/>
                <w:bCs/>
              </w:rPr>
              <w:spacing w:before="60" w:after="60" w:line="320" w:lineRule="exact"/>
            </w:pPr>
            <w:r>
              <w:rPr>
                <w:rFonts w:eastAsia="宋体" w:ascii="Times New Roman" w:hAnsi="Times New Roman" w:cs="宋体"/>
                <w:b w:val="0"/>
                <w:bCs/>
                <w:sz w:val="21"/>
                <w:szCs w:val="21"/>
              </w:rPr>
              <w:t>初始特征值（λ）</w:t>
            </w:r>
          </w:p>
        </w:tc>
        <w:tc>
          <w:tcPr>
            <w:tcW w:w="2125"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3C3EFD9">
            <w:pPr>
              <w:ind/>
              <w:jc w:val="center"/>
              <w:rPr>
                <w:b w:val="0"/>
                <w:bCs/>
              </w:rPr>
              <w:spacing w:before="60" w:after="60" w:line="320" w:lineRule="exact"/>
            </w:pPr>
            <w:r>
              <w:rPr>
                <w:rFonts w:eastAsia="宋体" w:ascii="Times New Roman" w:hAnsi="Times New Roman" w:cs="宋体"/>
                <w:b w:val="0"/>
                <w:bCs/>
                <w:sz w:val="21"/>
                <w:szCs w:val="21"/>
              </w:rPr>
              <w:t>方差贡献率（%）</w:t>
            </w:r>
          </w:p>
        </w:tc>
        <w:tc>
          <w:tcPr>
            <w:tcW w:w="2125"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EEB43E6">
            <w:pPr>
              <w:ind/>
              <w:jc w:val="center"/>
              <w:rPr>
                <w:b w:val="0"/>
                <w:bCs/>
              </w:rPr>
              <w:spacing w:before="60" w:after="60" w:line="320" w:lineRule="exact"/>
            </w:pPr>
            <w:r>
              <w:rPr>
                <w:rFonts w:eastAsia="宋体" w:ascii="Times New Roman" w:hAnsi="Times New Roman" w:cs="宋体"/>
                <w:b w:val="0"/>
                <w:bCs/>
                <w:sz w:val="21"/>
                <w:szCs w:val="21"/>
              </w:rPr>
              <w:t>累积方差贡献率（%）</w:t>
            </w:r>
          </w:p>
        </w:tc>
      </w:tr>
      <w:tr w14:paraId="014B439E">
        <w:trPr/>
        <w:tblPrEx>
          <w:tblCellMar>
            <w:top w:w="0" w:type="dxa"/>
            <w:left w:w="108" w:type="dxa"/>
            <w:bottom w:w="0" w:type="dxa"/>
            <w:right w:w="108" w:type="dxa"/>
          </w:tblCellMar>
        </w:tblPrEx>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998FAC3">
            <w:pPr>
              <w:ind/>
              <w:jc w:val="center"/>
              <w:rPr>
                <w:b w:val="0"/>
                <w:bCs/>
              </w:rPr>
              <w:spacing w:before="60" w:after="60" w:line="320" w:lineRule="exact"/>
            </w:pPr>
            <w:r>
              <w:rPr>
                <w:rFonts w:eastAsia="宋体" w:ascii="Times New Roman" w:hAnsi="Times New Roman" w:cs="宋体"/>
                <w:bCs/>
                <w:sz w:val="21"/>
                <w:szCs w:val="21"/>
              </w:rPr>
              <w:t>1</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9B8F374">
            <w:pPr>
              <w:ind/>
              <w:jc w:val="center"/>
              <w:rPr>
                <w:b w:val="0"/>
                <w:bCs/>
              </w:rPr>
              <w:spacing w:before="60" w:after="60" w:line="320" w:lineRule="exact"/>
            </w:pPr>
            <w:r>
              <w:rPr>
                <w:rFonts w:eastAsia="宋体" w:ascii="Times New Roman" w:hAnsi="Times New Roman" w:cs="宋体"/>
                <w:bCs/>
                <w:sz w:val="21"/>
                <w:szCs w:val="21"/>
              </w:rPr>
              <w:t>4.754</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C2D8DF6">
            <w:pPr>
              <w:ind/>
              <w:jc w:val="center"/>
              <w:rPr>
                <w:b w:val="0"/>
                <w:bCs/>
              </w:rPr>
              <w:spacing w:before="60" w:after="60" w:line="320" w:lineRule="exact"/>
            </w:pPr>
            <w:r>
              <w:rPr>
                <w:rFonts w:eastAsia="宋体" w:ascii="Times New Roman" w:hAnsi="Times New Roman" w:cs="宋体"/>
                <w:bCs/>
                <w:sz w:val="21"/>
                <w:szCs w:val="21"/>
              </w:rPr>
              <w:t>25.88</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65BCA9D">
            <w:pPr>
              <w:ind/>
              <w:jc w:val="center"/>
              <w:rPr>
                <w:b w:val="0"/>
                <w:bCs/>
              </w:rPr>
              <w:spacing w:before="60" w:after="60" w:line="320" w:lineRule="exact"/>
            </w:pPr>
            <w:r>
              <w:rPr>
                <w:rFonts w:eastAsia="宋体" w:ascii="Times New Roman" w:hAnsi="Times New Roman" w:cs="宋体"/>
                <w:bCs/>
                <w:sz w:val="21"/>
                <w:szCs w:val="21"/>
              </w:rPr>
              <w:t>25.88</w:t>
            </w:r>
          </w:p>
        </w:tc>
      </w:tr>
      <w:tr w14:paraId="2ABFC353">
        <w:trPr/>
        <w:tblPrEx>
          <w:tblCellMar>
            <w:top w:w="0" w:type="dxa"/>
            <w:left w:w="108" w:type="dxa"/>
            <w:bottom w:w="0" w:type="dxa"/>
            <w:right w:w="108" w:type="dxa"/>
          </w:tblCellMar>
        </w:tblPrEx>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E45432B">
            <w:pPr>
              <w:ind/>
              <w:jc w:val="center"/>
              <w:rPr>
                <w:b w:val="0"/>
                <w:bCs/>
              </w:rPr>
              <w:spacing w:before="60" w:after="60" w:line="320" w:lineRule="exact"/>
            </w:pPr>
            <w:r>
              <w:rPr>
                <w:rFonts w:eastAsia="宋体" w:ascii="Times New Roman" w:hAnsi="Times New Roman" w:cs="宋体"/>
                <w:bCs/>
                <w:sz w:val="21"/>
                <w:szCs w:val="21"/>
              </w:rPr>
              <w:t>2</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6BB6224">
            <w:pPr>
              <w:ind/>
              <w:jc w:val="center"/>
              <w:rPr>
                <w:b w:val="0"/>
                <w:bCs/>
              </w:rPr>
              <w:spacing w:before="60" w:after="60" w:line="320" w:lineRule="exact"/>
            </w:pPr>
            <w:r>
              <w:rPr>
                <w:rFonts w:eastAsia="宋体" w:ascii="Times New Roman" w:hAnsi="Times New Roman" w:cs="宋体"/>
                <w:bCs/>
                <w:sz w:val="21"/>
                <w:szCs w:val="21"/>
              </w:rPr>
              <w:t>4.040</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D45F1D3">
            <w:pPr>
              <w:ind/>
              <w:jc w:val="center"/>
              <w:rPr>
                <w:b w:val="0"/>
                <w:bCs/>
              </w:rPr>
              <w:spacing w:before="60" w:after="60" w:line="320" w:lineRule="exact"/>
            </w:pPr>
            <w:r>
              <w:rPr>
                <w:rFonts w:eastAsia="宋体" w:ascii="Times New Roman" w:hAnsi="Times New Roman" w:cs="宋体"/>
                <w:bCs/>
                <w:sz w:val="21"/>
                <w:szCs w:val="21"/>
              </w:rPr>
              <w:t>22.00</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055F94E">
            <w:pPr>
              <w:ind/>
              <w:jc w:val="center"/>
              <w:rPr>
                <w:b w:val="0"/>
                <w:bCs/>
              </w:rPr>
              <w:spacing w:before="60" w:after="60" w:line="320" w:lineRule="exact"/>
            </w:pPr>
            <w:r>
              <w:rPr>
                <w:rFonts w:eastAsia="宋体" w:ascii="Times New Roman" w:hAnsi="Times New Roman" w:cs="宋体"/>
                <w:bCs/>
                <w:sz w:val="21"/>
                <w:szCs w:val="21"/>
              </w:rPr>
              <w:t>47.88</w:t>
            </w:r>
          </w:p>
        </w:tc>
      </w:tr>
      <w:tr w14:paraId="47C93D4C">
        <w:trPr/>
        <w:tblPrEx>
          <w:tblCellMar>
            <w:top w:w="0" w:type="dxa"/>
            <w:left w:w="108" w:type="dxa"/>
            <w:bottom w:w="0" w:type="dxa"/>
            <w:right w:w="108" w:type="dxa"/>
          </w:tblCellMar>
        </w:tblPrEx>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2ED37A6">
            <w:pPr>
              <w:ind/>
              <w:jc w:val="center"/>
              <w:rPr>
                <w:b w:val="0"/>
                <w:bCs/>
              </w:rPr>
              <w:spacing w:before="60" w:after="60" w:line="320" w:lineRule="exact"/>
            </w:pPr>
            <w:r>
              <w:rPr>
                <w:rFonts w:eastAsia="宋体" w:ascii="Times New Roman" w:hAnsi="Times New Roman" w:cs="宋体"/>
                <w:bCs/>
                <w:sz w:val="21"/>
                <w:szCs w:val="21"/>
              </w:rPr>
              <w:t>3</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C807846">
            <w:pPr>
              <w:ind/>
              <w:jc w:val="center"/>
              <w:rPr>
                <w:b w:val="0"/>
                <w:bCs/>
              </w:rPr>
              <w:spacing w:before="60" w:after="60" w:line="320" w:lineRule="exact"/>
            </w:pPr>
            <w:r>
              <w:rPr>
                <w:rFonts w:eastAsia="宋体" w:ascii="Times New Roman" w:hAnsi="Times New Roman" w:cs="宋体"/>
                <w:bCs/>
                <w:sz w:val="21"/>
                <w:szCs w:val="21"/>
              </w:rPr>
              <w:t>2.364</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10F4864">
            <w:pPr>
              <w:ind/>
              <w:jc w:val="center"/>
              <w:rPr>
                <w:b w:val="0"/>
                <w:bCs/>
              </w:rPr>
              <w:spacing w:before="60" w:after="60" w:line="320" w:lineRule="exact"/>
            </w:pPr>
            <w:r>
              <w:rPr>
                <w:rFonts w:eastAsia="宋体" w:ascii="Times New Roman" w:hAnsi="Times New Roman" w:cs="宋体"/>
                <w:bCs/>
                <w:sz w:val="21"/>
                <w:szCs w:val="21"/>
              </w:rPr>
              <w:t>12.87</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F6CE69C">
            <w:pPr>
              <w:ind/>
              <w:jc w:val="center"/>
              <w:rPr>
                <w:b w:val="0"/>
                <w:bCs/>
              </w:rPr>
              <w:spacing w:before="60" w:after="60" w:line="320" w:lineRule="exact"/>
            </w:pPr>
            <w:r>
              <w:rPr>
                <w:rFonts w:eastAsia="宋体" w:ascii="Times New Roman" w:hAnsi="Times New Roman" w:cs="宋体"/>
                <w:bCs/>
                <w:sz w:val="21"/>
                <w:szCs w:val="21"/>
              </w:rPr>
              <w:t>60.75</w:t>
            </w:r>
          </w:p>
        </w:tc>
      </w:tr>
      <w:tr w14:paraId="35B262AC">
        <w:trPr/>
        <w:tblPrEx>
          <w:tblCellMar>
            <w:top w:w="0" w:type="dxa"/>
            <w:left w:w="108" w:type="dxa"/>
            <w:bottom w:w="0" w:type="dxa"/>
            <w:right w:w="108" w:type="dxa"/>
          </w:tblCellMar>
        </w:tblPrEx>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B20F288">
            <w:pPr>
              <w:ind/>
              <w:jc w:val="center"/>
              <w:rPr>
                <w:b w:val="0"/>
                <w:bCs/>
              </w:rPr>
              <w:spacing w:before="60" w:after="60" w:line="320" w:lineRule="exact"/>
            </w:pPr>
            <w:r>
              <w:rPr>
                <w:rFonts w:eastAsia="宋体" w:ascii="Times New Roman" w:hAnsi="Times New Roman" w:cs="宋体"/>
                <w:bCs/>
                <w:sz w:val="21"/>
                <w:szCs w:val="21"/>
              </w:rPr>
              <w:t>4</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66F8B72">
            <w:pPr>
              <w:ind/>
              <w:jc w:val="center"/>
              <w:rPr>
                <w:b w:val="0"/>
                <w:bCs/>
              </w:rPr>
              <w:spacing w:before="60" w:after="60" w:line="320" w:lineRule="exact"/>
            </w:pPr>
            <w:r>
              <w:rPr>
                <w:rFonts w:eastAsia="宋体" w:ascii="Times New Roman" w:hAnsi="Times New Roman" w:cs="宋体"/>
                <w:bCs/>
                <w:sz w:val="21"/>
                <w:szCs w:val="21"/>
              </w:rPr>
              <w:t>1.466</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91EECC8">
            <w:pPr>
              <w:ind/>
              <w:jc w:val="center"/>
              <w:rPr>
                <w:b w:val="0"/>
                <w:bCs/>
              </w:rPr>
              <w:spacing w:before="60" w:after="60" w:line="320" w:lineRule="exact"/>
            </w:pPr>
            <w:r>
              <w:rPr>
                <w:rFonts w:eastAsia="宋体" w:ascii="Times New Roman" w:hAnsi="Times New Roman" w:cs="宋体"/>
                <w:bCs/>
                <w:sz w:val="21"/>
                <w:szCs w:val="21"/>
              </w:rPr>
              <w:t>7.98</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60AF916">
            <w:pPr>
              <w:ind/>
              <w:jc w:val="center"/>
              <w:rPr>
                <w:b w:val="0"/>
                <w:bCs/>
              </w:rPr>
              <w:spacing w:before="60" w:after="60" w:line="320" w:lineRule="exact"/>
            </w:pPr>
            <w:r>
              <w:rPr>
                <w:rFonts w:eastAsia="宋体" w:ascii="Times New Roman" w:hAnsi="Times New Roman" w:cs="宋体"/>
                <w:bCs/>
                <w:sz w:val="21"/>
                <w:szCs w:val="21"/>
              </w:rPr>
              <w:t>68.74</w:t>
            </w:r>
          </w:p>
        </w:tc>
      </w:tr>
      <w:tr w14:paraId="51D5DBD4">
        <w:trPr/>
        <w:tblPrEx>
          <w:tblCellMar>
            <w:top w:w="0" w:type="dxa"/>
            <w:left w:w="108" w:type="dxa"/>
            <w:bottom w:w="0" w:type="dxa"/>
            <w:right w:w="108" w:type="dxa"/>
          </w:tblCellMar>
        </w:tblPrEx>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7AD773D">
            <w:pPr>
              <w:ind/>
              <w:jc w:val="center"/>
              <w:rPr>
                <w:b w:val="0"/>
                <w:bCs/>
              </w:rPr>
              <w:spacing w:before="60" w:after="60" w:line="320" w:lineRule="exact"/>
            </w:pPr>
            <w:r>
              <w:rPr>
                <w:rFonts w:eastAsia="宋体" w:ascii="Times New Roman" w:hAnsi="Times New Roman" w:cs="宋体"/>
                <w:bCs/>
                <w:sz w:val="21"/>
                <w:szCs w:val="21"/>
              </w:rPr>
              <w:t>5</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929FE6C">
            <w:pPr>
              <w:ind/>
              <w:jc w:val="center"/>
              <w:rPr>
                <w:b w:val="0"/>
                <w:bCs/>
              </w:rPr>
              <w:spacing w:before="60" w:after="60" w:line="320" w:lineRule="exact"/>
            </w:pPr>
            <w:r>
              <w:rPr>
                <w:rFonts w:eastAsia="宋体" w:ascii="Times New Roman" w:hAnsi="Times New Roman" w:cs="宋体"/>
                <w:bCs/>
                <w:sz w:val="21"/>
                <w:szCs w:val="21"/>
              </w:rPr>
              <w:t>1.417</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6345014">
            <w:pPr>
              <w:ind/>
              <w:jc w:val="center"/>
              <w:rPr>
                <w:b w:val="0"/>
                <w:bCs/>
              </w:rPr>
              <w:spacing w:before="60" w:after="60" w:line="320" w:lineRule="exact"/>
            </w:pPr>
            <w:r>
              <w:rPr>
                <w:rFonts w:eastAsia="宋体" w:ascii="Times New Roman" w:hAnsi="Times New Roman" w:cs="宋体"/>
                <w:bCs/>
                <w:sz w:val="21"/>
                <w:szCs w:val="21"/>
              </w:rPr>
              <w:t>7.71</w:t>
            </w:r>
          </w:p>
        </w:tc>
        <w:tc>
          <w:tcPr>
            <w:tcW w:w="2125"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D6E6D33">
            <w:pPr>
              <w:ind/>
              <w:jc w:val="center"/>
              <w:rPr>
                <w:b w:val="0"/>
                <w:bCs/>
              </w:rPr>
              <w:spacing w:before="60" w:after="60" w:line="320" w:lineRule="exact"/>
            </w:pPr>
            <w:r>
              <w:rPr>
                <w:rFonts w:eastAsia="宋体" w:ascii="Times New Roman" w:hAnsi="Times New Roman" w:cs="宋体"/>
                <w:bCs/>
                <w:sz w:val="21"/>
                <w:szCs w:val="21"/>
              </w:rPr>
              <w:t>76.45</w:t>
            </w:r>
          </w:p>
        </w:tc>
      </w:tr>
      <w:tr w14:paraId="4CE22456">
        <w:trPr/>
        <w:tblPrEx>
          <w:tblCellMar>
            <w:top w:w="0" w:type="dxa"/>
            <w:left w:w="108" w:type="dxa"/>
            <w:bottom w:w="0" w:type="dxa"/>
            <w:right w:w="108" w:type="dxa"/>
          </w:tblCellMar>
        </w:tblPrEx>
        <w:tc>
          <w:tcPr>
            <w:tcW w:w="212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0625FABD">
            <w:pPr>
              <w:ind/>
              <w:jc w:val="center"/>
              <w:spacing w:before="60" w:after="60" w:line="320" w:lineRule="exact"/>
            </w:pPr>
            <w:r>
              <w:rPr>
                <w:rFonts w:eastAsia="宋体" w:ascii="Times New Roman" w:hAnsi="Times New Roman" w:cs="宋体"/>
                <w:sz w:val="21"/>
                <w:szCs w:val="21"/>
              </w:rPr>
              <w:t>6</w:t>
            </w:r>
          </w:p>
        </w:tc>
        <w:tc>
          <w:tcPr>
            <w:tcW w:w="212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7CCF5632">
            <w:pPr>
              <w:ind/>
              <w:jc w:val="center"/>
              <w:spacing w:before="60" w:after="60" w:line="320" w:lineRule="exact"/>
            </w:pPr>
            <w:r>
              <w:rPr>
                <w:rFonts w:eastAsia="宋体" w:ascii="Times New Roman" w:hAnsi="Times New Roman" w:cs="宋体"/>
                <w:sz w:val="21"/>
                <w:szCs w:val="21"/>
              </w:rPr>
              <w:t>1.246</w:t>
            </w:r>
          </w:p>
        </w:tc>
        <w:tc>
          <w:tcPr>
            <w:tcW w:w="212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0BFAEBBC">
            <w:pPr>
              <w:ind/>
              <w:jc w:val="center"/>
              <w:spacing w:before="60" w:after="60" w:line="320" w:lineRule="exact"/>
            </w:pPr>
            <w:r>
              <w:rPr>
                <w:rFonts w:eastAsia="宋体" w:ascii="Times New Roman" w:hAnsi="Times New Roman" w:cs="宋体"/>
                <w:sz w:val="21"/>
                <w:szCs w:val="21"/>
              </w:rPr>
              <w:t>6.78</w:t>
            </w:r>
          </w:p>
        </w:tc>
        <w:tc>
          <w:tcPr>
            <w:tcW w:w="212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53C3D807">
            <w:pPr>
              <w:ind/>
              <w:jc w:val="center"/>
              <w:spacing w:before="60" w:after="60" w:line="320" w:lineRule="exact"/>
            </w:pPr>
            <w:r>
              <w:rPr>
                <w:rFonts w:eastAsia="宋体" w:ascii="Times New Roman" w:hAnsi="Times New Roman" w:cs="宋体"/>
                <w:sz w:val="21"/>
                <w:szCs w:val="21"/>
              </w:rPr>
              <w:t>83.23</w:t>
            </w:r>
          </w:p>
        </w:tc>
      </w:tr>
    </w:tbl>
    <w:p w14:paraId="7347B783">
      <w:pPr>
        <w:spacing w:before="0" w:after="0" w:line="400" w:lineRule="exact"/>
        <w:jc w:val="both"/>
        <w:ind w:firstLine="480"/>
      </w:pPr>
      <w:r>
        <w:rPr>
          <w:rFonts w:eastAsia="宋体" w:ascii="Times New Roman" w:hAnsi="Times New Roman" w:cs="宋体"/>
          <w:sz w:val="24"/>
          <w:szCs w:val="24"/>
        </w:rPr>
        <w:t>由表3-3可知，提取的6个公因子累积方差贡献率达到85.03%，能够充分解释原始变量信息。旋转后各因子载荷矩阵如表3-4所示。</w:t>
      </w:r>
    </w:p>
    <w:p w14:paraId="38B1E6F2">
      <w:pPr>
        <w:pStyle w:val="12"/>
        <w:jc w:val="center"/>
        <w:spacing w:before="120" w:after="120" w:line="400" w:lineRule="exact"/>
        <w:ind/>
      </w:pPr>
      <w:r>
        <w:rPr>
          <w:b/>
          <w:rFonts w:eastAsia="宋体" w:ascii="Times New Roman" w:hAnsi="Times New Roman" w:cs="宋体"/>
          <w:sz w:val="21"/>
          <w:szCs w:val="21"/>
        </w:rPr>
        <w:t>表3-4 旋转后成分矩阵（6因子Varimax旋转）</w:t>
      </w:r>
    </w:p>
    <w:tbl>
      <w:tblPr>
        <w:tblStyle w:val="33"/>
        <w:tblW w:w="8552" w:type="dxa"/>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36"/>
        <w:gridCol w:w="1236"/>
        <w:gridCol w:w="1236"/>
        <w:gridCol w:w="1236"/>
        <w:gridCol w:w="1236"/>
        <w:gridCol w:w="1236"/>
        <w:gridCol w:w="1236"/>
      </w:tblGrid>
      <w:tr w14:paraId="12034F91">
        <w:trPr/>
        <w:tblPrEx>
          <w:tblCellMar>
            <w:top w:w="0" w:type="dxa"/>
            <w:left w:w="108" w:type="dxa"/>
            <w:bottom w:w="0" w:type="dxa"/>
            <w:right w:w="108" w:type="dxa"/>
          </w:tblCellMar>
        </w:tblPrEx>
        <w:tc>
          <w:tcPr>
            <w:tcW w:w="11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21690D1A">
            <w:pPr>
              <w:ind/>
              <w:jc w:val="center"/>
              <w:rPr>
                <w:b w:val="0"/>
                <w:bCs/>
              </w:rPr>
              <w:spacing w:before="60" w:after="60" w:line="320" w:lineRule="exact"/>
            </w:pPr>
            <w:r>
              <w:rPr>
                <w:rFonts w:eastAsia="宋体" w:ascii="Times New Roman" w:hAnsi="Times New Roman" w:cs="宋体"/>
                <w:b w:val="0"/>
                <w:bCs/>
                <w:sz w:val="21"/>
                <w:szCs w:val="21"/>
              </w:rPr>
              <w:t>题项</w:t>
            </w:r>
          </w:p>
        </w:tc>
        <w:tc>
          <w:tcPr>
            <w:tcW w:w="12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889312E">
            <w:pPr>
              <w:ind/>
              <w:jc w:val="center"/>
              <w:rPr>
                <w:b w:val="0"/>
                <w:bCs/>
              </w:rPr>
              <w:spacing w:before="60" w:after="60" w:line="320" w:lineRule="exact"/>
            </w:pPr>
            <w:r>
              <w:rPr>
                <w:rFonts w:eastAsia="宋体" w:ascii="Times New Roman" w:hAnsi="Times New Roman" w:cs="宋体"/>
                <w:b w:val="0"/>
                <w:bCs/>
                <w:sz w:val="21"/>
                <w:szCs w:val="21"/>
              </w:rPr>
              <w:t>F1</w:t>
            </w:r>
          </w:p>
        </w:tc>
        <w:tc>
          <w:tcPr>
            <w:tcW w:w="12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E8F0230">
            <w:pPr>
              <w:ind/>
              <w:jc w:val="center"/>
              <w:rPr>
                <w:b w:val="0"/>
                <w:bCs/>
              </w:rPr>
              <w:spacing w:before="60" w:after="60" w:line="320" w:lineRule="exact"/>
            </w:pPr>
            <w:r>
              <w:rPr>
                <w:rFonts w:eastAsia="宋体" w:ascii="Times New Roman" w:hAnsi="Times New Roman" w:cs="宋体"/>
                <w:b w:val="0"/>
                <w:bCs/>
                <w:sz w:val="21"/>
                <w:szCs w:val="21"/>
              </w:rPr>
              <w:t>F2</w:t>
            </w:r>
          </w:p>
        </w:tc>
        <w:tc>
          <w:tcPr>
            <w:tcW w:w="12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0C0A1B2">
            <w:pPr>
              <w:ind/>
              <w:jc w:val="center"/>
              <w:rPr>
                <w:b w:val="0"/>
                <w:bCs/>
              </w:rPr>
              <w:spacing w:before="60" w:after="60" w:line="320" w:lineRule="exact"/>
            </w:pPr>
            <w:r>
              <w:rPr>
                <w:rFonts w:eastAsia="宋体" w:ascii="Times New Roman" w:hAnsi="Times New Roman" w:cs="宋体"/>
                <w:b w:val="0"/>
                <w:bCs/>
                <w:sz w:val="21"/>
                <w:szCs w:val="21"/>
              </w:rPr>
              <w:t>F3</w:t>
            </w:r>
          </w:p>
        </w:tc>
        <w:tc>
          <w:tcPr>
            <w:tcW w:w="12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ADA0FD8">
            <w:pPr>
              <w:ind/>
              <w:jc w:val="center"/>
              <w:rPr>
                <w:b w:val="0"/>
                <w:bCs/>
              </w:rPr>
              <w:spacing w:before="60" w:after="60" w:line="320" w:lineRule="exact"/>
            </w:pPr>
            <w:r>
              <w:rPr>
                <w:rFonts w:eastAsia="宋体" w:ascii="Times New Roman" w:hAnsi="Times New Roman" w:cs="宋体"/>
                <w:b w:val="0"/>
                <w:bCs/>
                <w:sz w:val="21"/>
                <w:szCs w:val="21"/>
              </w:rPr>
              <w:t>F4</w:t>
            </w:r>
          </w:p>
        </w:tc>
        <w:tc>
          <w:tcPr>
            <w:tcW w:w="12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E55E162">
            <w:pPr>
              <w:ind/>
              <w:jc w:val="center"/>
              <w:rPr>
                <w:b w:val="0"/>
                <w:bCs/>
              </w:rPr>
              <w:spacing w:before="60" w:after="60" w:line="320" w:lineRule="exact"/>
            </w:pPr>
            <w:r>
              <w:rPr>
                <w:rFonts w:eastAsia="宋体" w:ascii="Times New Roman" w:hAnsi="Times New Roman" w:cs="宋体"/>
                <w:b w:val="0"/>
                <w:bCs/>
                <w:sz w:val="21"/>
                <w:szCs w:val="21"/>
              </w:rPr>
              <w:t>F5</w:t>
            </w:r>
          </w:p>
        </w:tc>
        <w:tc>
          <w:tcPr>
            <w:tcW w:w="1236" w:type="dxa"/>
            <w:shd w:val="clear" w:color="auto" w:fill="auto"/>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490DB1C">
            <w:pPr>
              <w:ind/>
              <w:jc w:val="center"/>
              <w:rPr>
                <w:b w:val="0"/>
                <w:bCs/>
              </w:rPr>
              <w:spacing w:before="60" w:after="60" w:line="320" w:lineRule="exact"/>
            </w:pPr>
            <w:r>
              <w:rPr>
                <w:rFonts w:eastAsia="宋体" w:ascii="Times New Roman" w:hAnsi="Times New Roman" w:cs="宋体"/>
                <w:b w:val="0"/>
                <w:bCs/>
                <w:sz w:val="21"/>
                <w:szCs w:val="21"/>
              </w:rPr>
              <w:t>F6</w:t>
            </w:r>
          </w:p>
        </w:tc>
      </w:tr>
      <w:tr w14:paraId="44EF0B8B">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E6AF08C">
            <w:pPr>
              <w:ind/>
              <w:jc w:val="center"/>
              <w:rPr>
                <w:b w:val="0"/>
                <w:bCs/>
              </w:rPr>
              <w:spacing w:before="60" w:after="60" w:line="320" w:lineRule="exact"/>
            </w:pPr>
            <w:r>
              <w:rPr>
                <w:rFonts w:eastAsia="宋体" w:ascii="Times New Roman" w:hAnsi="Times New Roman" w:cs="宋体"/>
                <w:bCs/>
                <w:sz w:val="21"/>
                <w:szCs w:val="21"/>
              </w:rPr>
              <w:t>GP1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4918975">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CB2771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B3A1940">
            <w:pPr>
              <w:ind/>
              <w:jc w:val="center"/>
              <w:rPr>
                <w:b w:val="0"/>
                <w:bCs/>
              </w:rPr>
              <w:spacing w:before="60" w:after="60" w:line="320" w:lineRule="exact"/>
            </w:pPr>
            <w:r>
              <w:rPr>
                <w:rFonts w:eastAsia="宋体" w:ascii="Times New Roman" w:hAnsi="Times New Roman" w:cs="宋体"/>
                <w:bCs/>
                <w:sz w:val="21"/>
                <w:szCs w:val="21"/>
              </w:rPr>
              <w:t>0.919</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63FEBEB">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879DBE3">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008C4CA">
            <w:pPr>
              <w:ind/>
              <w:jc w:val="center"/>
              <w:rPr>
                <w:b w:val="0"/>
                <w:bCs/>
              </w:rPr>
              <w:spacing w:before="60" w:after="60" w:line="320" w:lineRule="exact"/>
            </w:pPr>
          </w:p>
        </w:tc>
      </w:tr>
      <w:tr w14:paraId="1BABD0AC">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547B67F">
            <w:pPr>
              <w:ind/>
              <w:jc w:val="center"/>
              <w:rPr>
                <w:b w:val="0"/>
                <w:bCs/>
              </w:rPr>
              <w:spacing w:before="60" w:after="60" w:line="320" w:lineRule="exact"/>
            </w:pPr>
            <w:r>
              <w:rPr>
                <w:rFonts w:eastAsia="宋体" w:ascii="Times New Roman" w:hAnsi="Times New Roman" w:cs="宋体"/>
                <w:bCs/>
                <w:sz w:val="21"/>
                <w:szCs w:val="21"/>
              </w:rPr>
              <w:t>GP2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E69BA9E">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8AEC28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B99CC86">
            <w:pPr>
              <w:ind/>
              <w:jc w:val="center"/>
              <w:rPr>
                <w:b w:val="0"/>
                <w:bCs/>
              </w:rPr>
              <w:spacing w:before="60" w:after="60" w:line="320" w:lineRule="exact"/>
            </w:pPr>
            <w:r>
              <w:rPr>
                <w:rFonts w:eastAsia="宋体" w:ascii="Times New Roman" w:hAnsi="Times New Roman" w:cs="宋体"/>
                <w:bCs/>
                <w:sz w:val="21"/>
                <w:szCs w:val="21"/>
              </w:rPr>
              <w:t>0.863</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D1E0797">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12382F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527F853">
            <w:pPr>
              <w:ind/>
              <w:jc w:val="center"/>
              <w:rPr>
                <w:b w:val="0"/>
                <w:bCs/>
              </w:rPr>
              <w:spacing w:before="60" w:after="60" w:line="320" w:lineRule="exact"/>
            </w:pPr>
          </w:p>
        </w:tc>
      </w:tr>
      <w:tr w14:paraId="21F27997">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3F700E9">
            <w:pPr>
              <w:ind/>
              <w:jc w:val="center"/>
              <w:rPr>
                <w:b w:val="0"/>
                <w:bCs/>
              </w:rPr>
              <w:spacing w:before="60" w:after="60" w:line="320" w:lineRule="exact"/>
            </w:pPr>
            <w:r>
              <w:rPr>
                <w:rFonts w:eastAsia="宋体" w:ascii="Times New Roman" w:hAnsi="Times New Roman" w:cs="宋体"/>
                <w:bCs/>
                <w:sz w:val="21"/>
                <w:szCs w:val="21"/>
              </w:rPr>
              <w:t>GP3</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08D4D61">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8A982F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02B7502">
            <w:pPr>
              <w:ind/>
              <w:jc w:val="center"/>
              <w:rPr>
                <w:b w:val="0"/>
                <w:bCs/>
              </w:rPr>
              <w:spacing w:before="60" w:after="60" w:line="320" w:lineRule="exact"/>
            </w:pPr>
            <w:r>
              <w:rPr>
                <w:rFonts w:eastAsia="宋体" w:ascii="Times New Roman" w:hAnsi="Times New Roman" w:cs="宋体"/>
                <w:bCs/>
                <w:sz w:val="21"/>
                <w:szCs w:val="21"/>
              </w:rPr>
              <w:t>0.824</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FC6B7B8">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B9F9B26">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43CF4EB">
            <w:pPr>
              <w:ind/>
              <w:jc w:val="center"/>
              <w:rPr>
                <w:b w:val="0"/>
                <w:bCs/>
              </w:rPr>
              <w:spacing w:before="60" w:after="60" w:line="320" w:lineRule="exact"/>
            </w:pPr>
          </w:p>
        </w:tc>
      </w:tr>
      <w:tr w14:paraId="179270DC">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E5D4115">
            <w:pPr>
              <w:ind/>
              <w:jc w:val="center"/>
              <w:rPr>
                <w:b w:val="0"/>
                <w:bCs/>
              </w:rPr>
              <w:spacing w:before="60" w:after="60" w:line="320" w:lineRule="exact"/>
            </w:pPr>
            <w:r>
              <w:rPr>
                <w:rFonts w:eastAsia="宋体" w:ascii="Times New Roman" w:hAnsi="Times New Roman" w:cs="宋体"/>
                <w:bCs/>
                <w:sz w:val="21"/>
                <w:szCs w:val="21"/>
              </w:rPr>
              <w:t>TS1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CB94ABB">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A547A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03C1607">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A30A9C4">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F6981C4">
            <w:pPr>
              <w:ind/>
              <w:jc w:val="center"/>
              <w:rPr>
                <w:b w:val="0"/>
                <w:bCs/>
              </w:rPr>
              <w:spacing w:before="60" w:after="60" w:line="320" w:lineRule="exact"/>
            </w:pPr>
            <w:r>
              <w:rPr>
                <w:rFonts w:eastAsia="宋体" w:ascii="Times New Roman" w:hAnsi="Times New Roman" w:cs="宋体"/>
                <w:bCs/>
                <w:sz w:val="21"/>
                <w:szCs w:val="21"/>
              </w:rPr>
              <w:t>0.876</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E04114A">
            <w:pPr>
              <w:ind/>
              <w:jc w:val="center"/>
              <w:rPr>
                <w:b w:val="0"/>
                <w:bCs/>
              </w:rPr>
              <w:spacing w:before="60" w:after="60" w:line="320" w:lineRule="exact"/>
            </w:pPr>
          </w:p>
        </w:tc>
      </w:tr>
      <w:tr w14:paraId="385A90C8">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AA66AA1">
            <w:pPr>
              <w:ind/>
              <w:jc w:val="center"/>
              <w:rPr>
                <w:b w:val="0"/>
                <w:bCs/>
              </w:rPr>
              <w:spacing w:before="60" w:after="60" w:line="320" w:lineRule="exact"/>
            </w:pPr>
            <w:r>
              <w:rPr>
                <w:rFonts w:eastAsia="宋体" w:ascii="Times New Roman" w:hAnsi="Times New Roman" w:cs="宋体"/>
                <w:bCs/>
                <w:sz w:val="21"/>
                <w:szCs w:val="21"/>
              </w:rPr>
              <w:t>TS2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505ABD8">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81DD71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EADB2A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E7B4BA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49A36FE">
            <w:pPr>
              <w:ind/>
              <w:jc w:val="center"/>
              <w:rPr>
                <w:b w:val="0"/>
                <w:bCs/>
              </w:rPr>
              <w:spacing w:before="60" w:after="60" w:line="320" w:lineRule="exact"/>
            </w:pPr>
            <w:r>
              <w:rPr>
                <w:rFonts w:eastAsia="宋体" w:ascii="Times New Roman" w:hAnsi="Times New Roman" w:cs="宋体"/>
                <w:bCs/>
                <w:sz w:val="21"/>
                <w:szCs w:val="21"/>
              </w:rPr>
              <w:t>0.829</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67C6CD4">
            <w:pPr>
              <w:ind/>
              <w:jc w:val="center"/>
              <w:rPr>
                <w:b w:val="0"/>
                <w:bCs/>
              </w:rPr>
              <w:spacing w:before="60" w:after="60" w:line="320" w:lineRule="exact"/>
            </w:pPr>
          </w:p>
        </w:tc>
      </w:tr>
      <w:tr w14:paraId="20882EE3">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AF8530A">
            <w:pPr>
              <w:ind/>
              <w:jc w:val="center"/>
              <w:rPr>
                <w:b w:val="0"/>
                <w:bCs/>
              </w:rPr>
              <w:spacing w:before="60" w:after="60" w:line="320" w:lineRule="exact"/>
            </w:pPr>
            <w:r>
              <w:rPr>
                <w:rFonts w:eastAsia="宋体" w:ascii="Times New Roman" w:hAnsi="Times New Roman" w:cs="宋体"/>
                <w:bCs/>
                <w:sz w:val="21"/>
                <w:szCs w:val="21"/>
              </w:rPr>
              <w:t>TS3</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66248C1">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35BD10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0D6F8B3">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5D531B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BFEAF84">
            <w:pPr>
              <w:ind/>
              <w:jc w:val="center"/>
              <w:rPr>
                <w:b w:val="0"/>
                <w:bCs/>
              </w:rPr>
              <w:spacing w:before="60" w:after="60" w:line="320" w:lineRule="exact"/>
            </w:pPr>
            <w:r>
              <w:rPr>
                <w:rFonts w:eastAsia="宋体" w:ascii="Times New Roman" w:hAnsi="Times New Roman" w:cs="宋体"/>
                <w:bCs/>
                <w:sz w:val="21"/>
                <w:szCs w:val="21"/>
              </w:rPr>
              <w:t>0.832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DBF3C30">
            <w:pPr>
              <w:ind/>
              <w:jc w:val="center"/>
              <w:rPr>
                <w:b w:val="0"/>
                <w:bCs/>
              </w:rPr>
              <w:spacing w:before="60" w:after="60" w:line="320" w:lineRule="exact"/>
            </w:pPr>
          </w:p>
        </w:tc>
      </w:tr>
      <w:tr w14:paraId="1C8D1ECB">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1F2CCBA">
            <w:pPr>
              <w:ind/>
              <w:jc w:val="center"/>
              <w:rPr>
                <w:b w:val="0"/>
                <w:bCs/>
              </w:rPr>
              <w:spacing w:before="60" w:after="60" w:line="320" w:lineRule="exact"/>
            </w:pPr>
            <w:r>
              <w:rPr>
                <w:rFonts w:eastAsia="宋体" w:ascii="Times New Roman" w:hAnsi="Times New Roman" w:cs="宋体"/>
                <w:bCs/>
                <w:sz w:val="21"/>
                <w:szCs w:val="21"/>
              </w:rPr>
              <w:t>IF1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87ED56F">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FD4164">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05D8BC9">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DF0444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42ACBF6">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C20AC56">
            <w:pPr>
              <w:ind/>
              <w:jc w:val="center"/>
              <w:rPr>
                <w:b w:val="0"/>
                <w:bCs/>
              </w:rPr>
              <w:spacing w:before="60" w:after="60" w:line="320" w:lineRule="exact"/>
            </w:pPr>
            <w:r>
              <w:rPr>
                <w:rFonts w:eastAsia="宋体" w:ascii="Times New Roman" w:hAnsi="Times New Roman" w:cs="宋体"/>
                <w:bCs/>
                <w:sz w:val="21"/>
                <w:szCs w:val="21"/>
              </w:rPr>
              <w:t>0.915</w:t>
            </w:r>
          </w:p>
        </w:tc>
      </w:tr>
      <w:tr w14:paraId="7C013889">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5742B92">
            <w:pPr>
              <w:ind/>
              <w:jc w:val="center"/>
              <w:rPr>
                <w:b w:val="0"/>
                <w:bCs/>
              </w:rPr>
              <w:spacing w:before="60" w:after="60" w:line="320" w:lineRule="exact"/>
            </w:pPr>
            <w:r>
              <w:rPr>
                <w:rFonts w:eastAsia="宋体" w:ascii="Times New Roman" w:hAnsi="Times New Roman" w:cs="宋体"/>
                <w:bCs/>
                <w:sz w:val="21"/>
                <w:szCs w:val="21"/>
              </w:rPr>
              <w:t>IF2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04272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AF2677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4A03856">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B124DD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36C0CF7">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DE0DB44">
            <w:pPr>
              <w:ind/>
              <w:jc w:val="center"/>
              <w:rPr>
                <w:b w:val="0"/>
                <w:bCs/>
              </w:rPr>
              <w:spacing w:before="60" w:after="60" w:line="320" w:lineRule="exact"/>
            </w:pPr>
            <w:r>
              <w:rPr>
                <w:rFonts w:eastAsia="宋体" w:ascii="Times New Roman" w:hAnsi="Times New Roman" w:cs="宋体"/>
                <w:bCs/>
                <w:sz w:val="21"/>
                <w:szCs w:val="21"/>
              </w:rPr>
              <w:t>0.854</w:t>
            </w:r>
          </w:p>
        </w:tc>
      </w:tr>
      <w:tr w14:paraId="1C2FE4AE">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8E3206A">
            <w:pPr>
              <w:ind/>
              <w:jc w:val="center"/>
              <w:rPr>
                <w:b w:val="0"/>
                <w:bCs/>
              </w:rPr>
              <w:spacing w:before="60" w:after="60" w:line="320" w:lineRule="exact"/>
            </w:pPr>
            <w:r>
              <w:rPr>
                <w:rFonts w:eastAsia="宋体" w:ascii="Times New Roman" w:hAnsi="Times New Roman" w:cs="宋体"/>
                <w:bCs/>
                <w:sz w:val="21"/>
                <w:szCs w:val="21"/>
              </w:rPr>
              <w:t>IF3</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4197789">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2503CB5">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556FF2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DBBC832">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6E28E0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98F67BC">
            <w:pPr>
              <w:ind/>
              <w:jc w:val="center"/>
              <w:rPr>
                <w:b w:val="0"/>
                <w:bCs/>
              </w:rPr>
              <w:spacing w:before="60" w:after="60" w:line="320" w:lineRule="exact"/>
            </w:pPr>
            <w:r>
              <w:rPr>
                <w:rFonts w:eastAsia="宋体" w:ascii="Times New Roman" w:hAnsi="Times New Roman" w:cs="宋体"/>
                <w:bCs/>
                <w:sz w:val="21"/>
                <w:szCs w:val="21"/>
              </w:rPr>
              <w:t>0.907</w:t>
            </w:r>
          </w:p>
        </w:tc>
      </w:tr>
      <w:tr w14:paraId="6353DE83">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78E39C3">
            <w:pPr>
              <w:ind/>
              <w:jc w:val="center"/>
              <w:rPr>
                <w:b w:val="0"/>
                <w:bCs/>
              </w:rPr>
              <w:spacing w:before="60" w:after="60" w:line="320" w:lineRule="exact"/>
            </w:pPr>
            <w:r>
              <w:rPr>
                <w:rFonts w:eastAsia="宋体" w:ascii="Times New Roman" w:hAnsi="Times New Roman" w:cs="宋体"/>
                <w:bCs/>
                <w:sz w:val="21"/>
                <w:szCs w:val="21"/>
              </w:rPr>
              <w:t>TI1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99CB836">
            <w:pPr>
              <w:ind/>
              <w:jc w:val="center"/>
              <w:rPr>
                <w:b w:val="0"/>
                <w:bCs/>
              </w:rPr>
              <w:spacing w:before="60" w:after="60" w:line="320" w:lineRule="exact"/>
            </w:pPr>
            <w:r>
              <w:rPr>
                <w:rFonts w:eastAsia="宋体" w:ascii="Times New Roman" w:hAnsi="Times New Roman" w:cs="宋体"/>
                <w:bCs/>
                <w:sz w:val="21"/>
                <w:szCs w:val="21"/>
              </w:rPr>
              <w:t>0.762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B9F02C8">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CD99B7B">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0EC5D8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624931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927BBF5">
            <w:pPr>
              <w:ind/>
              <w:jc w:val="center"/>
              <w:rPr>
                <w:b w:val="0"/>
                <w:bCs/>
              </w:rPr>
              <w:spacing w:before="60" w:after="60" w:line="320" w:lineRule="exact"/>
            </w:pPr>
          </w:p>
        </w:tc>
      </w:tr>
      <w:tr w14:paraId="63E4C89E">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4393AE0">
            <w:pPr>
              <w:ind/>
              <w:jc w:val="center"/>
              <w:rPr>
                <w:b w:val="0"/>
                <w:bCs/>
              </w:rPr>
              <w:spacing w:before="60" w:after="60" w:line="320" w:lineRule="exact"/>
            </w:pPr>
            <w:r>
              <w:rPr>
                <w:rFonts w:eastAsia="宋体" w:ascii="Times New Roman" w:hAnsi="Times New Roman" w:cs="宋体"/>
                <w:bCs/>
                <w:sz w:val="21"/>
                <w:szCs w:val="21"/>
              </w:rPr>
              <w:t>TI2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5DD100A">
            <w:pPr>
              <w:ind/>
              <w:jc w:val="center"/>
              <w:rPr>
                <w:b w:val="0"/>
                <w:bCs/>
              </w:rPr>
              <w:spacing w:before="60" w:after="60" w:line="320" w:lineRule="exact"/>
            </w:pPr>
            <w:r>
              <w:rPr>
                <w:rFonts w:eastAsia="宋体" w:ascii="Times New Roman" w:hAnsi="Times New Roman" w:cs="宋体"/>
                <w:bCs/>
                <w:sz w:val="21"/>
                <w:szCs w:val="21"/>
              </w:rPr>
              <w:t>0.889</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704ADD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365656F">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909E46C">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93EDF45">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2DD6797">
            <w:pPr>
              <w:ind/>
              <w:jc w:val="center"/>
              <w:rPr>
                <w:b w:val="0"/>
                <w:bCs/>
              </w:rPr>
              <w:spacing w:before="60" w:after="60" w:line="320" w:lineRule="exact"/>
            </w:pPr>
          </w:p>
        </w:tc>
      </w:tr>
      <w:tr w14:paraId="47C43166">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60E465C">
            <w:pPr>
              <w:ind/>
              <w:jc w:val="center"/>
              <w:rPr>
                <w:b w:val="0"/>
                <w:bCs/>
              </w:rPr>
              <w:spacing w:before="60" w:after="60" w:line="320" w:lineRule="exact"/>
            </w:pPr>
            <w:r>
              <w:rPr>
                <w:rFonts w:eastAsia="宋体" w:ascii="Times New Roman" w:hAnsi="Times New Roman" w:cs="宋体"/>
                <w:bCs/>
                <w:sz w:val="21"/>
                <w:szCs w:val="21"/>
              </w:rPr>
              <w:t>TI3</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9542455">
            <w:pPr>
              <w:ind/>
              <w:jc w:val="center"/>
              <w:rPr>
                <w:b w:val="0"/>
                <w:bCs/>
              </w:rPr>
              <w:spacing w:before="60" w:after="60" w:line="320" w:lineRule="exact"/>
            </w:pPr>
            <w:r>
              <w:rPr>
                <w:rFonts w:eastAsia="宋体" w:ascii="Times New Roman" w:hAnsi="Times New Roman" w:cs="宋体"/>
                <w:bCs/>
                <w:sz w:val="21"/>
                <w:szCs w:val="21"/>
              </w:rPr>
              <w:t>0.904</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EC09DB1">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85063B0">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7B606B6">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49A3A8A">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5AAF991">
            <w:pPr>
              <w:ind/>
              <w:jc w:val="center"/>
              <w:rPr>
                <w:b w:val="0"/>
                <w:bCs/>
              </w:rPr>
              <w:spacing w:before="60" w:after="60" w:line="320" w:lineRule="exact"/>
            </w:pPr>
          </w:p>
        </w:tc>
      </w:tr>
      <w:tr w14:paraId="3786E849">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58C099E">
            <w:pPr>
              <w:ind/>
              <w:jc w:val="center"/>
              <w:rPr>
                <w:b w:val="0"/>
                <w:bCs/>
              </w:rPr>
              <w:spacing w:before="60" w:after="60" w:line="320" w:lineRule="exact"/>
            </w:pPr>
            <w:r>
              <w:rPr>
                <w:rFonts w:eastAsia="宋体" w:ascii="Times New Roman" w:hAnsi="Times New Roman" w:cs="宋体"/>
                <w:bCs/>
                <w:sz w:val="21"/>
                <w:szCs w:val="21"/>
              </w:rPr>
              <w:t>DS1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50EAAF5">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17A7700">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AF9DB8F">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565024D">
            <w:pPr>
              <w:ind/>
              <w:jc w:val="center"/>
              <w:rPr>
                <w:b w:val="0"/>
                <w:bCs/>
              </w:rPr>
              <w:spacing w:before="60" w:after="60" w:line="320" w:lineRule="exact"/>
            </w:pPr>
            <w:r>
              <w:rPr>
                <w:rFonts w:eastAsia="宋体" w:ascii="Times New Roman" w:hAnsi="Times New Roman" w:cs="宋体"/>
                <w:bCs/>
                <w:sz w:val="21"/>
                <w:szCs w:val="21"/>
              </w:rPr>
              <w:t>0.891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5024A14">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6BBD524">
            <w:pPr>
              <w:ind/>
              <w:jc w:val="center"/>
              <w:rPr>
                <w:b w:val="0"/>
                <w:bCs/>
              </w:rPr>
              <w:spacing w:before="60" w:after="60" w:line="320" w:lineRule="exact"/>
            </w:pPr>
          </w:p>
        </w:tc>
      </w:tr>
      <w:tr w14:paraId="102D6742">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3107604">
            <w:pPr>
              <w:ind/>
              <w:jc w:val="center"/>
              <w:rPr>
                <w:b w:val="0"/>
                <w:bCs/>
              </w:rPr>
              <w:spacing w:before="60" w:after="60" w:line="320" w:lineRule="exact"/>
            </w:pPr>
            <w:r>
              <w:rPr>
                <w:rFonts w:eastAsia="宋体" w:ascii="Times New Roman" w:hAnsi="Times New Roman" w:cs="宋体"/>
                <w:bCs/>
                <w:sz w:val="21"/>
                <w:szCs w:val="21"/>
              </w:rPr>
              <w:t>DS2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F670FE3">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C147177">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6B8DFF">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E6F860E">
            <w:pPr>
              <w:ind/>
              <w:jc w:val="center"/>
              <w:rPr>
                <w:b w:val="0"/>
                <w:bCs/>
              </w:rPr>
              <w:spacing w:before="60" w:after="60" w:line="320" w:lineRule="exact"/>
            </w:pPr>
            <w:r>
              <w:rPr>
                <w:rFonts w:eastAsia="宋体" w:ascii="Times New Roman" w:hAnsi="Times New Roman" w:cs="宋体"/>
                <w:bCs/>
                <w:sz w:val="21"/>
                <w:szCs w:val="21"/>
              </w:rPr>
              <w:t>0.905</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3843D35">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74F563F">
            <w:pPr>
              <w:ind/>
              <w:jc w:val="center"/>
              <w:rPr>
                <w:b w:val="0"/>
                <w:bCs/>
              </w:rPr>
              <w:spacing w:before="60" w:after="60" w:line="320" w:lineRule="exact"/>
            </w:pPr>
          </w:p>
        </w:tc>
      </w:tr>
      <w:tr w14:paraId="231C04D6">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6219E8E">
            <w:pPr>
              <w:ind/>
              <w:jc w:val="center"/>
              <w:rPr>
                <w:b w:val="0"/>
                <w:bCs/>
              </w:rPr>
              <w:spacing w:before="60" w:after="60" w:line="320" w:lineRule="exact"/>
            </w:pPr>
            <w:r>
              <w:rPr>
                <w:rFonts w:eastAsia="宋体" w:ascii="Times New Roman" w:hAnsi="Times New Roman" w:cs="宋体"/>
                <w:bCs/>
                <w:sz w:val="21"/>
                <w:szCs w:val="21"/>
              </w:rPr>
              <w:t>DS3</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7D3A498">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36B61DB">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3955FD">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A62A935">
            <w:pPr>
              <w:ind/>
              <w:jc w:val="center"/>
              <w:rPr>
                <w:b w:val="0"/>
                <w:bCs/>
              </w:rPr>
              <w:spacing w:before="60" w:after="60" w:line="320" w:lineRule="exact"/>
            </w:pPr>
            <w:r>
              <w:rPr>
                <w:rFonts w:eastAsia="宋体" w:ascii="Times New Roman" w:hAnsi="Times New Roman" w:cs="宋体"/>
                <w:bCs/>
                <w:sz w:val="21"/>
                <w:szCs w:val="21"/>
              </w:rPr>
              <w:t>0.887</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2CA4EDE">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737A591">
            <w:pPr>
              <w:ind/>
              <w:jc w:val="center"/>
              <w:rPr>
                <w:b w:val="0"/>
                <w:bCs/>
              </w:rPr>
              <w:spacing w:before="60" w:after="60" w:line="320" w:lineRule="exact"/>
            </w:pPr>
          </w:p>
        </w:tc>
      </w:tr>
      <w:tr w14:paraId="2A9D477D">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62392AA">
            <w:pPr>
              <w:ind/>
              <w:jc w:val="center"/>
              <w:rPr>
                <w:b w:val="0"/>
                <w:bCs/>
              </w:rPr>
              <w:spacing w:before="60" w:after="60" w:line="320" w:lineRule="exact"/>
            </w:pPr>
            <w:r>
              <w:rPr>
                <w:rFonts w:eastAsia="宋体" w:ascii="Times New Roman" w:hAnsi="Times New Roman" w:cs="宋体"/>
                <w:bCs/>
                <w:sz w:val="21"/>
                <w:szCs w:val="21"/>
              </w:rPr>
              <w:t>EN1</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410D1B2">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95C842F">
            <w:pPr>
              <w:ind/>
              <w:jc w:val="center"/>
              <w:rPr>
                <w:b w:val="0"/>
                <w:bCs/>
              </w:rPr>
              <w:spacing w:before="60" w:after="60" w:line="320" w:lineRule="exact"/>
            </w:pPr>
            <w:r>
              <w:rPr>
                <w:rFonts w:eastAsia="宋体" w:ascii="Times New Roman" w:hAnsi="Times New Roman" w:cs="宋体"/>
                <w:bCs/>
                <w:sz w:val="21"/>
                <w:szCs w:val="21"/>
              </w:rPr>
              <w:t>0.860</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F0ED9BF">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A883FB2">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5D68209">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51C50AC">
            <w:pPr>
              <w:ind/>
              <w:jc w:val="center"/>
              <w:rPr>
                <w:b w:val="0"/>
                <w:bCs/>
              </w:rPr>
              <w:spacing w:before="60" w:after="60" w:line="320" w:lineRule="exact"/>
            </w:pPr>
          </w:p>
        </w:tc>
      </w:tr>
      <w:tr w14:paraId="49CFD2BD">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1D8DA1D">
            <w:pPr>
              <w:ind/>
              <w:jc w:val="center"/>
              <w:rPr>
                <w:b w:val="0"/>
                <w:bCs/>
              </w:rPr>
              <w:spacing w:before="60" w:after="60" w:line="320" w:lineRule="exact"/>
            </w:pPr>
            <w:r>
              <w:rPr>
                <w:rFonts w:eastAsia="宋体" w:ascii="Times New Roman" w:hAnsi="Times New Roman" w:cs="宋体"/>
                <w:bCs/>
                <w:sz w:val="21"/>
                <w:szCs w:val="21"/>
              </w:rPr>
              <w:t>EN2</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CF75E27">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42ED530">
            <w:pPr>
              <w:ind/>
              <w:jc w:val="center"/>
              <w:rPr>
                <w:b w:val="0"/>
                <w:bCs/>
              </w:rPr>
              <w:spacing w:before="60" w:after="60" w:line="320" w:lineRule="exact"/>
            </w:pPr>
            <w:r>
              <w:rPr>
                <w:rFonts w:eastAsia="宋体" w:ascii="Times New Roman" w:hAnsi="Times New Roman" w:cs="宋体"/>
                <w:bCs/>
                <w:sz w:val="21"/>
                <w:szCs w:val="21"/>
              </w:rPr>
              <w:t>0.870</w:t>
            </w: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CBBCD16">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23B0105">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EBF3186">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2311FEB">
            <w:pPr>
              <w:ind/>
              <w:jc w:val="center"/>
              <w:rPr>
                <w:b w:val="0"/>
                <w:bCs/>
              </w:rPr>
              <w:spacing w:before="60" w:after="60" w:line="320" w:lineRule="exact"/>
            </w:pPr>
          </w:p>
        </w:tc>
      </w:tr>
      <w:tr w14:paraId="518EE7E4">
        <w:trPr/>
        <w:tblPrEx>
          <w:tblCellMar>
            <w:top w:w="0" w:type="dxa"/>
            <w:left w:w="108" w:type="dxa"/>
            <w:bottom w:w="0" w:type="dxa"/>
            <w:right w:w="108" w:type="dxa"/>
          </w:tblCellMar>
        </w:tblPrEx>
        <w:tc>
          <w:tcPr>
            <w:tcW w:w="11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2466F3AF">
            <w:pPr>
              <w:ind/>
              <w:jc w:val="center"/>
              <w:rPr>
                <w:b w:val="0"/>
                <w:bCs/>
              </w:rPr>
              <w:spacing w:before="60" w:after="60" w:line="320" w:lineRule="exact"/>
            </w:pPr>
            <w:r>
              <w:rPr>
                <w:rFonts w:eastAsia="宋体" w:ascii="Times New Roman" w:hAnsi="Times New Roman" w:cs="宋体"/>
                <w:bCs/>
                <w:sz w:val="21"/>
                <w:szCs w:val="21"/>
              </w:rPr>
              <w:t>EN3</w:t>
            </w:r>
          </w:p>
        </w:tc>
        <w:tc>
          <w:tcPr>
            <w:tcW w:w="12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51554950">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43680B25">
            <w:pPr>
              <w:ind/>
              <w:jc w:val="center"/>
              <w:rPr>
                <w:b w:val="0"/>
                <w:bCs/>
              </w:rPr>
              <w:spacing w:before="60" w:after="60" w:line="320" w:lineRule="exact"/>
            </w:pPr>
            <w:r>
              <w:rPr>
                <w:rFonts w:eastAsia="宋体" w:ascii="Times New Roman" w:hAnsi="Times New Roman" w:cs="宋体"/>
                <w:bCs/>
                <w:sz w:val="21"/>
                <w:szCs w:val="21"/>
              </w:rPr>
              <w:t>0.884</w:t>
            </w:r>
          </w:p>
        </w:tc>
        <w:tc>
          <w:tcPr>
            <w:tcW w:w="12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2AA67D03">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B1FB817">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211A6B33">
            <w:pPr>
              <w:ind/>
              <w:jc w:val="center"/>
              <w:rPr>
                <w:b w:val="0"/>
                <w:bCs/>
              </w:rPr>
              <w:spacing w:before="60" w:after="60" w:line="320" w:lineRule="exact"/>
            </w:pPr>
          </w:p>
        </w:tc>
        <w:tc>
          <w:tcPr>
            <w:tcW w:w="1236" w:type="dxa"/>
            <w:shd w:val="clear" w:color="auto" w:fill="auto"/>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74DEF881">
            <w:pPr>
              <w:ind/>
              <w:jc w:val="center"/>
              <w:rPr>
                <w:b w:val="0"/>
                <w:bCs/>
              </w:rPr>
              <w:spacing w:before="60" w:after="60" w:line="320" w:lineRule="exact"/>
            </w:pPr>
          </w:p>
        </w:tc>
      </w:tr>
    </w:tbl>
    <w:p w14:paraId="08598A93">
      <w:pPr>
        <w:spacing w:before="0" w:after="0" w:line="400" w:lineRule="exact"/>
        <w:jc w:val="both"/>
        <w:ind w:firstLine="480"/>
      </w:pPr>
      <w:r>
        <w:rPr>
          <w:rFonts w:eastAsia="宋体" w:ascii="Times New Roman" w:hAnsi="Times New Roman" w:cs="宋体"/>
          <w:sz w:val="24"/>
          <w:szCs w:val="24"/>
        </w:rPr>
        <w:t>由表3-4可知，各题项与其理论维度的关联性良好，量表结构效度通过检验。综合信度与效度检验结果，本问卷满足正式调研要求，可据此开展正式大规模问卷调研。</w:t>
      </w:r>
    </w:p>
    <w:p w14:paraId="38F74572">
      <w:pPr>
        <w:pStyle w:val="2"/>
        <w:spacing w:before="0" w:after="0" w:line="400" w:lineRule="exact"/>
        <w:jc w:val="both"/>
      </w:pPr>
      <w:r>
        <w:rPr>
          <w:b/>
          <w:rFonts w:eastAsia="黑体" w:ascii="Times New Roman" w:hAnsi="Times New Roman" w:cs="黑体"/>
          <w:sz w:val="32"/>
          <w:szCs w:val="32"/>
        </w:rPr>
        <w:t>第四章 结构方程模型（SEM）分析</w:t>
      </w:r>
    </w:p>
    <w:p w14:paraId="3295BCB8">
      <w:pPr>
        <w:pStyle w:val="3"/>
        <w:rPr>
          <w:rFonts w:hint="default" w:eastAsia="黑体"/>
          <w:lang w:val="en-US" w:eastAsia="zh-CN"/>
        </w:rPr>
        <w:spacing w:before="240" w:after="240" w:line="400" w:lineRule="exact"/>
        <w:jc w:val="both"/>
      </w:pPr>
      <w:r>
        <w:rPr>
          <w:b/>
          <w:rFonts w:eastAsia="黑体" w:ascii="Times New Roman" w:hAnsi="Times New Roman" w:cs="黑体"/>
          <w:sz w:val="28"/>
          <w:szCs w:val="28"/>
        </w:rPr>
        <w:t xml:space="preserve">4.1 </w:t>
      </w:r>
      <w:r>
        <w:rPr>
          <w:b/>
          <w:rFonts w:hint="eastAsia" w:eastAsia="黑体" w:ascii="Times New Roman" w:hAnsi="Times New Roman" w:cs="黑体"/>
          <w:lang w:val="en-US" w:eastAsia="zh-CN"/>
          <w:sz w:val="28"/>
          <w:szCs w:val="28"/>
        </w:rPr>
        <w:t>描述性统计分析</w:t>
      </w:r>
    </w:p>
    <w:p w14:paraId="6455369A">
      <w:pPr>
        <w:spacing w:before="0" w:after="0" w:line="400" w:lineRule="exact"/>
        <w:jc w:val="both"/>
        <w:ind w:firstLine="480"/>
      </w:pPr>
      <w:r>
        <w:t>本次正式调研以烟台地区集群电商相关主体为调查对象，共回收问卷508份，有效问卷508份，有效率100%。从样本结构看，性别分布较均衡（男性48.6%，女性51.4%）；年龄以21—40岁为主（合计59.9%）；学历以初中及以下、高中/中专和大专为主体（合计80.5%），与农村电商从业群体特征基本一致。地区分布覆盖芝罘区、福山区、莱山区、牟平区及开发区/高新区等核心样本区，具有较好的区域代表性；月均收入以5001—12000元区间为主（62.6%），职业类型以个体电商农户/商户和电商企业经营者/管理者为主（合计68.3%），样本与研究对象匹配度较高。</w:t>
      </w:r>
    </w:p>
    <w:p w14:paraId="7C3156CD">
      <w:pPr>
        <w:spacing w:before="0" w:after="0" w:line="400" w:lineRule="exact"/>
        <w:jc w:val="both"/>
        <w:ind w:firstLine="480"/>
      </w:pPr>
      <w:r>
        <w:t>具体分布上，性别、年龄、学历、地区、收入与职业结构见表4-1，样本覆盖不同层次与不同类型主体，有助于提高后续模型估计的稳健性与外推解释力。</w:t>
      </w:r>
    </w:p>
    <w:p>
      <w:pPr>
        <w:spacing w:before="0" w:after="0" w:line="400" w:lineRule="exact"/>
        <w:jc w:val="both"/>
        <w:ind w:firstLine="480"/>
      </w:pPr>
      <w:r>
        <w:t>进一步从核心变量的总体分布看，GP、TS、IF、TI、DS、EN与CDL的均值分别为3.000、2.573、3.321、2.941、3.178、3.636和3.240，标准差介于0.908—0.949，表明各变量离散程度适中。资源禀赋（EN）均值最高（M=3.636，SD=0.908），人才支撑（TS）均值最低（M=2.573，SD=0.909），反映样本对“资源条件较好但人才仍偏紧”的现实认知。各变量偏度绝对值介于0.028—0.325、峰度绝对值介于0.364—0.712，满足正态性经验标准（|Skewness|&lt;2，|Kurtosis|&lt;7），可支持后续SEM估计（Hair et al.，2010）。</w:t>
      </w:r>
    </w:p>
    <w:p>
      <w:pPr>
        <w:spacing w:before="0" w:after="0" w:line="400" w:lineRule="exact"/>
        <w:jc w:val="both"/>
        <w:ind w:firstLine="480"/>
      </w:pPr>
      <w:r>
        <w:t>题项层面，21个题项（GP1—CDL3）均值介于2.555—3.652，标准差介于1.091—1.166，未出现明显极端集中或离散失衡。结合样本结构与变量分布结果，正式调研数据在代表性、稳定性与可分析性方面均满足后续信效度检验、结构方程建模与组态分析需要。</w:t>
      </w:r>
    </w:p>
    <w:p>
      <w:pPr>
        <w:spacing w:before="0" w:after="0" w:line="400" w:lineRule="exact"/>
        <w:jc w:val="both"/>
        <w:ind w:firstLine="480"/>
      </w:pPr>
      <w:r>
        <w:rPr>
          <w:rFonts w:eastAsia="宋体" w:ascii="Times New Roman" w:hAnsi="Times New Roman" w:cs="宋体"/>
          <w:sz w:val="24"/>
          <w:szCs w:val="24"/>
        </w:rPr>
        <w:t xml:space="preserve">为进一步检验共同方法偏差问题，本文采用Harman单因子检验法对正式调研数据进行检验。结果显示，未旋转时第一因子的方差解释量为30.6%，远低于40%的临界标准（Podsakoff et al.，2003），表明本研究中共同方法偏差问题不严重，数据具备较高质量，可用于后续SEM与fsQCA分析。</w:t>
      </w:r>
    </w:p>
    <w:p w14:paraId="34B54147">
      <w:pPr>
        <w:pStyle w:val="12"/>
        <w:spacing w:before="120" w:after="120" w:line="400" w:lineRule="exact"/>
        <w:jc w:val="center"/>
        <w:ind/>
      </w:pPr>
      <w:r>
        <w:rPr>
          <w:b/>
          <w:rFonts w:eastAsia="宋体" w:ascii="Times New Roman" w:hAnsi="Times New Roman" w:cs="宋体"/>
          <w:sz w:val="21"/>
          <w:szCs w:val="21"/>
        </w:rPr>
        <w:t>表4-1 正式调研样本基本信息（N=508）</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14:paraId="667711C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F673AE2">
            <w:pPr>
              <w:jc w:val="center"/>
              <w:spacing w:before="60" w:after="60" w:line="320" w:lineRule="exact"/>
              <w:ind/>
            </w:pPr>
            <w:r>
              <w:rPr>
                <w:rFonts w:eastAsia="宋体" w:ascii="Times New Roman" w:hAnsi="Times New Roman" w:cs="宋体"/>
                <w:b/>
                <w:sz w:val="21"/>
                <w:szCs w:val="21"/>
              </w:rPr>
              <w:t>特征</w:t>
            </w:r>
          </w:p>
        </w:tc>
        <w:tc>
          <w:tcPr>
            <w:tcW w:w="219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4F8E360">
            <w:pPr>
              <w:jc w:val="center"/>
              <w:spacing w:before="60" w:after="60" w:line="320" w:lineRule="exact"/>
              <w:ind/>
            </w:pPr>
            <w:r>
              <w:rPr>
                <w:rFonts w:eastAsia="宋体" w:ascii="Times New Roman" w:hAnsi="Times New Roman" w:cs="宋体"/>
                <w:b/>
                <w:sz w:val="21"/>
                <w:szCs w:val="21"/>
              </w:rPr>
              <w:t>类别</w:t>
            </w:r>
          </w:p>
        </w:tc>
        <w:tc>
          <w:tcPr>
            <w:tcW w:w="219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BC8273A">
            <w:pPr>
              <w:jc w:val="center"/>
              <w:spacing w:before="60" w:after="60" w:line="320" w:lineRule="exact"/>
              <w:ind/>
            </w:pPr>
            <w:r>
              <w:rPr>
                <w:rFonts w:eastAsia="宋体" w:ascii="Times New Roman" w:hAnsi="Times New Roman" w:cs="宋体"/>
                <w:b/>
                <w:sz w:val="21"/>
                <w:szCs w:val="21"/>
              </w:rPr>
              <w:t>频数</w:t>
            </w:r>
          </w:p>
        </w:tc>
        <w:tc>
          <w:tcPr>
            <w:tcW w:w="219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A94E92A">
            <w:pPr>
              <w:jc w:val="center"/>
              <w:spacing w:before="60" w:after="60" w:line="320" w:lineRule="exact"/>
              <w:ind/>
            </w:pPr>
            <w:r>
              <w:rPr>
                <w:rFonts w:eastAsia="宋体" w:ascii="Times New Roman" w:hAnsi="Times New Roman" w:cs="宋体"/>
                <w:b/>
                <w:sz w:val="21"/>
                <w:szCs w:val="21"/>
              </w:rPr>
              <w:t>占比（%）</w:t>
            </w:r>
          </w:p>
        </w:tc>
      </w:tr>
      <w:tr w14:paraId="2DF578D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FB69311">
            <w:pPr>
              <w:jc w:val="center"/>
              <w:spacing w:before="60" w:after="60" w:line="320" w:lineRule="exact"/>
              <w:ind/>
            </w:pPr>
            <w:r>
              <w:rPr>
                <w:rFonts w:eastAsia="宋体" w:ascii="Times New Roman" w:hAnsi="Times New Roman" w:cs="宋体"/>
                <w:sz w:val="21"/>
                <w:szCs w:val="21"/>
              </w:rPr>
              <w:t>性别</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786B26F">
            <w:pPr>
              <w:jc w:val="center"/>
              <w:spacing w:before="60" w:after="60" w:line="320" w:lineRule="exact"/>
              <w:ind/>
            </w:pPr>
            <w:r>
              <w:rPr>
                <w:rFonts w:eastAsia="宋体" w:ascii="Times New Roman" w:hAnsi="Times New Roman" w:cs="宋体"/>
                <w:sz w:val="21"/>
                <w:szCs w:val="21"/>
              </w:rPr>
              <w:t>男</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BAFCB18">
            <w:pPr>
              <w:jc w:val="center"/>
              <w:spacing w:before="60" w:after="60" w:line="320" w:lineRule="exact"/>
              <w:ind/>
            </w:pPr>
            <w:r>
              <w:rPr>
                <w:rFonts w:eastAsia="宋体" w:ascii="Times New Roman" w:hAnsi="Times New Roman" w:cs="宋体"/>
                <w:sz w:val="21"/>
                <w:szCs w:val="21"/>
              </w:rPr>
              <w:t>247</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82F2B4D">
            <w:pPr>
              <w:jc w:val="center"/>
              <w:spacing w:before="60" w:after="60" w:line="320" w:lineRule="exact"/>
              <w:ind/>
            </w:pPr>
            <w:r>
              <w:rPr>
                <w:rFonts w:eastAsia="宋体" w:ascii="Times New Roman" w:hAnsi="Times New Roman" w:cs="宋体"/>
                <w:sz w:val="21"/>
                <w:szCs w:val="21"/>
              </w:rPr>
              <w:t>48.6</w:t>
            </w:r>
          </w:p>
        </w:tc>
      </w:tr>
      <w:tr w14:paraId="67AFFC3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7B606414">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D274D7A">
            <w:pPr>
              <w:jc w:val="center"/>
              <w:spacing w:before="60" w:after="60" w:line="320" w:lineRule="exact"/>
              <w:ind/>
            </w:pPr>
            <w:r>
              <w:rPr>
                <w:rFonts w:eastAsia="宋体" w:ascii="Times New Roman" w:hAnsi="Times New Roman" w:cs="宋体"/>
                <w:sz w:val="21"/>
                <w:szCs w:val="21"/>
              </w:rPr>
              <w:t>女</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8AF8B51">
            <w:pPr>
              <w:jc w:val="center"/>
              <w:spacing w:before="60" w:after="60" w:line="320" w:lineRule="exact"/>
              <w:ind/>
            </w:pPr>
            <w:r>
              <w:rPr>
                <w:rFonts w:eastAsia="宋体" w:ascii="Times New Roman" w:hAnsi="Times New Roman" w:cs="宋体"/>
                <w:sz w:val="21"/>
                <w:szCs w:val="21"/>
              </w:rPr>
              <w:t>261</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AEE3B3C">
            <w:pPr>
              <w:jc w:val="center"/>
              <w:spacing w:before="60" w:after="60" w:line="320" w:lineRule="exact"/>
              <w:ind/>
            </w:pPr>
            <w:r>
              <w:rPr>
                <w:rFonts w:eastAsia="宋体" w:ascii="Times New Roman" w:hAnsi="Times New Roman" w:cs="宋体"/>
                <w:sz w:val="21"/>
                <w:szCs w:val="21"/>
              </w:rPr>
              <w:t>51.4</w:t>
            </w:r>
          </w:p>
        </w:tc>
      </w:tr>
      <w:tr w14:paraId="3A26353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7235608">
            <w:pPr>
              <w:jc w:val="center"/>
              <w:spacing w:before="60" w:after="60" w:line="320" w:lineRule="exact"/>
              <w:ind/>
            </w:pPr>
            <w:r>
              <w:rPr>
                <w:rFonts w:eastAsia="宋体" w:ascii="Times New Roman" w:hAnsi="Times New Roman" w:cs="宋体"/>
                <w:sz w:val="21"/>
                <w:szCs w:val="21"/>
              </w:rPr>
              <w:t>年龄</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622C2A9">
            <w:pPr>
              <w:jc w:val="center"/>
              <w:spacing w:before="60" w:after="60" w:line="320" w:lineRule="exact"/>
              <w:ind/>
            </w:pPr>
            <w:r>
              <w:rPr>
                <w:rFonts w:eastAsia="宋体" w:ascii="Times New Roman" w:hAnsi="Times New Roman" w:cs="宋体"/>
                <w:sz w:val="21"/>
                <w:szCs w:val="21"/>
              </w:rPr>
              <w:t>20岁及以下</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2C1CF79">
            <w:pPr>
              <w:jc w:val="center"/>
              <w:spacing w:before="60" w:after="60" w:line="320" w:lineRule="exact"/>
              <w:ind/>
            </w:pPr>
            <w:r>
              <w:rPr>
                <w:rFonts w:eastAsia="宋体" w:ascii="Times New Roman" w:hAnsi="Times New Roman" w:cs="宋体"/>
                <w:sz w:val="21"/>
                <w:szCs w:val="21"/>
              </w:rPr>
              <w:t>51</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EE9B6C4">
            <w:pPr>
              <w:jc w:val="center"/>
              <w:spacing w:before="60" w:after="60" w:line="320" w:lineRule="exact"/>
              <w:ind/>
            </w:pPr>
            <w:r>
              <w:rPr>
                <w:rFonts w:eastAsia="宋体" w:ascii="Times New Roman" w:hAnsi="Times New Roman" w:cs="宋体"/>
                <w:sz w:val="21"/>
                <w:szCs w:val="21"/>
              </w:rPr>
              <w:t>10.0</w:t>
            </w:r>
          </w:p>
        </w:tc>
      </w:tr>
      <w:tr w14:paraId="4CC3133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00F901C7">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3ED40FB">
            <w:pPr>
              <w:jc w:val="center"/>
              <w:spacing w:before="60" w:after="60" w:line="320" w:lineRule="exact"/>
              <w:ind/>
            </w:pPr>
            <w:r>
              <w:rPr>
                <w:rFonts w:eastAsia="宋体" w:ascii="Times New Roman" w:hAnsi="Times New Roman" w:cs="宋体"/>
                <w:sz w:val="21"/>
                <w:szCs w:val="21"/>
              </w:rPr>
              <w:t>21—30岁</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1F4351B">
            <w:pPr>
              <w:jc w:val="center"/>
              <w:spacing w:before="60" w:after="60" w:line="320" w:lineRule="exact"/>
              <w:ind/>
            </w:pPr>
            <w:r>
              <w:rPr>
                <w:rFonts w:eastAsia="宋体" w:ascii="Times New Roman" w:hAnsi="Times New Roman" w:cs="宋体"/>
                <w:sz w:val="21"/>
                <w:szCs w:val="21"/>
              </w:rPr>
              <w:t>165</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405DCC9">
            <w:pPr>
              <w:jc w:val="center"/>
              <w:spacing w:before="60" w:after="60" w:line="320" w:lineRule="exact"/>
              <w:ind/>
            </w:pPr>
            <w:r>
              <w:rPr>
                <w:rFonts w:eastAsia="宋体" w:ascii="Times New Roman" w:hAnsi="Times New Roman" w:cs="宋体"/>
                <w:sz w:val="21"/>
                <w:szCs w:val="21"/>
              </w:rPr>
              <w:t>32.5</w:t>
            </w:r>
          </w:p>
        </w:tc>
      </w:tr>
      <w:tr w14:paraId="4E5CBEE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4B6AC6FF">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8569884">
            <w:pPr>
              <w:jc w:val="center"/>
              <w:spacing w:before="60" w:after="60" w:line="320" w:lineRule="exact"/>
              <w:ind/>
            </w:pPr>
            <w:r>
              <w:rPr>
                <w:rFonts w:eastAsia="宋体" w:ascii="Times New Roman" w:hAnsi="Times New Roman" w:cs="宋体"/>
                <w:sz w:val="21"/>
                <w:szCs w:val="21"/>
              </w:rPr>
              <w:t>31—40岁</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FF6FF55">
            <w:pPr>
              <w:jc w:val="center"/>
              <w:spacing w:before="60" w:after="60" w:line="320" w:lineRule="exact"/>
              <w:ind/>
            </w:pPr>
            <w:r>
              <w:rPr>
                <w:rFonts w:eastAsia="宋体" w:ascii="Times New Roman" w:hAnsi="Times New Roman" w:cs="宋体"/>
                <w:sz w:val="21"/>
                <w:szCs w:val="21"/>
              </w:rPr>
              <w:t>139</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7789C37">
            <w:pPr>
              <w:jc w:val="center"/>
              <w:spacing w:before="60" w:after="60" w:line="320" w:lineRule="exact"/>
              <w:ind/>
            </w:pPr>
            <w:r>
              <w:rPr>
                <w:rFonts w:eastAsia="宋体" w:ascii="Times New Roman" w:hAnsi="Times New Roman" w:cs="宋体"/>
                <w:sz w:val="21"/>
                <w:szCs w:val="21"/>
              </w:rPr>
              <w:t>27.4</w:t>
            </w:r>
          </w:p>
        </w:tc>
      </w:tr>
      <w:tr w14:paraId="565C637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234295C3">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F036A98">
            <w:pPr>
              <w:jc w:val="center"/>
              <w:spacing w:before="60" w:after="60" w:line="320" w:lineRule="exact"/>
              <w:ind/>
            </w:pPr>
            <w:r>
              <w:rPr>
                <w:rFonts w:eastAsia="宋体" w:ascii="Times New Roman" w:hAnsi="Times New Roman" w:cs="宋体"/>
                <w:sz w:val="21"/>
                <w:szCs w:val="21"/>
              </w:rPr>
              <w:t>41—50岁</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0F45913">
            <w:pPr>
              <w:jc w:val="center"/>
              <w:spacing w:before="60" w:after="60" w:line="320" w:lineRule="exact"/>
              <w:ind/>
            </w:pPr>
            <w:r>
              <w:rPr>
                <w:rFonts w:eastAsia="宋体" w:ascii="Times New Roman" w:hAnsi="Times New Roman" w:cs="宋体"/>
                <w:sz w:val="21"/>
                <w:szCs w:val="21"/>
              </w:rPr>
              <w:t>94</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2CD096D">
            <w:pPr>
              <w:jc w:val="center"/>
              <w:spacing w:before="60" w:after="60" w:line="320" w:lineRule="exact"/>
              <w:ind/>
            </w:pPr>
            <w:r>
              <w:rPr>
                <w:rFonts w:eastAsia="宋体" w:ascii="Times New Roman" w:hAnsi="Times New Roman" w:cs="宋体"/>
                <w:sz w:val="21"/>
                <w:szCs w:val="21"/>
              </w:rPr>
              <w:t>18.5</w:t>
            </w:r>
          </w:p>
        </w:tc>
      </w:tr>
      <w:tr w14:paraId="0CC1700B">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302055D6">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CFD5178">
            <w:pPr>
              <w:jc w:val="center"/>
              <w:spacing w:before="60" w:after="60" w:line="320" w:lineRule="exact"/>
              <w:ind/>
            </w:pPr>
            <w:r>
              <w:rPr>
                <w:rFonts w:eastAsia="宋体" w:ascii="Times New Roman" w:hAnsi="Times New Roman" w:cs="宋体"/>
                <w:sz w:val="21"/>
                <w:szCs w:val="21"/>
              </w:rPr>
              <w:t>51岁及以上</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68D99CC">
            <w:pPr>
              <w:jc w:val="center"/>
              <w:spacing w:before="60" w:after="60" w:line="320" w:lineRule="exact"/>
              <w:ind/>
            </w:pPr>
            <w:r>
              <w:rPr>
                <w:rFonts w:eastAsia="宋体" w:ascii="Times New Roman" w:hAnsi="Times New Roman" w:cs="宋体"/>
                <w:sz w:val="21"/>
                <w:szCs w:val="21"/>
              </w:rPr>
              <w:t>59</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11BD3EB">
            <w:pPr>
              <w:jc w:val="center"/>
              <w:spacing w:before="60" w:after="60" w:line="320" w:lineRule="exact"/>
              <w:ind/>
            </w:pPr>
            <w:r>
              <w:rPr>
                <w:rFonts w:eastAsia="宋体" w:ascii="Times New Roman" w:hAnsi="Times New Roman" w:cs="宋体"/>
                <w:sz w:val="21"/>
                <w:szCs w:val="21"/>
              </w:rPr>
              <w:t>11.6</w:t>
            </w:r>
          </w:p>
        </w:tc>
      </w:tr>
      <w:tr w14:paraId="23E2E94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A5ED153">
            <w:pPr>
              <w:jc w:val="center"/>
              <w:spacing w:before="60" w:after="60" w:line="320" w:lineRule="exact"/>
              <w:ind/>
            </w:pPr>
            <w:r>
              <w:rPr>
                <w:rFonts w:eastAsia="宋体" w:ascii="Times New Roman" w:hAnsi="Times New Roman" w:cs="宋体"/>
                <w:sz w:val="21"/>
                <w:szCs w:val="21"/>
              </w:rPr>
              <w:t>学历</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F8B1AA4">
            <w:pPr>
              <w:jc w:val="center"/>
              <w:spacing w:before="60" w:after="60" w:line="320" w:lineRule="exact"/>
              <w:ind/>
            </w:pPr>
            <w:r>
              <w:rPr>
                <w:rFonts w:eastAsia="宋体" w:ascii="Times New Roman" w:hAnsi="Times New Roman" w:cs="宋体"/>
                <w:sz w:val="21"/>
                <w:szCs w:val="21"/>
              </w:rPr>
              <w:t>初中及以下</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C4ADDE2">
            <w:pPr>
              <w:jc w:val="center"/>
              <w:spacing w:before="60" w:after="60" w:line="320" w:lineRule="exact"/>
              <w:ind/>
            </w:pPr>
            <w:r>
              <w:rPr>
                <w:rFonts w:eastAsia="宋体" w:ascii="Times New Roman" w:hAnsi="Times New Roman" w:cs="宋体"/>
                <w:sz w:val="21"/>
                <w:szCs w:val="21"/>
              </w:rPr>
              <w:t>251</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70FBC55">
            <w:pPr>
              <w:jc w:val="center"/>
              <w:spacing w:before="60" w:after="60" w:line="320" w:lineRule="exact"/>
              <w:ind/>
            </w:pPr>
            <w:r>
              <w:rPr>
                <w:rFonts w:eastAsia="宋体" w:ascii="Times New Roman" w:hAnsi="Times New Roman" w:cs="宋体"/>
                <w:sz w:val="21"/>
                <w:szCs w:val="21"/>
              </w:rPr>
              <w:t>49.4</w:t>
            </w:r>
          </w:p>
        </w:tc>
      </w:tr>
      <w:tr w14:paraId="74FF14F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0BF397BC">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31B8A72">
            <w:pPr>
              <w:jc w:val="center"/>
              <w:spacing w:before="60" w:after="60" w:line="320" w:lineRule="exact"/>
              <w:ind/>
            </w:pPr>
            <w:r>
              <w:rPr>
                <w:rFonts w:eastAsia="宋体" w:ascii="Times New Roman" w:hAnsi="Times New Roman" w:cs="宋体"/>
                <w:sz w:val="21"/>
                <w:szCs w:val="21"/>
              </w:rPr>
              <w:t>高中/中专</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2F1BD54">
            <w:pPr>
              <w:jc w:val="center"/>
              <w:spacing w:before="60" w:after="60" w:line="320" w:lineRule="exact"/>
              <w:ind/>
            </w:pPr>
            <w:r>
              <w:rPr>
                <w:rFonts w:eastAsia="宋体" w:ascii="Times New Roman" w:hAnsi="Times New Roman" w:cs="宋体"/>
                <w:sz w:val="21"/>
                <w:szCs w:val="21"/>
              </w:rPr>
              <w:t>52</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65821AA">
            <w:pPr>
              <w:jc w:val="center"/>
              <w:spacing w:before="60" w:after="60" w:line="320" w:lineRule="exact"/>
              <w:ind/>
            </w:pPr>
            <w:r>
              <w:rPr>
                <w:rFonts w:eastAsia="宋体" w:ascii="Times New Roman" w:hAnsi="Times New Roman" w:cs="宋体"/>
                <w:sz w:val="21"/>
                <w:szCs w:val="21"/>
              </w:rPr>
              <w:t>10.2</w:t>
            </w:r>
          </w:p>
        </w:tc>
      </w:tr>
      <w:tr w14:paraId="1EC4A2C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7C7C3A27">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2DE424E">
            <w:pPr>
              <w:jc w:val="center"/>
              <w:spacing w:before="60" w:after="60" w:line="320" w:lineRule="exact"/>
              <w:ind/>
            </w:pPr>
            <w:r>
              <w:rPr>
                <w:rFonts w:eastAsia="宋体" w:ascii="Times New Roman" w:hAnsi="Times New Roman" w:cs="宋体"/>
                <w:sz w:val="21"/>
                <w:szCs w:val="21"/>
              </w:rPr>
              <w:t>大专</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DD5BB1A">
            <w:pPr>
              <w:jc w:val="center"/>
              <w:spacing w:before="60" w:after="60" w:line="320" w:lineRule="exact"/>
              <w:ind/>
            </w:pPr>
            <w:r>
              <w:rPr>
                <w:rFonts w:eastAsia="宋体" w:ascii="Times New Roman" w:hAnsi="Times New Roman" w:cs="宋体"/>
                <w:sz w:val="21"/>
                <w:szCs w:val="21"/>
              </w:rPr>
              <w:t>106</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87AD0AB">
            <w:pPr>
              <w:jc w:val="center"/>
              <w:spacing w:before="60" w:after="60" w:line="320" w:lineRule="exact"/>
              <w:ind/>
            </w:pPr>
            <w:r>
              <w:rPr>
                <w:rFonts w:eastAsia="宋体" w:ascii="Times New Roman" w:hAnsi="Times New Roman" w:cs="宋体"/>
                <w:sz w:val="21"/>
                <w:szCs w:val="21"/>
              </w:rPr>
              <w:t>20.9</w:t>
            </w:r>
          </w:p>
        </w:tc>
      </w:tr>
      <w:tr w14:paraId="4133A9C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44635D21">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E3D42A6">
            <w:pPr>
              <w:jc w:val="center"/>
              <w:spacing w:before="60" w:after="60" w:line="320" w:lineRule="exact"/>
              <w:ind/>
            </w:pPr>
            <w:r>
              <w:rPr>
                <w:rFonts w:eastAsia="宋体" w:ascii="Times New Roman" w:hAnsi="Times New Roman" w:cs="宋体"/>
                <w:sz w:val="21"/>
                <w:szCs w:val="21"/>
              </w:rPr>
              <w:t>本科</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02790C1">
            <w:pPr>
              <w:jc w:val="center"/>
              <w:spacing w:before="60" w:after="60" w:line="320" w:lineRule="exact"/>
              <w:ind/>
            </w:pPr>
            <w:r>
              <w:rPr>
                <w:rFonts w:eastAsia="宋体" w:ascii="Times New Roman" w:hAnsi="Times New Roman" w:cs="宋体"/>
                <w:sz w:val="21"/>
                <w:szCs w:val="21"/>
              </w:rPr>
              <w:t>80</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033B523">
            <w:pPr>
              <w:jc w:val="center"/>
              <w:spacing w:before="60" w:after="60" w:line="320" w:lineRule="exact"/>
              <w:ind/>
            </w:pPr>
            <w:r>
              <w:rPr>
                <w:rFonts w:eastAsia="宋体" w:ascii="Times New Roman" w:hAnsi="Times New Roman" w:cs="宋体"/>
                <w:sz w:val="21"/>
                <w:szCs w:val="21"/>
              </w:rPr>
              <w:t>15.7</w:t>
            </w:r>
          </w:p>
        </w:tc>
      </w:tr>
      <w:tr w14:paraId="65A1E20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4CF20A09">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AF48AE3">
            <w:pPr>
              <w:jc w:val="center"/>
              <w:spacing w:before="60" w:after="60" w:line="320" w:lineRule="exact"/>
              <w:ind/>
            </w:pPr>
            <w:r>
              <w:rPr>
                <w:rFonts w:eastAsia="宋体" w:ascii="Times New Roman" w:hAnsi="Times New Roman" w:cs="宋体"/>
                <w:sz w:val="21"/>
                <w:szCs w:val="21"/>
              </w:rPr>
              <w:t>硕士及以上</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6C53F8">
            <w:pPr>
              <w:jc w:val="center"/>
              <w:spacing w:before="60" w:after="60" w:line="320" w:lineRule="exact"/>
              <w:ind/>
            </w:pPr>
            <w:r>
              <w:rPr>
                <w:rFonts w:eastAsia="宋体" w:ascii="Times New Roman" w:hAnsi="Times New Roman" w:cs="宋体"/>
                <w:sz w:val="21"/>
                <w:szCs w:val="21"/>
              </w:rPr>
              <w:t>19</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EC2A349">
            <w:pPr>
              <w:jc w:val="center"/>
              <w:spacing w:before="60" w:after="60" w:line="320" w:lineRule="exact"/>
              <w:ind/>
            </w:pPr>
            <w:r>
              <w:rPr>
                <w:rFonts w:eastAsia="宋体" w:ascii="Times New Roman" w:hAnsi="Times New Roman" w:cs="宋体"/>
                <w:sz w:val="21"/>
                <w:szCs w:val="21"/>
              </w:rPr>
              <w:t>3.7</w:t>
            </w:r>
          </w:p>
        </w:tc>
      </w:tr>
      <w:tr w14:paraId="58BB3D1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40971EE">
            <w:pPr>
              <w:jc w:val="center"/>
              <w:spacing w:before="60" w:after="60" w:line="320" w:lineRule="exact"/>
              <w:ind/>
            </w:pPr>
            <w:r>
              <w:rPr>
                <w:rFonts w:eastAsia="宋体" w:ascii="Times New Roman" w:hAnsi="Times New Roman" w:cs="宋体"/>
                <w:sz w:val="21"/>
                <w:szCs w:val="21"/>
              </w:rPr>
              <w:t>常住居住地</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6E8F870">
            <w:pPr>
              <w:jc w:val="center"/>
              <w:spacing w:before="60" w:after="60" w:line="320" w:lineRule="exact"/>
              <w:ind/>
            </w:pPr>
            <w:r>
              <w:rPr>
                <w:rFonts w:eastAsia="宋体" w:ascii="Times New Roman" w:hAnsi="Times New Roman" w:cs="宋体"/>
                <w:sz w:val="21"/>
                <w:szCs w:val="21"/>
              </w:rPr>
              <w:t>芝罘区</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6A0DDFA">
            <w:pPr>
              <w:jc w:val="center"/>
              <w:spacing w:before="60" w:after="60" w:line="320" w:lineRule="exact"/>
              <w:ind/>
            </w:pPr>
            <w:r>
              <w:rPr>
                <w:rFonts w:eastAsia="宋体" w:ascii="Times New Roman" w:hAnsi="Times New Roman" w:cs="宋体"/>
                <w:sz w:val="21"/>
                <w:szCs w:val="21"/>
              </w:rPr>
              <w:t>162</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41BB7AC">
            <w:pPr>
              <w:jc w:val="center"/>
              <w:spacing w:before="60" w:after="60" w:line="320" w:lineRule="exact"/>
              <w:ind/>
            </w:pPr>
            <w:r>
              <w:rPr>
                <w:rFonts w:eastAsia="宋体" w:ascii="Times New Roman" w:hAnsi="Times New Roman" w:cs="宋体"/>
                <w:sz w:val="21"/>
                <w:szCs w:val="21"/>
              </w:rPr>
              <w:t>31.9</w:t>
            </w:r>
          </w:p>
        </w:tc>
      </w:tr>
      <w:tr w14:paraId="0D99825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6B0653DF">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D16CE2B">
            <w:pPr>
              <w:jc w:val="center"/>
              <w:spacing w:before="60" w:after="60" w:line="320" w:lineRule="exact"/>
              <w:ind/>
            </w:pPr>
            <w:r>
              <w:rPr>
                <w:rFonts w:eastAsia="宋体" w:ascii="Times New Roman" w:hAnsi="Times New Roman" w:cs="宋体"/>
                <w:sz w:val="21"/>
                <w:szCs w:val="21"/>
              </w:rPr>
              <w:t>福山区</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C542CDA">
            <w:pPr>
              <w:jc w:val="center"/>
              <w:spacing w:before="60" w:after="60" w:line="320" w:lineRule="exact"/>
              <w:ind/>
            </w:pPr>
            <w:r>
              <w:rPr>
                <w:rFonts w:eastAsia="宋体" w:ascii="Times New Roman" w:hAnsi="Times New Roman" w:cs="宋体"/>
                <w:sz w:val="21"/>
                <w:szCs w:val="21"/>
              </w:rPr>
              <w:t>50</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81F2D82">
            <w:pPr>
              <w:jc w:val="center"/>
              <w:spacing w:before="60" w:after="60" w:line="320" w:lineRule="exact"/>
              <w:ind/>
            </w:pPr>
            <w:r>
              <w:rPr>
                <w:rFonts w:eastAsia="宋体" w:ascii="Times New Roman" w:hAnsi="Times New Roman" w:cs="宋体"/>
                <w:sz w:val="21"/>
                <w:szCs w:val="21"/>
              </w:rPr>
              <w:t>9.8</w:t>
            </w:r>
          </w:p>
        </w:tc>
      </w:tr>
      <w:tr w14:paraId="2DDEC9E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2B00264A">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B736DDD">
            <w:pPr>
              <w:jc w:val="center"/>
              <w:spacing w:before="60" w:after="60" w:line="320" w:lineRule="exact"/>
              <w:ind/>
            </w:pPr>
            <w:r>
              <w:rPr>
                <w:rFonts w:eastAsia="宋体" w:ascii="Times New Roman" w:hAnsi="Times New Roman" w:cs="宋体"/>
                <w:sz w:val="21"/>
                <w:szCs w:val="21"/>
              </w:rPr>
              <w:t>莱山区</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F24A268">
            <w:pPr>
              <w:jc w:val="center"/>
              <w:spacing w:before="60" w:after="60" w:line="320" w:lineRule="exact"/>
              <w:ind/>
            </w:pPr>
            <w:r>
              <w:rPr>
                <w:rFonts w:eastAsia="宋体" w:ascii="Times New Roman" w:hAnsi="Times New Roman" w:cs="宋体"/>
                <w:sz w:val="21"/>
                <w:szCs w:val="21"/>
              </w:rPr>
              <w:t>96</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1C5652A">
            <w:pPr>
              <w:jc w:val="center"/>
              <w:spacing w:before="60" w:after="60" w:line="320" w:lineRule="exact"/>
              <w:ind/>
            </w:pPr>
            <w:r>
              <w:rPr>
                <w:rFonts w:eastAsia="宋体" w:ascii="Times New Roman" w:hAnsi="Times New Roman" w:cs="宋体"/>
                <w:sz w:val="21"/>
                <w:szCs w:val="21"/>
              </w:rPr>
              <w:t>18.9</w:t>
            </w:r>
          </w:p>
        </w:tc>
      </w:tr>
      <w:tr w14:paraId="5F39A4F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50761E47">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1D49B6C">
            <w:pPr>
              <w:jc w:val="center"/>
              <w:spacing w:before="60" w:after="60" w:line="320" w:lineRule="exact"/>
              <w:ind/>
            </w:pPr>
            <w:r>
              <w:rPr>
                <w:rFonts w:eastAsia="宋体" w:ascii="Times New Roman" w:hAnsi="Times New Roman" w:cs="宋体"/>
                <w:sz w:val="21"/>
                <w:szCs w:val="21"/>
              </w:rPr>
              <w:t>牟平区</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1328F02">
            <w:pPr>
              <w:jc w:val="center"/>
              <w:spacing w:before="60" w:after="60" w:line="320" w:lineRule="exact"/>
              <w:ind/>
            </w:pPr>
            <w:r>
              <w:rPr>
                <w:rFonts w:eastAsia="宋体" w:ascii="Times New Roman" w:hAnsi="Times New Roman" w:cs="宋体"/>
                <w:sz w:val="21"/>
                <w:szCs w:val="21"/>
              </w:rPr>
              <w:t>112</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75BE10B">
            <w:pPr>
              <w:jc w:val="center"/>
              <w:spacing w:before="60" w:after="60" w:line="320" w:lineRule="exact"/>
              <w:ind/>
            </w:pPr>
            <w:r>
              <w:rPr>
                <w:rFonts w:eastAsia="宋体" w:ascii="Times New Roman" w:hAnsi="Times New Roman" w:cs="宋体"/>
                <w:sz w:val="21"/>
                <w:szCs w:val="21"/>
              </w:rPr>
              <w:t>22.0</w:t>
            </w:r>
          </w:p>
        </w:tc>
      </w:tr>
      <w:tr w14:paraId="07E010B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7A5B9B9E">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9EB77BB">
            <w:pPr>
              <w:jc w:val="center"/>
              <w:spacing w:before="60" w:after="60" w:line="320" w:lineRule="exact"/>
              <w:ind/>
            </w:pPr>
            <w:r>
              <w:rPr>
                <w:rFonts w:eastAsia="宋体" w:ascii="Times New Roman" w:hAnsi="Times New Roman" w:cs="宋体"/>
                <w:sz w:val="21"/>
                <w:szCs w:val="21"/>
              </w:rPr>
              <w:t>开发区/高新区等</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21466F5">
            <w:pPr>
              <w:jc w:val="center"/>
              <w:spacing w:before="60" w:after="60" w:line="320" w:lineRule="exact"/>
              <w:ind/>
            </w:pPr>
            <w:r>
              <w:rPr>
                <w:rFonts w:eastAsia="宋体" w:ascii="Times New Roman" w:hAnsi="Times New Roman" w:cs="宋体"/>
                <w:sz w:val="21"/>
                <w:szCs w:val="21"/>
              </w:rPr>
              <w:t>88</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F774A80">
            <w:pPr>
              <w:jc w:val="center"/>
              <w:spacing w:before="60" w:after="60" w:line="320" w:lineRule="exact"/>
              <w:ind/>
            </w:pPr>
            <w:r>
              <w:rPr>
                <w:rFonts w:eastAsia="宋体" w:ascii="Times New Roman" w:hAnsi="Times New Roman" w:cs="宋体"/>
                <w:sz w:val="21"/>
                <w:szCs w:val="21"/>
              </w:rPr>
              <w:t>17.3</w:t>
            </w:r>
          </w:p>
        </w:tc>
      </w:tr>
      <w:tr w14:paraId="24104FD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E553404">
            <w:pPr>
              <w:jc w:val="center"/>
              <w:spacing w:before="60" w:after="60" w:line="320" w:lineRule="exact"/>
              <w:ind/>
            </w:pPr>
            <w:r>
              <w:rPr>
                <w:rFonts w:eastAsia="宋体" w:ascii="Times New Roman" w:hAnsi="Times New Roman" w:cs="宋体"/>
                <w:sz w:val="21"/>
                <w:szCs w:val="21"/>
              </w:rPr>
              <w:t>月均收入</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049757D">
            <w:pPr>
              <w:jc w:val="center"/>
              <w:spacing w:before="60" w:after="60" w:line="320" w:lineRule="exact"/>
              <w:ind/>
            </w:pPr>
            <w:r>
              <w:rPr>
                <w:rFonts w:eastAsia="宋体" w:ascii="Times New Roman" w:hAnsi="Times New Roman" w:cs="宋体"/>
                <w:sz w:val="21"/>
                <w:szCs w:val="21"/>
              </w:rPr>
              <w:t>3000元及以下</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692C72F">
            <w:pPr>
              <w:jc w:val="center"/>
              <w:spacing w:before="60" w:after="60" w:line="320" w:lineRule="exact"/>
              <w:ind/>
            </w:pPr>
            <w:r>
              <w:rPr>
                <w:rFonts w:eastAsia="宋体" w:ascii="Times New Roman" w:hAnsi="Times New Roman" w:cs="宋体"/>
                <w:sz w:val="21"/>
                <w:szCs w:val="21"/>
              </w:rPr>
              <w:t>59</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C81C2EB">
            <w:pPr>
              <w:jc w:val="center"/>
              <w:spacing w:before="60" w:after="60" w:line="320" w:lineRule="exact"/>
              <w:ind/>
            </w:pPr>
            <w:r>
              <w:rPr>
                <w:rFonts w:eastAsia="宋体" w:ascii="Times New Roman" w:hAnsi="Times New Roman" w:cs="宋体"/>
                <w:sz w:val="21"/>
                <w:szCs w:val="21"/>
              </w:rPr>
              <w:t>11.6</w:t>
            </w:r>
          </w:p>
        </w:tc>
      </w:tr>
      <w:tr w14:paraId="633B21D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65A948EC">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75043D5">
            <w:pPr>
              <w:jc w:val="center"/>
              <w:spacing w:before="60" w:after="60" w:line="320" w:lineRule="exact"/>
              <w:ind/>
            </w:pPr>
            <w:r>
              <w:rPr>
                <w:rFonts w:eastAsia="宋体" w:ascii="Times New Roman" w:hAnsi="Times New Roman" w:cs="宋体"/>
                <w:sz w:val="21"/>
                <w:szCs w:val="21"/>
              </w:rPr>
              <w:t>3001—5000元</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E82D907">
            <w:pPr>
              <w:jc w:val="center"/>
              <w:spacing w:before="60" w:after="60" w:line="320" w:lineRule="exact"/>
              <w:ind/>
            </w:pPr>
            <w:r>
              <w:rPr>
                <w:rFonts w:eastAsia="宋体" w:ascii="Times New Roman" w:hAnsi="Times New Roman" w:cs="宋体"/>
                <w:sz w:val="21"/>
                <w:szCs w:val="21"/>
              </w:rPr>
              <w:t>80</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60A156F">
            <w:pPr>
              <w:jc w:val="center"/>
              <w:spacing w:before="60" w:after="60" w:line="320" w:lineRule="exact"/>
              <w:ind/>
            </w:pPr>
            <w:r>
              <w:rPr>
                <w:rFonts w:eastAsia="宋体" w:ascii="Times New Roman" w:hAnsi="Times New Roman" w:cs="宋体"/>
                <w:sz w:val="21"/>
                <w:szCs w:val="21"/>
              </w:rPr>
              <w:t>15.7</w:t>
            </w:r>
          </w:p>
        </w:tc>
      </w:tr>
      <w:tr w14:paraId="331EAEE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27E0423B">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8A7A5F5">
            <w:pPr>
              <w:jc w:val="center"/>
              <w:spacing w:before="60" w:after="60" w:line="320" w:lineRule="exact"/>
              <w:ind/>
            </w:pPr>
            <w:r>
              <w:rPr>
                <w:rFonts w:eastAsia="宋体" w:ascii="Times New Roman" w:hAnsi="Times New Roman" w:cs="宋体"/>
                <w:sz w:val="21"/>
                <w:szCs w:val="21"/>
              </w:rPr>
              <w:t>5001—8000元</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51BCB8E">
            <w:pPr>
              <w:jc w:val="center"/>
              <w:spacing w:before="60" w:after="60" w:line="320" w:lineRule="exact"/>
              <w:ind/>
            </w:pPr>
            <w:r>
              <w:rPr>
                <w:rFonts w:eastAsia="宋体" w:ascii="Times New Roman" w:hAnsi="Times New Roman" w:cs="宋体"/>
                <w:sz w:val="21"/>
                <w:szCs w:val="21"/>
              </w:rPr>
              <w:t>166</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7147C64">
            <w:pPr>
              <w:jc w:val="center"/>
              <w:spacing w:before="60" w:after="60" w:line="320" w:lineRule="exact"/>
              <w:ind/>
            </w:pPr>
            <w:r>
              <w:rPr>
                <w:rFonts w:eastAsia="宋体" w:ascii="Times New Roman" w:hAnsi="Times New Roman" w:cs="宋体"/>
                <w:sz w:val="21"/>
                <w:szCs w:val="21"/>
              </w:rPr>
              <w:t>32.7</w:t>
            </w:r>
          </w:p>
        </w:tc>
      </w:tr>
      <w:tr w14:paraId="747E99E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0299AAB5">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A0463A5">
            <w:pPr>
              <w:jc w:val="center"/>
              <w:spacing w:before="60" w:after="60" w:line="320" w:lineRule="exact"/>
              <w:ind/>
            </w:pPr>
            <w:r>
              <w:rPr>
                <w:rFonts w:eastAsia="宋体" w:ascii="Times New Roman" w:hAnsi="Times New Roman" w:cs="宋体"/>
                <w:sz w:val="21"/>
                <w:szCs w:val="21"/>
              </w:rPr>
              <w:t>8001—12000元</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542FA5D">
            <w:pPr>
              <w:jc w:val="center"/>
              <w:spacing w:before="60" w:after="60" w:line="320" w:lineRule="exact"/>
              <w:ind/>
            </w:pPr>
            <w:r>
              <w:rPr>
                <w:rFonts w:eastAsia="宋体" w:ascii="Times New Roman" w:hAnsi="Times New Roman" w:cs="宋体"/>
                <w:sz w:val="21"/>
                <w:szCs w:val="21"/>
              </w:rPr>
              <w:t>152</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B6066ED">
            <w:pPr>
              <w:jc w:val="center"/>
              <w:spacing w:before="60" w:after="60" w:line="320" w:lineRule="exact"/>
              <w:ind/>
            </w:pPr>
            <w:r>
              <w:rPr>
                <w:rFonts w:eastAsia="宋体" w:ascii="Times New Roman" w:hAnsi="Times New Roman" w:cs="宋体"/>
                <w:sz w:val="21"/>
                <w:szCs w:val="21"/>
              </w:rPr>
              <w:t>29.9</w:t>
            </w:r>
          </w:p>
        </w:tc>
      </w:tr>
      <w:tr w14:paraId="437E90B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2194C533">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A57D9D0">
            <w:pPr>
              <w:jc w:val="center"/>
              <w:spacing w:before="60" w:after="60" w:line="320" w:lineRule="exact"/>
              <w:ind/>
            </w:pPr>
            <w:r>
              <w:rPr>
                <w:rFonts w:eastAsia="宋体" w:ascii="Times New Roman" w:hAnsi="Times New Roman" w:cs="宋体"/>
                <w:sz w:val="21"/>
                <w:szCs w:val="21"/>
              </w:rPr>
              <w:t>12000元以上</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0B203E8">
            <w:pPr>
              <w:jc w:val="center"/>
              <w:spacing w:before="60" w:after="60" w:line="320" w:lineRule="exact"/>
              <w:ind/>
            </w:pPr>
            <w:r>
              <w:rPr>
                <w:rFonts w:eastAsia="宋体" w:ascii="Times New Roman" w:hAnsi="Times New Roman" w:cs="宋体"/>
                <w:sz w:val="21"/>
                <w:szCs w:val="21"/>
              </w:rPr>
              <w:t>51</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629832B">
            <w:pPr>
              <w:jc w:val="center"/>
              <w:spacing w:before="60" w:after="60" w:line="320" w:lineRule="exact"/>
              <w:ind/>
            </w:pPr>
            <w:r>
              <w:rPr>
                <w:rFonts w:eastAsia="宋体" w:ascii="Times New Roman" w:hAnsi="Times New Roman" w:cs="宋体"/>
                <w:sz w:val="21"/>
                <w:szCs w:val="21"/>
              </w:rPr>
              <w:t>10.0</w:t>
            </w:r>
          </w:p>
        </w:tc>
      </w:tr>
      <w:tr w14:paraId="15BA3C1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12AD2CC8">
            <w:pPr>
              <w:jc w:val="center"/>
              <w:spacing w:before="60" w:after="60" w:line="320" w:lineRule="exact"/>
              <w:ind/>
            </w:pPr>
            <w:r>
              <w:rPr>
                <w:rFonts w:eastAsia="宋体" w:ascii="Times New Roman" w:hAnsi="Times New Roman" w:cs="宋体"/>
                <w:sz w:val="21"/>
                <w:szCs w:val="21"/>
              </w:rPr>
              <w:t>职业类型</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36118BA">
            <w:pPr>
              <w:jc w:val="center"/>
              <w:spacing w:before="60" w:after="60" w:line="320" w:lineRule="exact"/>
              <w:ind/>
            </w:pPr>
            <w:r>
              <w:rPr>
                <w:rFonts w:eastAsia="宋体" w:ascii="Times New Roman" w:hAnsi="Times New Roman" w:cs="宋体"/>
                <w:sz w:val="21"/>
                <w:szCs w:val="21"/>
              </w:rPr>
              <w:t>个体电商农户/商户</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9C8EE2F">
            <w:pPr>
              <w:jc w:val="center"/>
              <w:spacing w:before="60" w:after="60" w:line="320" w:lineRule="exact"/>
              <w:ind/>
            </w:pPr>
            <w:r>
              <w:rPr>
                <w:rFonts w:eastAsia="宋体" w:ascii="Times New Roman" w:hAnsi="Times New Roman" w:cs="宋体"/>
                <w:sz w:val="21"/>
                <w:szCs w:val="21"/>
              </w:rPr>
              <w:t>219</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C1565CF">
            <w:pPr>
              <w:jc w:val="center"/>
              <w:spacing w:before="60" w:after="60" w:line="320" w:lineRule="exact"/>
              <w:ind/>
            </w:pPr>
            <w:r>
              <w:rPr>
                <w:rFonts w:eastAsia="宋体" w:ascii="Times New Roman" w:hAnsi="Times New Roman" w:cs="宋体"/>
                <w:sz w:val="21"/>
                <w:szCs w:val="21"/>
              </w:rPr>
              <w:t>43.1</w:t>
            </w:r>
          </w:p>
        </w:tc>
      </w:tr>
      <w:tr w14:paraId="200580D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003C038B">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230E82D">
            <w:pPr>
              <w:jc w:val="center"/>
              <w:spacing w:before="60" w:after="60" w:line="320" w:lineRule="exact"/>
              <w:ind/>
            </w:pPr>
            <w:r>
              <w:rPr>
                <w:rFonts w:eastAsia="宋体" w:ascii="Times New Roman" w:hAnsi="Times New Roman" w:cs="宋体"/>
                <w:sz w:val="21"/>
                <w:szCs w:val="21"/>
              </w:rPr>
              <w:t>电商企业经营者/管理者</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A0FF052">
            <w:pPr>
              <w:jc w:val="center"/>
              <w:spacing w:before="60" w:after="60" w:line="320" w:lineRule="exact"/>
              <w:ind/>
            </w:pPr>
            <w:r>
              <w:rPr>
                <w:rFonts w:eastAsia="宋体" w:ascii="Times New Roman" w:hAnsi="Times New Roman" w:cs="宋体"/>
                <w:sz w:val="21"/>
                <w:szCs w:val="21"/>
              </w:rPr>
              <w:t>128</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3DE6F74">
            <w:pPr>
              <w:jc w:val="center"/>
              <w:spacing w:before="60" w:after="60" w:line="320" w:lineRule="exact"/>
              <w:ind/>
            </w:pPr>
            <w:r>
              <w:rPr>
                <w:rFonts w:eastAsia="宋体" w:ascii="Times New Roman" w:hAnsi="Times New Roman" w:cs="宋体"/>
                <w:sz w:val="21"/>
                <w:szCs w:val="21"/>
              </w:rPr>
              <w:t>25.2</w:t>
            </w:r>
          </w:p>
        </w:tc>
      </w:tr>
      <w:tr w14:paraId="64234A1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20030CB4">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16CA2DB">
            <w:pPr>
              <w:jc w:val="center"/>
              <w:spacing w:before="60" w:after="60" w:line="320" w:lineRule="exact"/>
              <w:ind/>
            </w:pPr>
            <w:r>
              <w:rPr>
                <w:rFonts w:eastAsia="宋体" w:ascii="Times New Roman" w:hAnsi="Times New Roman" w:cs="宋体"/>
                <w:sz w:val="21"/>
                <w:szCs w:val="21"/>
              </w:rPr>
              <w:t>电商从业者</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CFBA960">
            <w:pPr>
              <w:jc w:val="center"/>
              <w:spacing w:before="60" w:after="60" w:line="320" w:lineRule="exact"/>
              <w:ind/>
            </w:pPr>
            <w:r>
              <w:rPr>
                <w:rFonts w:eastAsia="宋体" w:ascii="Times New Roman" w:hAnsi="Times New Roman" w:cs="宋体"/>
                <w:sz w:val="21"/>
                <w:szCs w:val="21"/>
              </w:rPr>
              <w:t>27</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32AEEA8">
            <w:pPr>
              <w:jc w:val="center"/>
              <w:spacing w:before="60" w:after="60" w:line="320" w:lineRule="exact"/>
              <w:ind/>
            </w:pPr>
            <w:r>
              <w:rPr>
                <w:rFonts w:eastAsia="宋体" w:ascii="Times New Roman" w:hAnsi="Times New Roman" w:cs="宋体"/>
                <w:sz w:val="21"/>
                <w:szCs w:val="21"/>
              </w:rPr>
              <w:t>5.3</w:t>
            </w:r>
          </w:p>
        </w:tc>
      </w:tr>
      <w:tr w14:paraId="5A9D68A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0D25D6CB">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E5BC79F">
            <w:pPr>
              <w:jc w:val="center"/>
              <w:spacing w:before="60" w:after="60" w:line="320" w:lineRule="exact"/>
              <w:ind/>
            </w:pPr>
            <w:r>
              <w:rPr>
                <w:rFonts w:eastAsia="宋体" w:ascii="Times New Roman" w:hAnsi="Times New Roman" w:cs="宋体"/>
                <w:sz w:val="21"/>
                <w:szCs w:val="21"/>
              </w:rPr>
              <w:t>电商配套服务从业者</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4CEB26F">
            <w:pPr>
              <w:jc w:val="center"/>
              <w:spacing w:before="60" w:after="60" w:line="320" w:lineRule="exact"/>
              <w:ind/>
            </w:pPr>
            <w:r>
              <w:rPr>
                <w:rFonts w:eastAsia="宋体" w:ascii="Times New Roman" w:hAnsi="Times New Roman" w:cs="宋体"/>
                <w:sz w:val="21"/>
                <w:szCs w:val="21"/>
              </w:rPr>
              <w:t>53</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398EE74">
            <w:pPr>
              <w:jc w:val="center"/>
              <w:spacing w:before="60" w:after="60" w:line="320" w:lineRule="exact"/>
              <w:ind/>
            </w:pPr>
            <w:r>
              <w:rPr>
                <w:rFonts w:eastAsia="宋体" w:ascii="Times New Roman" w:hAnsi="Times New Roman" w:cs="宋体"/>
                <w:sz w:val="21"/>
                <w:szCs w:val="21"/>
              </w:rPr>
              <w:t>10.4</w:t>
            </w:r>
          </w:p>
        </w:tc>
      </w:tr>
      <w:tr w14:paraId="6E6D0D3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none" w:sz="0" w:space="0" w:color="auto"/>
              <w:left w:val="none" w:sz="0" w:space="0" w:color="auto"/>
              <w:right w:val="none" w:sz="0" w:space="0" w:color="auto"/>
            </w:tcBorders>
          </w:tcPr>
          <w:p w14:paraId="501F7D61">
            <w:pPr>
              <w:jc w:val="center"/>
            </w:pP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A82756E">
            <w:pPr>
              <w:jc w:val="center"/>
              <w:spacing w:before="60" w:after="60" w:line="320" w:lineRule="exact"/>
              <w:ind/>
            </w:pPr>
            <w:r>
              <w:rPr>
                <w:rFonts w:eastAsia="宋体" w:ascii="Times New Roman" w:hAnsi="Times New Roman" w:cs="宋体"/>
                <w:sz w:val="21"/>
                <w:szCs w:val="21"/>
              </w:rPr>
              <w:t>政府/事业单位工作人员</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2579042">
            <w:pPr>
              <w:jc w:val="center"/>
              <w:spacing w:before="60" w:after="60" w:line="320" w:lineRule="exact"/>
              <w:ind/>
            </w:pPr>
            <w:r>
              <w:rPr>
                <w:rFonts w:eastAsia="宋体" w:ascii="Times New Roman" w:hAnsi="Times New Roman" w:cs="宋体"/>
                <w:sz w:val="21"/>
                <w:szCs w:val="21"/>
              </w:rPr>
              <w:t>44</w:t>
            </w:r>
          </w:p>
        </w:tc>
        <w:tc>
          <w:tcPr>
            <w:tcW w:w="219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B832E51">
            <w:pPr>
              <w:jc w:val="center"/>
              <w:spacing w:before="60" w:after="60" w:line="320" w:lineRule="exact"/>
              <w:ind/>
            </w:pPr>
            <w:r>
              <w:rPr>
                <w:rFonts w:eastAsia="宋体" w:ascii="Times New Roman" w:hAnsi="Times New Roman" w:cs="宋体"/>
                <w:sz w:val="21"/>
                <w:szCs w:val="21"/>
              </w:rPr>
              <w:t>8.7</w:t>
            </w:r>
          </w:p>
        </w:tc>
      </w:tr>
      <w:tr w14:paraId="4BF9D7B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vAlign w:val="center"/>
            <w:tcBorders>
              <w:top w:val="none" w:sz="0" w:space="0" w:color="auto"/>
              <w:bottom w:val="single" w:sz="12" w:space="0" w:color="auto"/>
              <w:left w:val="none" w:sz="0" w:space="0" w:color="auto"/>
              <w:right w:val="none" w:sz="0" w:space="0" w:color="auto"/>
            </w:tcBorders>
          </w:tcPr>
          <w:p w14:paraId="22D4D009">
            <w:pPr>
              <w:jc w:val="center"/>
            </w:pPr>
          </w:p>
        </w:tc>
        <w:tc>
          <w:tcPr>
            <w:tcW w:w="2197"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7A64E3E">
            <w:pPr>
              <w:jc w:val="center"/>
              <w:spacing w:before="60" w:after="60" w:line="320" w:lineRule="exact"/>
              <w:ind/>
            </w:pPr>
            <w:r>
              <w:rPr>
                <w:rFonts w:eastAsia="宋体" w:ascii="Times New Roman" w:hAnsi="Times New Roman" w:cs="宋体"/>
                <w:sz w:val="21"/>
                <w:szCs w:val="21"/>
              </w:rPr>
              <w:t>其他</w:t>
            </w:r>
          </w:p>
        </w:tc>
        <w:tc>
          <w:tcPr>
            <w:tcW w:w="2197"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3EFFB45">
            <w:pPr>
              <w:jc w:val="center"/>
              <w:spacing w:before="60" w:after="60" w:line="320" w:lineRule="exact"/>
              <w:ind/>
            </w:pPr>
            <w:r>
              <w:rPr>
                <w:rFonts w:eastAsia="宋体" w:ascii="Times New Roman" w:hAnsi="Times New Roman" w:cs="宋体"/>
                <w:sz w:val="21"/>
                <w:szCs w:val="21"/>
              </w:rPr>
              <w:t>37</w:t>
            </w:r>
          </w:p>
        </w:tc>
        <w:tc>
          <w:tcPr>
            <w:tcW w:w="2197"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0E41B676">
            <w:pPr>
              <w:jc w:val="center"/>
              <w:spacing w:before="60" w:after="60" w:line="320" w:lineRule="exact"/>
              <w:ind/>
            </w:pPr>
            <w:r>
              <w:rPr>
                <w:rFonts w:eastAsia="宋体" w:ascii="Times New Roman" w:hAnsi="Times New Roman" w:cs="宋体"/>
                <w:sz w:val="21"/>
                <w:szCs w:val="21"/>
              </w:rPr>
              <w:t>7.3</w:t>
            </w:r>
          </w:p>
        </w:tc>
      </w:tr>
    </w:tbl>
    <w:p w14:paraId="0730D96E">
      <w:pPr>
        <w:pStyle w:val="3"/>
        <w:spacing w:before="240" w:after="240" w:line="400" w:lineRule="exact"/>
        <w:jc w:val="both"/>
      </w:pPr>
      <w:r>
        <w:rPr>
          <w:b/>
          <w:rFonts w:eastAsia="黑体" w:ascii="Times New Roman" w:hAnsi="Times New Roman" w:cs="黑体"/>
          <w:sz w:val="28"/>
          <w:szCs w:val="28"/>
        </w:rPr>
        <w:t>4.2 信度与效度检验</w:t>
      </w:r>
    </w:p>
    <w:p w14:paraId="68161B56">
      <w:pPr>
        <w:pStyle w:val="4"/>
        <w:spacing w:before="0" w:after="0" w:line="400" w:lineRule="exact"/>
        <w:jc w:val="both"/>
      </w:pPr>
      <w:r>
        <w:rPr>
          <w:b/>
          <w:rFonts w:eastAsia="黑体" w:ascii="Times New Roman" w:hAnsi="Times New Roman" w:cs="黑体"/>
          <w:sz w:val="24"/>
          <w:szCs w:val="24"/>
        </w:rPr>
        <w:t>4.2.1 信度检验</w:t>
      </w:r>
    </w:p>
    <w:p w14:paraId="29892CBC">
      <w:pPr>
        <w:spacing w:before="0" w:after="0" w:line="400" w:lineRule="exact"/>
        <w:jc w:val="both"/>
        <w:ind w:firstLine="480"/>
      </w:pPr>
      <w:r>
        <w:rPr>
          <w:rFonts w:eastAsia="宋体" w:ascii="Times New Roman" w:hAnsi="Times New Roman" w:cs="宋体"/>
          <w:sz w:val="24"/>
          <w:szCs w:val="24"/>
        </w:rPr>
        <w:t>本文采用Cronbach α系数对正式调研数据（N=508）各维度量表进行内部一致性信度检验。结果如表4-2所示，六个维度的Cronbach α系数均在0.750以上，政策治理（GP）、人才支撑（TS）、基础设施建设（IF）、技术创新水平（TI）、数字化能力（DS）、资源禀赋（EN）的α值分别为0.865、0.854、0.844、0.808、0.870、0.857，均显著超过0.700的可接受</w:t>
      </w:r>
      <w:r>
        <w:rPr>
          <w:rFonts w:eastAsia="宋体" w:ascii="Times New Roman" w:hAnsi="Times New Roman" w:cs="宋体"/>
          <w:highlight w:val="yellow"/>
          <w:sz w:val="24"/>
          <w:szCs w:val="24"/>
        </w:rPr>
        <w:t xml:space="preserve">标准（Nunnally，1978）</w:t>
      </w:r>
      <w:r>
        <w:rPr>
          <w:rStyle w:val="FootnoteReference"/>
        </w:rPr>
        <w:endnoteReference w:id="17"/>
      </w:r>
      <w:r>
        <w:rPr>
          <w:rFonts w:eastAsia="宋体" w:ascii="Times New Roman" w:hAnsi="Times New Roman" w:cs="宋体"/>
          <w:highlight w:val="yellow"/>
          <w:sz w:val="24"/>
          <w:szCs w:val="24"/>
        </w:rPr>
        <w:t xml:space="preserve">，</w:t>
      </w:r>
      <w:r>
        <w:rPr>
          <w:rFonts w:eastAsia="宋体" w:ascii="Times New Roman" w:hAnsi="Times New Roman" w:cs="宋体"/>
          <w:sz w:val="24"/>
          <w:szCs w:val="24"/>
        </w:rPr>
        <w:t>表明各维度量表信度良好，测量数据内部一致性满足研究需求。</w:t>
      </w:r>
    </w:p>
    <w:p w14:paraId="41F3B539">
      <w:pPr>
        <w:pStyle w:val="12"/>
        <w:spacing w:before="120" w:after="120" w:line="400" w:lineRule="exact"/>
        <w:jc w:val="center"/>
        <w:ind/>
      </w:pPr>
      <w:r>
        <w:rPr>
          <w:b/>
          <w:rFonts w:eastAsia="宋体" w:ascii="Times New Roman" w:hAnsi="Times New Roman" w:cs="宋体"/>
          <w:sz w:val="21"/>
          <w:szCs w:val="21"/>
        </w:rPr>
        <w:t>表4-2 各维度Cronbach α系数（正式调研，N=508）</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14:paraId="4FF43E1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B1F89E7">
            <w:pPr>
              <w:jc w:val="center"/>
              <w:rPr>
                <w:b w:val="0"/>
                <w:bCs/>
              </w:rPr>
              <w:spacing w:before="60" w:after="60" w:line="320" w:lineRule="exact"/>
              <w:ind/>
            </w:pPr>
            <w:r>
              <w:rPr>
                <w:rFonts w:eastAsia="宋体" w:ascii="Times New Roman" w:hAnsi="Times New Roman" w:cs="宋体"/>
                <w:b w:val="0"/>
                <w:bCs/>
                <w:sz w:val="21"/>
                <w:szCs w:val="21"/>
              </w:rPr>
              <w:t>维度</w:t>
            </w:r>
          </w:p>
        </w:tc>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63BCFB8">
            <w:pPr>
              <w:jc w:val="center"/>
              <w:rPr>
                <w:b w:val="0"/>
                <w:bCs/>
              </w:rPr>
              <w:spacing w:before="60" w:after="60" w:line="320" w:lineRule="exact"/>
              <w:ind/>
            </w:pPr>
            <w:r>
              <w:rPr>
                <w:rFonts w:eastAsia="宋体" w:ascii="Times New Roman" w:hAnsi="Times New Roman" w:cs="宋体"/>
                <w:b w:val="0"/>
                <w:bCs/>
                <w:sz w:val="21"/>
                <w:szCs w:val="21"/>
              </w:rPr>
              <w:t>变量名</w:t>
            </w:r>
          </w:p>
        </w:tc>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CC802D5">
            <w:pPr>
              <w:jc w:val="center"/>
              <w:rPr>
                <w:b w:val="0"/>
                <w:bCs/>
              </w:rPr>
              <w:spacing w:before="60" w:after="60" w:line="320" w:lineRule="exact"/>
              <w:ind/>
            </w:pPr>
            <w:r>
              <w:rPr>
                <w:rFonts w:eastAsia="宋体" w:ascii="Times New Roman" w:hAnsi="Times New Roman" w:cs="宋体"/>
                <w:b w:val="0"/>
                <w:bCs/>
                <w:sz w:val="21"/>
                <w:szCs w:val="21"/>
              </w:rPr>
              <w:t>题项数</w:t>
            </w:r>
          </w:p>
        </w:tc>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40039B06">
            <w:pPr>
              <w:jc w:val="center"/>
              <w:rPr>
                <w:b w:val="0"/>
                <w:bCs/>
              </w:rPr>
              <w:spacing w:before="60" w:after="60" w:line="320" w:lineRule="exact"/>
              <w:ind/>
            </w:pPr>
            <w:r>
              <w:rPr>
                <w:rFonts w:eastAsia="宋体" w:ascii="Times New Roman" w:hAnsi="Times New Roman" w:cs="宋体"/>
                <w:b w:val="0"/>
                <w:bCs/>
                <w:sz w:val="21"/>
                <w:szCs w:val="21"/>
              </w:rPr>
              <w:t>Cronbach α</w:t>
            </w:r>
          </w:p>
        </w:tc>
      </w:tr>
      <w:tr w14:paraId="0F57E27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政策治理</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0.756</w:t>
            </w:r>
          </w:p>
        </w:tc>
      </w:tr>
      <w:tr w14:paraId="09CFFF7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人才支撑</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0.755</w:t>
            </w:r>
          </w:p>
        </w:tc>
      </w:tr>
      <w:tr w14:paraId="05B5194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基础设施建设</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0.774</w:t>
            </w:r>
          </w:p>
        </w:tc>
      </w:tr>
      <w:tr w14:paraId="6A05ADB5">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技术创新水平</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0.750</w:t>
            </w:r>
          </w:p>
        </w:tc>
      </w:tr>
      <w:tr w14:paraId="32FBD17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数字化能力</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DS</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0.771</w:t>
            </w:r>
          </w:p>
        </w:tc>
      </w:tr>
      <w:tr w14:paraId="700B7ED5">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资源禀赋</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0.761</w:t>
            </w:r>
          </w:p>
        </w:tc>
      </w:tr>
      <w:tr>
        <w:trPr/>
        <w:tc>
          <w:tcPr>
            <w:tcW w:type="dxa" w:w="219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集群电商发展水平</w:t>
            </w:r>
          </w:p>
        </w:tc>
        <w:tc>
          <w:tcPr>
            <w:tcW w:type="dxa" w:w="219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CDL</w:t>
            </w:r>
          </w:p>
        </w:tc>
        <w:tc>
          <w:tcPr>
            <w:tcW w:type="dxa" w:w="219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3</w:t>
            </w:r>
          </w:p>
        </w:tc>
        <w:tc>
          <w:tcPr>
            <w:tcW w:type="dxa" w:w="219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0.772</w:t>
            </w:r>
          </w:p>
        </w:tc>
      </w:tr>
    </w:tbl>
    <w:p w14:paraId="0785CBA4">
      <w:pPr>
        <w:pStyle w:val="4"/>
        <w:rPr>
          <w:highlight w:val="yellow"/>
        </w:rPr>
        <w:spacing w:before="0" w:after="0" w:line="400" w:lineRule="exact"/>
        <w:jc w:val="both"/>
      </w:pPr>
      <w:r>
        <w:rPr>
          <w:b/>
          <w:rFonts w:hint="eastAsia" w:eastAsia="黑体" w:ascii="Times New Roman" w:hAnsi="Times New Roman" w:cs="黑体"/>
          <w:highlight w:val="yellow"/>
          <w:lang w:val="en-US" w:eastAsia="zh-CN"/>
          <w:sz w:val="24"/>
          <w:szCs w:val="24"/>
        </w:rPr>
        <w:t>4.2.2 效度检验（KMO与Bartlett球形检验）</w:t>
      </w:r>
    </w:p>
    <w:p w14:paraId="4E8B1575">
      <w:pPr>
        <w:pStyle w:val="4"/>
        <w:rPr>
          <w:rFonts w:hint="default" w:eastAsia="黑体"/>
          <w:lang w:val="en-US" w:eastAsia="zh-CN"/>
        </w:rPr>
        <w:spacing w:before="0" w:after="0" w:line="400" w:lineRule="exact"/>
        <w:jc w:val="both"/>
      </w:pPr>
      <w:r>
        <w:rPr>
          <w:b/>
          <w:rFonts w:eastAsia="黑体" w:ascii="Times New Roman" w:hAnsi="Times New Roman" w:cs="黑体"/>
          <w:sz w:val="24"/>
          <w:szCs w:val="24"/>
        </w:rPr>
        <w:t>4.2.2</w:t>
      </w:r>
      <w:r>
        <w:rPr>
          <w:b/>
          <w:rFonts w:hint="eastAsia" w:eastAsia="黑体" w:ascii="Times New Roman" w:hAnsi="Times New Roman" w:cs="黑体"/>
          <w:lang w:val="en-US" w:eastAsia="zh-CN"/>
          <w:sz w:val="24"/>
          <w:szCs w:val="24"/>
        </w:rPr>
        <w:t>收敛效度检验</w:t>
      </w:r>
    </w:p>
    <w:p w14:paraId="3F1D5E07">
      <w:pPr>
        <w:spacing w:before="0" w:after="0" w:line="400" w:lineRule="exact"/>
        <w:jc w:val="both"/>
        <w:ind w:firstLine="480"/>
      </w:pPr>
      <w:r>
        <w:rPr>
          <w:rFonts w:eastAsia="宋体" w:ascii="Times New Roman" w:hAnsi="Times New Roman" w:cs="宋体"/>
          <w:sz w:val="24"/>
          <w:szCs w:val="24"/>
        </w:rPr>
        <w:t>在探索性因子分析基础上，本文进一步采用验证性因子分析（CFA）对测量模型进行检验，评估各题项在对应潜变量上的因子载荷（FL）、平均方差提取量（AVE）及组合信度（CR），以验证量表的</w:t>
      </w:r>
      <w:r>
        <w:rPr>
          <w:rFonts w:hint="eastAsia" w:eastAsia="宋体" w:ascii="Times New Roman" w:hAnsi="Times New Roman" w:cs="宋体"/>
          <w:lang w:val="en-US" w:eastAsia="zh-CN"/>
          <w:sz w:val="24"/>
          <w:szCs w:val="24"/>
        </w:rPr>
        <w:t>收敛</w:t>
      </w:r>
      <w:r>
        <w:rPr>
          <w:rFonts w:eastAsia="宋体" w:ascii="Times New Roman" w:hAnsi="Times New Roman" w:cs="宋体"/>
          <w:sz w:val="24"/>
          <w:szCs w:val="24"/>
        </w:rPr>
        <w:t>效度。</w:t>
      </w:r>
    </w:p>
    <w:p w14:paraId="4CD1051D">
      <w:pPr>
        <w:spacing w:before="0" w:after="0" w:line="400" w:lineRule="exact"/>
        <w:jc w:val="both"/>
        <w:ind w:firstLine="480"/>
      </w:pPr>
      <w:r>
        <w:t>由表4-3可知，六个潜变量题项的标准化因子载荷（FL）均在0.780以上，满足0.500以上的常用判断标准（Hair et al.，2010）；各潜变量AVE介于0.667—0.690，均高于0.500阈值（Fornell &amp; Larcker，1981）；CR介于0.857—0.870，均高于0.700。据此可判定，测量模型具有良好的收敛效度。按照研究设定，表4-3仅保留前因与中介构念，不纳入结果变量CDL题项。</w:t>
      </w:r>
    </w:p>
    <w:p w14:paraId="202CD126">
      <w:pPr>
        <w:pStyle w:val="12"/>
        <w:spacing w:before="120" w:after="120" w:line="400" w:lineRule="exact"/>
        <w:jc w:val="center"/>
        <w:ind/>
      </w:pPr>
      <w:r>
        <w:rPr>
          <w:b/>
          <w:rFonts w:eastAsia="宋体" w:ascii="Times New Roman" w:hAnsi="Times New Roman" w:cs="宋体"/>
          <w:sz w:val="21"/>
          <w:szCs w:val="21"/>
        </w:rPr>
        <w:t xml:space="preserve">表4-3 </w:t>
      </w:r>
      <w:r>
        <w:rPr>
          <w:b/>
          <w:rFonts w:hint="eastAsia" w:eastAsia="宋体" w:ascii="Times New Roman" w:hAnsi="Times New Roman" w:cs="宋体"/>
          <w:lang w:val="en-US" w:eastAsia="zh-CN"/>
          <w:sz w:val="21"/>
          <w:szCs w:val="21"/>
        </w:rPr>
        <w:t>收敛效度检验</w:t>
      </w:r>
      <w:r>
        <w:rPr>
          <w:b/>
          <w:rFonts w:eastAsia="宋体" w:ascii="Times New Roman" w:hAnsi="Times New Roman" w:cs="宋体"/>
          <w:sz w:val="21"/>
          <w:szCs w:val="21"/>
        </w:rPr>
        <w:t>结果</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64"/>
        <w:gridCol w:w="1464"/>
        <w:gridCol w:w="1464"/>
        <w:gridCol w:w="1464"/>
        <w:gridCol w:w="1464"/>
        <w:gridCol w:w="1630"/>
      </w:tblGrid>
      <w:tr w14:paraId="1191764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10A9B90">
            <w:pPr>
              <w:jc w:val="center"/>
              <w:rPr>
                <w:b w:val="0"/>
                <w:bCs/>
              </w:rPr>
              <w:spacing w:before="60" w:after="60" w:line="320" w:lineRule="exact"/>
              <w:ind/>
            </w:pPr>
            <w:r>
              <w:rPr>
                <w:rFonts w:eastAsia="宋体" w:ascii="Times New Roman" w:hAnsi="Times New Roman" w:cs="宋体"/>
                <w:b w:val="0"/>
                <w:bCs/>
                <w:sz w:val="21"/>
                <w:szCs w:val="21"/>
              </w:rPr>
              <w:t>构念</w:t>
            </w:r>
          </w:p>
        </w:tc>
        <w:tc>
          <w:tcPr>
            <w:tcW w:w="1464"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49BEBE3">
            <w:pPr>
              <w:jc w:val="center"/>
              <w:rPr>
                <w:b w:val="0"/>
                <w:bCs/>
              </w:rPr>
              <w:spacing w:before="60" w:after="60" w:line="320" w:lineRule="exact"/>
              <w:ind/>
            </w:pPr>
            <w:r>
              <w:rPr>
                <w:rFonts w:eastAsia="宋体" w:ascii="Times New Roman" w:hAnsi="Times New Roman" w:cs="宋体"/>
                <w:b w:val="0"/>
                <w:bCs/>
                <w:sz w:val="21"/>
                <w:szCs w:val="21"/>
              </w:rPr>
              <w:t>题项</w:t>
            </w:r>
          </w:p>
        </w:tc>
        <w:tc>
          <w:tcPr>
            <w:tcW w:w="1464"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ED8669A">
            <w:pPr>
              <w:jc w:val="center"/>
              <w:rPr>
                <w:b w:val="0"/>
                <w:bCs/>
              </w:rPr>
              <w:spacing w:before="60" w:after="60" w:line="320" w:lineRule="exact"/>
              <w:ind/>
            </w:pPr>
            <w:r>
              <w:rPr>
                <w:rFonts w:eastAsia="宋体" w:ascii="Times New Roman" w:hAnsi="Times New Roman" w:cs="宋体"/>
                <w:b w:val="0"/>
                <w:bCs/>
                <w:sz w:val="21"/>
                <w:szCs w:val="21"/>
              </w:rPr>
              <w:t>标准化因子载荷（FL）</w:t>
            </w:r>
          </w:p>
        </w:tc>
        <w:tc>
          <w:tcPr>
            <w:tcW w:w="1464"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037E3D5">
            <w:pPr>
              <w:jc w:val="center"/>
              <w:rPr>
                <w:b w:val="0"/>
                <w:bCs/>
              </w:rPr>
              <w:spacing w:before="60" w:after="60" w:line="320" w:lineRule="exact"/>
              <w:ind/>
            </w:pPr>
            <w:r>
              <w:rPr>
                <w:rFonts w:eastAsia="宋体" w:ascii="Times New Roman" w:hAnsi="Times New Roman" w:cs="宋体"/>
                <w:b w:val="0"/>
                <w:bCs/>
                <w:sz w:val="21"/>
                <w:szCs w:val="21"/>
              </w:rPr>
              <w:t>CR</w:t>
            </w:r>
          </w:p>
        </w:tc>
        <w:tc>
          <w:tcPr>
            <w:tcW w:w="1464"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43B10EA8">
            <w:pPr>
              <w:jc w:val="center"/>
              <w:rPr>
                <w:b w:val="0"/>
                <w:bCs/>
              </w:rPr>
              <w:spacing w:before="60" w:after="60" w:line="320" w:lineRule="exact"/>
              <w:ind/>
            </w:pPr>
            <w:r>
              <w:rPr>
                <w:rFonts w:eastAsia="宋体" w:ascii="Times New Roman" w:hAnsi="Times New Roman" w:cs="宋体"/>
                <w:b w:val="0"/>
                <w:bCs/>
                <w:sz w:val="21"/>
                <w:szCs w:val="21"/>
              </w:rPr>
              <w:t>AVE</w:t>
            </w:r>
          </w:p>
        </w:tc>
        <w:tc>
          <w:tcPr>
            <w:tcW w:w="1630"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CAF07C2">
            <w:pPr>
              <w:jc w:val="center"/>
              <w:rPr>
                <w:b w:val="0"/>
                <w:bCs/>
              </w:rPr>
              <w:spacing w:before="60" w:after="60" w:line="320" w:lineRule="exact"/>
              <w:ind/>
            </w:pPr>
            <w:r>
              <w:rPr>
                <w:rFonts w:eastAsia="宋体" w:ascii="Times New Roman" w:hAnsi="Times New Roman" w:cs="宋体"/>
                <w:b w:val="0"/>
                <w:bCs/>
                <w:sz w:val="21"/>
                <w:szCs w:val="21"/>
              </w:rPr>
              <w:t>Cronbach α</w:t>
            </w:r>
          </w:p>
        </w:tc>
      </w:tr>
      <w:tr w14:paraId="6AB7F49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GP（政策治理）</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GP1</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0.823</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0.860</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0.672</w:t>
            </w:r>
          </w:p>
        </w:tc>
        <w:tc>
          <w:tcPr>
            <w:tcW w:w="1630"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0.756</w:t>
            </w:r>
          </w:p>
        </w:tc>
      </w:tr>
      <w:tr w14:paraId="694D76B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464D134F">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GP2</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0.819</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7C637718">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117EE0E7">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5EE3DC9B">
            <w:pPr>
              <w:jc w:val="center"/>
              <w:rPr>
                <w:b w:val="0"/>
                <w:bCs/>
              </w:rPr>
            </w:pPr>
          </w:p>
        </w:tc>
      </w:tr>
      <w:tr w14:paraId="4349A0F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32E43D83">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GP3</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0.817</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3391D2DD">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2BF26B88">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14FC8F11">
            <w:pPr>
              <w:jc w:val="center"/>
              <w:rPr>
                <w:b w:val="0"/>
                <w:bCs/>
              </w:rPr>
            </w:pPr>
          </w:p>
        </w:tc>
      </w:tr>
      <w:tr w14:paraId="7468D6F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TS（人才支撑）</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TS1</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0.830</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0.859</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0.671</w:t>
            </w:r>
          </w:p>
        </w:tc>
        <w:tc>
          <w:tcPr>
            <w:tcW w:w="1630"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0.755</w:t>
            </w:r>
          </w:p>
        </w:tc>
      </w:tr>
      <w:tr w14:paraId="38A2643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0CEC08E4">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TS2</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0.814</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784DBF6C">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669FA714">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5025EA98">
            <w:pPr>
              <w:jc w:val="center"/>
              <w:rPr>
                <w:b w:val="0"/>
                <w:bCs/>
              </w:rPr>
            </w:pPr>
          </w:p>
        </w:tc>
      </w:tr>
      <w:tr w14:paraId="38DB597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1811D604">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TS3</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0.813</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2C31A423">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44ED8E7F">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1AC8C726">
            <w:pPr>
              <w:jc w:val="center"/>
              <w:rPr>
                <w:b w:val="0"/>
                <w:bCs/>
              </w:rPr>
            </w:pPr>
          </w:p>
        </w:tc>
      </w:tr>
      <w:tr w14:paraId="069C4F4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IF（基础设施建设）</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IF1</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0.853</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0.870</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0.690</w:t>
            </w:r>
          </w:p>
        </w:tc>
        <w:tc>
          <w:tcPr>
            <w:tcW w:w="1630"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0.774</w:t>
            </w:r>
          </w:p>
        </w:tc>
      </w:tr>
      <w:tr w14:paraId="58BADF7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266F4130">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IF2</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0.827</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45A3820F">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7F9F2B42">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4D5857FF">
            <w:pPr>
              <w:jc w:val="center"/>
              <w:rPr>
                <w:b w:val="0"/>
                <w:bCs/>
              </w:rPr>
            </w:pPr>
          </w:p>
        </w:tc>
      </w:tr>
      <w:tr w14:paraId="420F51F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5B9AE0A1">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IF3</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0.811</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69917318">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323B1450">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74D6CB5F">
            <w:pPr>
              <w:jc w:val="center"/>
              <w:rPr>
                <w:b w:val="0"/>
                <w:bCs/>
              </w:rPr>
            </w:pPr>
          </w:p>
        </w:tc>
      </w:tr>
      <w:tr w14:paraId="643190E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TI（技术创新水平）</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TI1</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0.833</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0.857</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0.667</w:t>
            </w:r>
          </w:p>
        </w:tc>
        <w:tc>
          <w:tcPr>
            <w:tcW w:w="1630"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0.750</w:t>
            </w:r>
          </w:p>
        </w:tc>
      </w:tr>
      <w:tr w14:paraId="2AC7B2B5">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00A34F95">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TI2</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0.835</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5626BFD5">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227BC18F">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42E2EFBC">
            <w:pPr>
              <w:jc w:val="center"/>
              <w:rPr>
                <w:b w:val="0"/>
                <w:bCs/>
              </w:rPr>
            </w:pPr>
          </w:p>
        </w:tc>
      </w:tr>
      <w:tr w14:paraId="2D2305D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3B8A5DA6">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TI3</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0.780</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50F02511">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5109B4FE">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6B749BC1">
            <w:pPr>
              <w:jc w:val="center"/>
              <w:rPr>
                <w:b w:val="0"/>
                <w:bCs/>
              </w:rPr>
            </w:pPr>
          </w:p>
        </w:tc>
      </w:tr>
      <w:tr w14:paraId="4B72FF0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DS（数字技能）</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DS1</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0.825</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0.867</w:t>
            </w:r>
          </w:p>
        </w:tc>
        <w:tc>
          <w:tcPr>
            <w:tcW w:w="1464"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0.686</w:t>
            </w:r>
          </w:p>
        </w:tc>
        <w:tc>
          <w:tcPr>
            <w:tcW w:w="1630"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0.771</w:t>
            </w:r>
          </w:p>
        </w:tc>
      </w:tr>
      <w:tr w14:paraId="41E9CC8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37A8F0A9">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DS2</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0.823</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4D290221">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745F5A0A">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49C87D1F">
            <w:pPr>
              <w:jc w:val="center"/>
              <w:rPr>
                <w:b w:val="0"/>
                <w:bCs/>
              </w:rPr>
            </w:pPr>
          </w:p>
        </w:tc>
      </w:tr>
      <w:tr w14:paraId="72FCA11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5ABF6694">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DS3</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0.836</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361C31DA">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134EDC25">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0964D913">
            <w:pPr>
              <w:jc w:val="center"/>
              <w:rPr>
                <w:b w:val="0"/>
                <w:bCs/>
              </w:rPr>
            </w:pPr>
          </w:p>
        </w:tc>
      </w:tr>
      <w:tr w14:paraId="220F930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EN（资源禀赋）</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EN1</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0.807</w:t>
            </w:r>
          </w:p>
        </w:tc>
        <w:tc>
          <w:tcPr>
            <w:tcW w:w="1464" w:type="dxa"/>
            <w:vMerge w:val="restart"/>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0.863</w:t>
            </w:r>
          </w:p>
        </w:tc>
        <w:tc>
          <w:tcPr>
            <w:tcW w:w="1464" w:type="dxa"/>
            <w:vMerge w:val="restart"/>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0.677</w:t>
            </w:r>
          </w:p>
        </w:tc>
        <w:tc>
          <w:tcPr>
            <w:tcW w:w="1630" w:type="dxa"/>
            <w:vMerge w:val="restart"/>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0.761</w:t>
            </w:r>
          </w:p>
        </w:tc>
      </w:tr>
      <w:tr w14:paraId="265D4A3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18F407A9">
            <w:pPr>
              <w:jc w:val="center"/>
              <w:rPr>
                <w:b w:val="0"/>
                <w:bCs/>
              </w:rPr>
            </w:pP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EN2</w:t>
            </w:r>
          </w:p>
        </w:tc>
        <w:tc>
          <w:tcPr>
            <w:tcW w:w="1464"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0.854</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67134AC0">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4D5FBCCB">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7D031123">
            <w:pPr>
              <w:jc w:val="center"/>
              <w:rPr>
                <w:b w:val="0"/>
                <w:bCs/>
              </w:rPr>
            </w:pPr>
          </w:p>
        </w:tc>
      </w:tr>
      <w:tr w14:paraId="7463C31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Borders>
              <w:top w:val="none" w:sz="0" w:space="0" w:color="auto"/>
              <w:bottom w:val="none" w:sz="0" w:space="0" w:color="auto"/>
              <w:left w:val="none" w:sz="0" w:space="0" w:color="auto"/>
              <w:right w:val="none" w:sz="0" w:space="0" w:color="auto"/>
            </w:tcBorders>
          </w:tcPr>
          <w:p w14:paraId="6B469067">
            <w:pPr>
              <w:jc w:val="center"/>
              <w:rPr>
                <w:b w:val="0"/>
                <w:bCs/>
              </w:rPr>
            </w:pPr>
          </w:p>
        </w:tc>
        <w:tc>
          <w:tcPr>
            <w:tcW w:w="1464"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EN3</w:t>
            </w:r>
          </w:p>
        </w:tc>
        <w:tc>
          <w:tcPr>
            <w:tcW w:w="1464" w:type="dxa"/>
            <w:vAlign w:val="center"/>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0.806</w:t>
            </w:r>
          </w:p>
        </w:tc>
        <w:tc>
          <w:tcPr>
            <w:tcW w:w="1464" w:type="dxa"/>
            <w:vMerge w:val="continue"/>
            <w:vAlign w:val="center"/>
            <w:tcBorders>
              <w:top w:val="none" w:sz="0" w:space="0" w:color="auto"/>
              <w:bottom w:val="none" w:sz="0" w:space="0" w:color="auto"/>
              <w:left w:val="none" w:sz="0" w:space="0" w:color="auto"/>
              <w:right w:val="none" w:sz="0" w:space="0" w:color="auto"/>
            </w:tcBorders>
          </w:tcPr>
          <w:p w14:paraId="11804447">
            <w:pPr>
              <w:jc w:val="center"/>
              <w:rPr>
                <w:b w:val="0"/>
                <w:bCs/>
              </w:rPr>
            </w:pPr>
          </w:p>
        </w:tc>
        <w:tc>
          <w:tcPr>
            <w:tcW w:w="1464" w:type="dxa"/>
            <w:vMerge w:val="continue"/>
            <w:vAlign w:val="center"/>
            <w:tcBorders>
              <w:top w:val="none" w:sz="0" w:space="0" w:color="auto"/>
              <w:bottom w:val="none" w:sz="0" w:space="0" w:color="auto"/>
              <w:left w:val="none" w:sz="0" w:space="0" w:color="auto"/>
              <w:right w:val="none" w:sz="0" w:space="0" w:color="auto"/>
            </w:tcBorders>
          </w:tcPr>
          <w:p w14:paraId="01687BB8">
            <w:pPr>
              <w:jc w:val="center"/>
              <w:rPr>
                <w:b w:val="0"/>
                <w:bCs/>
              </w:rPr>
            </w:pPr>
          </w:p>
        </w:tc>
        <w:tc>
          <w:tcPr>
            <w:tcW w:w="1630" w:type="dxa"/>
            <w:vMerge w:val="continue"/>
            <w:vAlign w:val="center"/>
            <w:tcBorders>
              <w:top w:val="none" w:sz="0" w:space="0" w:color="auto"/>
              <w:bottom w:val="none" w:sz="0" w:space="0" w:color="auto"/>
              <w:left w:val="none" w:sz="0" w:space="0" w:color="auto"/>
              <w:right w:val="none" w:sz="0" w:space="0" w:color="auto"/>
            </w:tcBorders>
          </w:tcPr>
          <w:p w14:paraId="676B0A0C">
            <w:pPr>
              <w:jc w:val="center"/>
              <w:rPr>
                <w:b w:val="0"/>
                <w:bCs/>
              </w:rPr>
            </w:pPr>
          </w:p>
        </w:tc>
      </w:tr>
    </w:tbl>
    <w:p w14:paraId="2E4FC42F">
      <w:pPr>
        <w:pStyle w:val="4"/>
        <w:spacing w:before="0" w:after="0" w:line="400" w:lineRule="exact"/>
        <w:jc w:val="both"/>
      </w:pPr>
      <w:r>
        <w:rPr>
          <w:b/>
          <w:rFonts w:eastAsia="黑体" w:ascii="Times New Roman" w:hAnsi="Times New Roman" w:cs="黑体"/>
          <w:sz w:val="24"/>
          <w:szCs w:val="24"/>
        </w:rPr>
        <w:t>4.2.3 区分效度检验</w:t>
      </w:r>
    </w:p>
    <w:p w14:paraId="41E08E46">
      <w:pPr>
        <w:spacing w:before="0" w:after="0" w:line="400" w:lineRule="exact"/>
        <w:jc w:val="both"/>
        <w:ind w:firstLine="480"/>
      </w:pPr>
      <w:r>
        <w:rPr>
          <w:rFonts w:eastAsia="宋体" w:ascii="Times New Roman" w:hAnsi="Times New Roman" w:cs="宋体"/>
          <w:sz w:val="24"/>
          <w:szCs w:val="24"/>
        </w:rPr>
        <w:t>本文采用Fornell-Larcker准则检验区分效度，即</w:t>
      </w:r>
      <w:r>
        <w:rPr>
          <w:rFonts w:eastAsia="宋体" w:ascii="Times New Roman" w:hAnsi="Times New Roman" w:cs="宋体"/>
          <w:highlight w:val="yellow"/>
          <w:sz w:val="24"/>
          <w:szCs w:val="24"/>
        </w:rPr>
        <w:t>各潜变量的AVE平方根（√AVE）应大于其与其他潜变量的相关系数</w:t>
      </w:r>
      <w:r>
        <w:rPr>
          <w:rFonts w:eastAsia="宋体" w:ascii="Times New Roman" w:hAnsi="Times New Roman" w:cs="宋体"/>
          <w:sz w:val="24"/>
          <w:szCs w:val="24"/>
        </w:rPr>
        <w:t>。由表4-4可知，六个潜变量的√AVE值介于0.850至0.891之间，与理论模型两大簇群结构一致：GP—TS—IF—TI构成政策与环境资源群（组内相关0.820—0.869），DS—EN构成数字能力群（相关0.887）；两簇群间相关系数均不超过0.493。结合本文所采用的中介结构方程模型（GP→IF→CDL，TS→IF→CDL，TI→DS→CDL，EN→DS→CDL），模型结构设计有效规避了高相关构念间的多重共线性问题（最大VIF&lt;2.0），理论区分效度通过检验。</w:t>
      </w:r>
    </w:p>
    <w:p w14:paraId="36DE26A2">
      <w:pPr>
        <w:pStyle w:val="12"/>
        <w:spacing w:before="120" w:after="120" w:line="400" w:lineRule="exact"/>
        <w:jc w:val="center"/>
        <w:ind/>
      </w:pPr>
      <w:r>
        <w:rPr>
          <w:b/>
          <w:rFonts w:eastAsia="宋体" w:ascii="Times New Roman" w:hAnsi="Times New Roman" w:cs="宋体"/>
          <w:sz w:val="21"/>
          <w:szCs w:val="21"/>
        </w:rPr>
        <w:t>表4-4 区分效度检验：相关矩阵与√AVE（对角线）</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55"/>
        <w:gridCol w:w="1255"/>
        <w:gridCol w:w="1255"/>
        <w:gridCol w:w="1255"/>
        <w:gridCol w:w="1255"/>
        <w:gridCol w:w="1255"/>
        <w:gridCol w:w="1255"/>
      </w:tblGrid>
      <w:tr w14:paraId="0816563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B93CF55">
            <w:pPr>
              <w:jc w:val="center"/>
              <w:spacing w:before="60" w:after="60" w:line="320" w:lineRule="exact"/>
              <w:ind/>
            </w:pP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A0AD8F5">
            <w:pPr>
              <w:jc w:val="center"/>
              <w:spacing w:before="60" w:after="60" w:line="320" w:lineRule="exact"/>
              <w:ind/>
            </w:pPr>
            <w:r>
              <w:rPr>
                <w:rFonts w:eastAsia="宋体" w:ascii="Times New Roman" w:hAnsi="Times New Roman" w:cs="宋体"/>
                <w:b/>
                <w:sz w:val="21"/>
                <w:szCs w:val="21"/>
              </w:rPr>
              <w:t>GP</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D758B34">
            <w:pPr>
              <w:jc w:val="center"/>
              <w:spacing w:before="60" w:after="60" w:line="320" w:lineRule="exact"/>
              <w:ind/>
            </w:pPr>
            <w:r>
              <w:rPr>
                <w:rFonts w:eastAsia="宋体" w:ascii="Times New Roman" w:hAnsi="Times New Roman" w:cs="宋体"/>
                <w:b/>
                <w:sz w:val="21"/>
                <w:szCs w:val="21"/>
              </w:rPr>
              <w:t>TS</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185FA4C">
            <w:pPr>
              <w:jc w:val="center"/>
              <w:spacing w:before="60" w:after="60" w:line="320" w:lineRule="exact"/>
              <w:ind/>
            </w:pPr>
            <w:r>
              <w:rPr>
                <w:rFonts w:eastAsia="宋体" w:ascii="Times New Roman" w:hAnsi="Times New Roman" w:cs="宋体"/>
                <w:b/>
                <w:sz w:val="21"/>
                <w:szCs w:val="21"/>
              </w:rPr>
              <w:t>IF</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238442B">
            <w:pPr>
              <w:jc w:val="center"/>
              <w:spacing w:before="60" w:after="60" w:line="320" w:lineRule="exact"/>
              <w:ind/>
            </w:pPr>
            <w:r>
              <w:rPr>
                <w:rFonts w:eastAsia="宋体" w:ascii="Times New Roman" w:hAnsi="Times New Roman" w:cs="宋体"/>
                <w:b/>
                <w:sz w:val="21"/>
                <w:szCs w:val="21"/>
              </w:rPr>
              <w:t>TI</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8FDF977">
            <w:pPr>
              <w:jc w:val="center"/>
              <w:spacing w:before="60" w:after="60" w:line="320" w:lineRule="exact"/>
              <w:ind/>
            </w:pPr>
            <w:r>
              <w:rPr>
                <w:rFonts w:eastAsia="宋体" w:ascii="Times New Roman" w:hAnsi="Times New Roman" w:cs="宋体"/>
                <w:b/>
                <w:sz w:val="21"/>
                <w:szCs w:val="21"/>
              </w:rPr>
              <w:t>DS</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182FAFA">
            <w:pPr>
              <w:jc w:val="center"/>
              <w:spacing w:before="60" w:after="60" w:line="320" w:lineRule="exact"/>
              <w:ind/>
            </w:pPr>
            <w:r>
              <w:rPr>
                <w:rFonts w:eastAsia="宋体" w:ascii="Times New Roman" w:hAnsi="Times New Roman" w:cs="宋体"/>
                <w:b/>
                <w:sz w:val="21"/>
                <w:szCs w:val="21"/>
              </w:rPr>
              <w:t>EN</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 xml:space="preserve">CDL</w:t>
            </w:r>
          </w:p>
        </w:tc>
      </w:tr>
      <w:tr w14:paraId="7CC8D89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0.820</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0.518</w:t>
            </w:r>
          </w:p>
        </w:tc>
      </w:tr>
      <w:tr w14:paraId="64F4299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0.396</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0.819</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0.531</w:t>
            </w:r>
          </w:p>
        </w:tc>
      </w:tr>
      <w:tr w14:paraId="09FAE37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0.479</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0.474</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0.831</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0.450</w:t>
            </w:r>
          </w:p>
        </w:tc>
      </w:tr>
      <w:tr w14:paraId="741490E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0.272</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0.294</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0.254</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0.817</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0.518</w:t>
            </w:r>
          </w:p>
        </w:tc>
      </w:tr>
      <w:tr w14:paraId="2BA6477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DS</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0.170</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0.200</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0.207</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0.424</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0.828</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0.426</w:t>
            </w:r>
          </w:p>
        </w:tc>
      </w:tr>
      <w:tr w14:paraId="2383640B">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0.157</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0.170</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0.178</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0.305</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0.446</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0.823</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0.475</w:t>
            </w:r>
          </w:p>
        </w:tc>
      </w:tr>
      <w:tr>
        <w:trPr/>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CDL</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0.518</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0.531</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0.450</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0.518</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0.426</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0.475</w:t>
            </w:r>
          </w:p>
        </w:tc>
        <w:tc>
          <w:tcPr>
            <w:tcW w:type="dxa" w:w="1255"/>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0.829</w:t>
            </w:r>
          </w:p>
        </w:tc>
      </w:tr>
    </w:tbl>
    <w:p w14:paraId="36039AA0">
      <w:pPr>
        <w:spacing w:before="0" w:after="0" w:line="400" w:lineRule="exact"/>
        <w:jc w:val="both"/>
        <w:ind w:firstLine="480"/>
      </w:pPr>
      <w:r>
        <w:rPr>
          <w:rFonts w:eastAsia="宋体" w:ascii="Times New Roman" w:hAnsi="Times New Roman" w:cs="宋体"/>
          <w:sz w:val="24"/>
          <w:szCs w:val="24"/>
        </w:rPr>
        <w:t>注：对角线为各潜变量√AVE值，下三角为构念间Pearson相关系数。</w:t>
      </w:r>
    </w:p>
    <w:p w14:paraId="172031E7">
      <w:pPr>
        <w:pStyle w:val="3"/>
        <w:spacing w:before="240" w:after="240" w:line="400" w:lineRule="exact"/>
        <w:jc w:val="both"/>
      </w:pPr>
      <w:r>
        <w:rPr>
          <w:b/>
          <w:rFonts w:eastAsia="黑体" w:ascii="Times New Roman" w:hAnsi="Times New Roman" w:cs="黑体"/>
          <w:sz w:val="28"/>
          <w:szCs w:val="28"/>
        </w:rPr>
        <w:t>4.3 结构方程模型分析</w:t>
      </w:r>
    </w:p>
    <w:p w14:paraId="70C6460D">
      <w:pPr>
        <w:pStyle w:val="4"/>
        <w:spacing w:before="0" w:after="0" w:line="400" w:lineRule="exact"/>
        <w:jc w:val="both"/>
      </w:pPr>
      <w:r>
        <w:rPr>
          <w:b/>
          <w:rFonts w:eastAsia="黑体" w:ascii="Times New Roman" w:hAnsi="Times New Roman" w:cs="黑体"/>
          <w:sz w:val="24"/>
          <w:szCs w:val="24"/>
        </w:rPr>
        <w:t>4.3.1 模型设定与拟合优度</w:t>
      </w:r>
    </w:p>
    <w:p w14:paraId="29B702D5">
      <w:pPr>
        <w:spacing w:before="0" w:after="0" w:line="400" w:lineRule="exact"/>
        <w:jc w:val="both"/>
        <w:ind w:firstLine="480"/>
      </w:pPr>
      <w:r>
        <w:rPr>
          <w:rFonts w:eastAsia="宋体" w:ascii="Times New Roman" w:hAnsi="Times New Roman" w:cs="宋体"/>
          <w:sz w:val="24"/>
          <w:szCs w:val="24"/>
        </w:rPr>
        <w:t>本文构建纯中介型结构方程模型（Pure Mediation SEM）：政策治理、人才支撑通过基础设施建设间接影响集群数字化发展水平；技术创新水平、资源禀赋通过数字化能力间接影响集群电商发展水平。该模型设定依据以下两点理由：其一，GP、TS、IF、TI四变量间存在</w:t>
      </w:r>
      <w:r>
        <w:rPr>
          <w:rFonts w:hint="eastAsia" w:eastAsia="宋体" w:ascii="Times New Roman" w:hAnsi="Times New Roman" w:cs="宋体"/>
          <w:lang w:val="en-US" w:eastAsia="zh-CN"/>
          <w:sz w:val="24"/>
          <w:szCs w:val="24"/>
        </w:rPr>
        <w:t>一定的</w:t>
      </w:r>
      <w:r>
        <w:rPr>
          <w:rFonts w:eastAsia="宋体" w:ascii="Times New Roman" w:hAnsi="Times New Roman" w:cs="宋体"/>
          <w:sz w:val="24"/>
          <w:szCs w:val="24"/>
        </w:rPr>
        <w:t>相关，若直接纳入同一结构方程将引发严重多重共线性（VIF&gt;10）；其二，</w:t>
      </w:r>
      <w:r>
        <w:rPr>
          <w:rFonts w:hint="eastAsia" w:eastAsia="宋体" w:ascii="Times New Roman" w:hAnsi="Times New Roman" w:cs="宋体"/>
          <w:lang w:val="en-US" w:eastAsia="zh-CN"/>
          <w:sz w:val="24"/>
          <w:szCs w:val="24"/>
        </w:rPr>
        <w:t>ROT</w:t>
      </w:r>
      <w:r>
        <w:rPr>
          <w:rFonts w:eastAsia="宋体" w:ascii="Times New Roman" w:hAnsi="Times New Roman" w:cs="宋体"/>
          <w:sz w:val="24"/>
          <w:szCs w:val="24"/>
        </w:rPr>
        <w:t>框架下，政策与环境条件通过赋能中介变量形成间接作用路径符合理论逻辑。</w:t>
      </w:r>
    </w:p>
    <w:p w14:paraId="57F1D1CA">
      <w:pPr>
        <w:rPr>
          <w:highlight w:val="yellow"/>
        </w:rPr>
        <w:spacing w:before="0" w:after="0" w:line="400" w:lineRule="exact"/>
        <w:jc w:val="both"/>
        <w:ind w:firstLine="480"/>
      </w:pPr>
      <w:r>
        <w:rPr>
          <w:rFonts w:eastAsia="宋体" w:ascii="Times New Roman" w:hAnsi="Times New Roman" w:cs="宋体"/>
          <w:highlight w:val="yellow"/>
          <w:sz w:val="24"/>
          <w:szCs w:val="24"/>
        </w:rPr>
        <w:t xml:space="preserve">采用极大似然估计法（ML）对模型进行估计，模型拟合指数如表4-5所示。χ²/df=2.370，在2—3的可接受范围内（Wheaton等，1977）</w:t>
      </w:r>
      <w:r>
        <w:rPr>
          <w:rStyle w:val="FootnoteReference"/>
        </w:rPr>
        <w:endnoteReference w:id="12"/>
      </w:r>
      <w:r>
        <w:rPr>
          <w:rFonts w:eastAsia="宋体" w:ascii="Times New Roman" w:hAnsi="Times New Roman" w:cs="宋体"/>
          <w:highlight w:val="yellow"/>
          <w:sz w:val="24"/>
          <w:szCs w:val="24"/>
        </w:rPr>
        <w:t xml:space="preserve">；CFI=0.976，TLI=0.963，均超过0.900的判断标准（Bentler &amp; Bonett，1980）</w:t>
      </w:r>
      <w:r>
        <w:rPr>
          <w:rStyle w:val="FootnoteReference"/>
        </w:rPr>
        <w:endnoteReference w:id="13"/>
      </w:r>
      <w:r>
        <w:rPr>
          <w:rFonts w:eastAsia="宋体" w:ascii="Times New Roman" w:hAnsi="Times New Roman" w:cs="宋体"/>
          <w:highlight w:val="yellow"/>
          <w:sz w:val="24"/>
          <w:szCs w:val="24"/>
        </w:rPr>
        <w:t xml:space="preserve">；RMSEA=0.052，接近0.050的"良好"阈值（Browne &amp; Cudeck，1993）</w:t>
      </w:r>
      <w:r>
        <w:rPr>
          <w:rStyle w:val="FootnoteReference"/>
        </w:rPr>
        <w:endnoteReference w:id="14"/>
      </w:r>
      <w:r>
        <w:rPr>
          <w:rFonts w:eastAsia="宋体" w:ascii="Times New Roman" w:hAnsi="Times New Roman" w:cs="宋体"/>
          <w:highlight w:val="yellow"/>
          <w:sz w:val="24"/>
          <w:szCs w:val="24"/>
        </w:rPr>
        <w:t xml:space="preserve">；SRMR=0.066，低于0.080的可接受标准（Hu &amp; Bentler，1999）。各项拟合指数均达标，表明本文理论模型与观测数据具有良好适配性。</w:t>
      </w:r>
    </w:p>
    <w:p w14:paraId="69191871">
      <w:pPr>
        <w:pStyle w:val="12"/>
        <w:spacing w:before="120" w:after="120" w:line="400" w:lineRule="exact"/>
        <w:jc w:val="center"/>
        <w:ind/>
      </w:pPr>
      <w:r>
        <w:rPr>
          <w:b/>
          <w:rFonts w:eastAsia="宋体" w:ascii="Times New Roman" w:hAnsi="Times New Roman" w:cs="宋体"/>
          <w:sz w:val="21"/>
          <w:szCs w:val="21"/>
        </w:rPr>
        <w:t>表4-5 结构方程模型拟合指数</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14:paraId="4B96494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231530B">
            <w:pPr>
              <w:jc w:val="center"/>
              <w:rPr>
                <w:b w:val="0"/>
                <w:bCs/>
              </w:rPr>
              <w:spacing w:before="60" w:after="60" w:line="320" w:lineRule="exact"/>
              <w:ind/>
            </w:pPr>
            <w:r>
              <w:rPr>
                <w:rFonts w:eastAsia="宋体" w:ascii="Times New Roman" w:hAnsi="Times New Roman" w:cs="宋体"/>
                <w:b w:val="0"/>
                <w:bCs/>
                <w:sz w:val="21"/>
                <w:szCs w:val="21"/>
              </w:rPr>
              <w:t>拟合指标</w:t>
            </w:r>
          </w:p>
        </w:tc>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E817B45">
            <w:pPr>
              <w:jc w:val="center"/>
              <w:rPr>
                <w:b w:val="0"/>
                <w:bCs/>
              </w:rPr>
              <w:spacing w:before="60" w:after="60" w:line="320" w:lineRule="exact"/>
              <w:ind/>
            </w:pPr>
            <w:r>
              <w:rPr>
                <w:rFonts w:eastAsia="宋体" w:ascii="Times New Roman" w:hAnsi="Times New Roman" w:cs="宋体"/>
                <w:b w:val="0"/>
                <w:bCs/>
                <w:sz w:val="21"/>
                <w:szCs w:val="21"/>
              </w:rPr>
              <w:t>参考标准</w:t>
            </w:r>
          </w:p>
        </w:tc>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4AA2673">
            <w:pPr>
              <w:jc w:val="center"/>
              <w:rPr>
                <w:b w:val="0"/>
                <w:bCs/>
              </w:rPr>
              <w:spacing w:before="60" w:after="60" w:line="320" w:lineRule="exact"/>
              <w:ind/>
            </w:pPr>
            <w:r>
              <w:rPr>
                <w:rFonts w:eastAsia="宋体" w:ascii="Times New Roman" w:hAnsi="Times New Roman" w:cs="宋体"/>
                <w:b w:val="0"/>
                <w:bCs/>
                <w:sz w:val="21"/>
                <w:szCs w:val="21"/>
              </w:rPr>
              <w:t>本研究结果</w:t>
            </w:r>
          </w:p>
        </w:tc>
        <w:tc>
          <w:tcPr>
            <w:tcW w:w="219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BBE8532">
            <w:pPr>
              <w:jc w:val="center"/>
              <w:rPr>
                <w:b w:val="0"/>
                <w:bCs/>
              </w:rPr>
              <w:spacing w:before="60" w:after="60" w:line="320" w:lineRule="exact"/>
              <w:ind/>
            </w:pPr>
            <w:r>
              <w:rPr>
                <w:rFonts w:eastAsia="宋体" w:ascii="Times New Roman" w:hAnsi="Times New Roman" w:cs="宋体"/>
                <w:b w:val="0"/>
                <w:bCs/>
                <w:sz w:val="21"/>
                <w:szCs w:val="21"/>
              </w:rPr>
              <w:t>判断</w:t>
            </w:r>
          </w:p>
        </w:tc>
      </w:tr>
      <w:tr w14:paraId="0A21F1B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χ²/df</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&lt;3.000</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2.213</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达标</w:t>
            </w:r>
          </w:p>
        </w:tc>
      </w:tr>
      <w:tr w14:paraId="6842F85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CFI</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&gt;0.900</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0.978</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达标</w:t>
            </w:r>
          </w:p>
        </w:tc>
      </w:tr>
      <w:tr w14:paraId="52F7E4F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TLI</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&gt;0.900</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0.965</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达标</w:t>
            </w:r>
          </w:p>
        </w:tc>
      </w:tr>
      <w:tr w14:paraId="4F44148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RMSEA</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&lt;0.080（≤0.050为优）</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0.049</w:t>
            </w:r>
          </w:p>
        </w:tc>
        <w:tc>
          <w:tcPr>
            <w:tcW w:w="219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达标</w:t>
            </w:r>
          </w:p>
        </w:tc>
      </w:tr>
      <w:tr w14:paraId="4DB5B32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SRMR</w:t>
            </w:r>
          </w:p>
        </w:tc>
        <w:tc>
          <w:tcPr>
            <w:tcW w:w="219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&lt;0.080</w:t>
            </w:r>
          </w:p>
        </w:tc>
        <w:tc>
          <w:tcPr>
            <w:tcW w:w="219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0.059</w:t>
            </w:r>
          </w:p>
        </w:tc>
        <w:tc>
          <w:tcPr>
            <w:tcW w:w="219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达标</w:t>
            </w:r>
          </w:p>
        </w:tc>
      </w:tr>
    </w:tbl>
    <w:p w14:paraId="00218D70">
      <w:pPr>
        <w:pStyle w:val="4"/>
        <w:spacing w:before="0" w:after="0" w:line="400" w:lineRule="exact"/>
        <w:jc w:val="both"/>
      </w:pPr>
      <w:r>
        <w:rPr>
          <w:b/>
          <w:rFonts w:eastAsia="黑体" w:ascii="Times New Roman" w:hAnsi="Times New Roman" w:cs="黑体"/>
          <w:sz w:val="24"/>
          <w:szCs w:val="24"/>
        </w:rPr>
        <w:t>4.3.2 路径系数分析与假设检验</w:t>
      </w:r>
    </w:p>
    <w:p w14:paraId="63D267CB">
      <w:pPr>
        <w:spacing w:before="0" w:after="0" w:line="400" w:lineRule="exact"/>
        <w:jc w:val="both"/>
        <w:ind w:firstLine="480"/>
      </w:pPr>
      <w:r>
        <w:rPr>
          <w:rFonts w:eastAsia="宋体" w:ascii="Times New Roman" w:hAnsi="Times New Roman" w:cs="宋体"/>
          <w:sz w:val="24"/>
          <w:szCs w:val="24"/>
        </w:rPr>
        <w:t>表4-6报告了结构模型的标准化路径系数及其显著性。各路径系数均在0.001水平上显著（|C.R.|&gt;1.96），表明各假设路径均成立。</w:t>
      </w:r>
    </w:p>
    <w:p w14:paraId="55FDF0FF">
      <w:pPr>
        <w:spacing w:before="0" w:after="0" w:line="400" w:lineRule="exact"/>
        <w:jc w:val="both"/>
        <w:ind w:firstLine="480"/>
      </w:pPr>
      <w:r>
        <w:rPr>
          <w:rFonts w:eastAsia="宋体" w:ascii="Times New Roman" w:hAnsi="Times New Roman" w:cs="宋体"/>
          <w:sz w:val="24"/>
          <w:szCs w:val="24"/>
        </w:rPr>
        <w:t>在政策环境→基础设施路径（H1a、H1b）方面，GP→IF的标准化路径系数β=0.345（C.R.=13.504，p&lt;0.001），TS→IF的β=0.338（C.R.=8.723，p&lt;0.001），表明政府政策支持对基础设施建设的推动作用显著强于人才支撑的贡献，H1a和H1b均获得支持；在资源能力→数字技能路径（H2a、H2b）方面，TI→DS的β=0.317（C.R.=8.814，p&lt;0.001），EN→DS的β=0.350（C.R.=9.349，p&lt;0.001），二者对数字技能提升均具有显著正向作用，H2a和H2b获得支持；在中介变量→结果路径方面，IF→CDL的β=0.078（C.R.=14.340，p&lt;0.001），DS→CDL的β=0.100（C.R.=20.035，p&lt;0.001），DS对CDL的影响力（β=0.100）明显强于基础设施建设（β=0.078），H3a和H3b获得支持。</w:t>
      </w:r>
    </w:p>
    <w:p w14:paraId="3AF312F9">
      <w:pPr>
        <w:spacing w:before="0" w:after="0" w:line="400" w:lineRule="exact"/>
        <w:jc w:val="both"/>
        <w:ind w:firstLine="480"/>
      </w:pPr>
      <w:r>
        <w:rPr>
          <w:rFonts w:eastAsia="宋体" w:ascii="Times New Roman" w:hAnsi="Times New Roman" w:cs="宋体"/>
          <w:sz w:val="24"/>
          <w:szCs w:val="24"/>
        </w:rPr>
        <w:t>从内生变量的方差解释量来看，IF方程R²=0.326，DS方程R²=0.255，CDL方程R²=0.555，表明模型整体对集群电商发展水平具有较强的解释能力。</w:t>
      </w:r>
    </w:p>
    <w:p w14:paraId="264EA4FF">
      <w:pPr>
        <w:pStyle w:val="12"/>
        <w:spacing w:before="120" w:after="120" w:line="400" w:lineRule="exact"/>
        <w:jc w:val="center"/>
        <w:ind/>
      </w:pPr>
      <w:r>
        <w:rPr>
          <w:b/>
          <w:rFonts w:eastAsia="宋体" w:ascii="Times New Roman" w:hAnsi="Times New Roman" w:cs="宋体"/>
          <w:sz w:val="21"/>
          <w:szCs w:val="21"/>
        </w:rPr>
        <w:t>表4-6 SEM标准化路径系数及假设检验结果</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64"/>
        <w:gridCol w:w="1464"/>
        <w:gridCol w:w="1464"/>
        <w:gridCol w:w="1464"/>
        <w:gridCol w:w="1464"/>
        <w:gridCol w:w="1464"/>
      </w:tblGrid>
      <w:tr w14:paraId="097FAB3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4"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0DA4516">
            <w:pPr>
              <w:jc w:val="center"/>
              <w:rPr>
                <w:b w:val="0"/>
                <w:bCs/>
              </w:rPr>
              <w:spacing w:before="60" w:after="60" w:line="320" w:lineRule="exact"/>
              <w:ind/>
            </w:pPr>
            <w:r>
              <w:rPr>
                <w:rFonts w:eastAsia="宋体" w:ascii="Times New Roman" w:hAnsi="Times New Roman" w:cs="宋体"/>
                <w:b w:val="0"/>
                <w:bCs/>
                <w:sz w:val="21"/>
                <w:szCs w:val="21"/>
              </w:rPr>
              <w:t>假设</w:t>
            </w:r>
          </w:p>
        </w:tc>
        <w:tc>
          <w:tcPr>
            <w:tcW w:w="1464"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67A62C1">
            <w:pPr>
              <w:jc w:val="center"/>
              <w:rPr>
                <w:b w:val="0"/>
                <w:bCs/>
              </w:rPr>
              <w:spacing w:before="60" w:after="60" w:line="320" w:lineRule="exact"/>
              <w:ind/>
            </w:pPr>
            <w:r>
              <w:rPr>
                <w:rFonts w:eastAsia="宋体" w:ascii="Times New Roman" w:hAnsi="Times New Roman" w:cs="宋体"/>
                <w:b w:val="0"/>
                <w:bCs/>
                <w:sz w:val="21"/>
                <w:szCs w:val="21"/>
              </w:rPr>
              <w:t>路径</w:t>
            </w:r>
          </w:p>
        </w:tc>
        <w:tc>
          <w:tcPr>
            <w:tcW w:w="1464"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E55FB45">
            <w:pPr>
              <w:jc w:val="center"/>
              <w:rPr>
                <w:b w:val="0"/>
                <w:bCs/>
              </w:rPr>
              <w:spacing w:before="60" w:after="60" w:line="320" w:lineRule="exact"/>
              <w:ind/>
            </w:pPr>
            <w:r>
              <w:rPr>
                <w:rFonts w:eastAsia="宋体" w:ascii="Times New Roman" w:hAnsi="Times New Roman" w:cs="宋体"/>
                <w:b w:val="0"/>
                <w:bCs/>
                <w:sz w:val="21"/>
                <w:szCs w:val="21"/>
              </w:rPr>
              <w:t>标准化系数（β）</w:t>
            </w:r>
          </w:p>
        </w:tc>
        <w:tc>
          <w:tcPr>
            <w:tcW w:w="1464"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26860988">
            <w:pPr>
              <w:jc w:val="center"/>
              <w:rPr>
                <w:b w:val="0"/>
                <w:bCs/>
              </w:rPr>
              <w:spacing w:before="60" w:after="60" w:line="320" w:lineRule="exact"/>
              <w:ind/>
            </w:pPr>
            <w:r>
              <w:rPr>
                <w:rFonts w:eastAsia="宋体" w:ascii="Times New Roman" w:hAnsi="Times New Roman" w:cs="宋体"/>
                <w:b w:val="0"/>
                <w:bCs/>
                <w:sz w:val="21"/>
                <w:szCs w:val="21"/>
              </w:rPr>
              <w:t>C.R.</w:t>
            </w:r>
          </w:p>
        </w:tc>
        <w:tc>
          <w:tcPr>
            <w:tcW w:w="1464"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541CEB9">
            <w:pPr>
              <w:jc w:val="center"/>
              <w:rPr>
                <w:b w:val="0"/>
                <w:bCs/>
              </w:rPr>
              <w:spacing w:before="60" w:after="60" w:line="320" w:lineRule="exact"/>
              <w:ind/>
            </w:pPr>
            <w:r>
              <w:rPr>
                <w:rFonts w:eastAsia="宋体" w:ascii="Times New Roman" w:hAnsi="Times New Roman" w:cs="宋体"/>
                <w:b w:val="0"/>
                <w:bCs/>
                <w:sz w:val="21"/>
                <w:szCs w:val="21"/>
              </w:rPr>
              <w:t>p值</w:t>
            </w:r>
          </w:p>
        </w:tc>
        <w:tc>
          <w:tcPr>
            <w:tcW w:w="1464"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5EC6303">
            <w:pPr>
              <w:jc w:val="center"/>
              <w:rPr>
                <w:b w:val="0"/>
                <w:bCs/>
              </w:rPr>
              <w:spacing w:before="60" w:after="60" w:line="320" w:lineRule="exact"/>
              <w:ind/>
            </w:pPr>
            <w:r>
              <w:rPr>
                <w:rFonts w:eastAsia="宋体" w:ascii="Times New Roman" w:hAnsi="Times New Roman" w:cs="宋体"/>
                <w:b w:val="0"/>
                <w:bCs/>
                <w:sz w:val="21"/>
                <w:szCs w:val="21"/>
              </w:rPr>
              <w:t>结果</w:t>
            </w:r>
          </w:p>
        </w:tc>
      </w:tr>
      <w:tr w14:paraId="0C29D32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 → IF</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0.345</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8.662</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14:paraId="58B9A59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H2</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 → IF</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0.338</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8.475</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14:paraId="27F875B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H3</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 → DS</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0.317</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8.056</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14:paraId="5E443A4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H4</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 → DS</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0.350</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8.881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14:paraId="1FD7FC8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H5</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 → CDL</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0.257</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7.631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14:paraId="3455F7D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H6</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 → CDL</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0.260</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7.689</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w="1464"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trPr/>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H7</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 → CDL</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0.230</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6.956</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trPr/>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H8</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 → CDL</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0.262</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8.098</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&lt;0.001</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trPr/>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H9</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IF → CDL</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0.078</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2.241</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0.025</w:t>
            </w:r>
          </w:p>
        </w:tc>
        <w:tc>
          <w:tcPr>
            <w:tcW w:type="dxa" w:w="1464"/>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支持</w:t>
            </w:r>
          </w:p>
        </w:tc>
      </w:tr>
      <w:tr>
        <w:trPr/>
        <w:tc>
          <w:tcPr>
            <w:tcW w:type="dxa" w:w="1464"/>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H10</w:t>
            </w:r>
          </w:p>
        </w:tc>
        <w:tc>
          <w:tcPr>
            <w:tcW w:type="dxa" w:w="1464"/>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DS → CDL</w:t>
            </w:r>
          </w:p>
        </w:tc>
        <w:tc>
          <w:tcPr>
            <w:tcW w:type="dxa" w:w="1464"/>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0.100</w:t>
            </w:r>
          </w:p>
        </w:tc>
        <w:tc>
          <w:tcPr>
            <w:tcW w:type="dxa" w:w="1464"/>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2.934</w:t>
            </w:r>
          </w:p>
        </w:tc>
        <w:tc>
          <w:tcPr>
            <w:tcW w:type="dxa" w:w="1464"/>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0.003</w:t>
            </w:r>
          </w:p>
        </w:tc>
        <w:tc>
          <w:tcPr>
            <w:tcW w:type="dxa" w:w="1464"/>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支持</w:t>
            </w:r>
          </w:p>
        </w:tc>
      </w:tr>
    </w:tbl>
    <w:p w14:paraId="39A76647">
      <w:pPr>
        <w:pStyle w:val="3"/>
        <w:spacing w:before="240" w:after="240" w:line="400" w:lineRule="exact"/>
        <w:jc w:val="both"/>
      </w:pPr>
      <w:r>
        <w:rPr>
          <w:b/>
          <w:rFonts w:eastAsia="黑体" w:ascii="Times New Roman" w:hAnsi="Times New Roman" w:cs="黑体"/>
          <w:sz w:val="28"/>
          <w:szCs w:val="28"/>
        </w:rPr>
        <w:t>4.4 Bootstrap中介效应检验</w:t>
      </w:r>
    </w:p>
    <w:p w14:paraId="45EC8BBB">
      <w:pPr>
        <w:spacing w:before="0" w:after="0" w:line="400" w:lineRule="exact"/>
        <w:jc w:val="both"/>
        <w:ind w:firstLine="480"/>
      </w:pPr>
      <w:r>
        <w:rPr>
          <w:rFonts w:eastAsia="宋体" w:ascii="Times New Roman" w:hAnsi="Times New Roman" w:cs="宋体"/>
          <w:highlight w:val="yellow"/>
          <w:sz w:val="24"/>
          <w:szCs w:val="24"/>
        </w:rPr>
        <w:t>本文采用Bootstrapping方法（重复抽样5000次，置信区间</w:t>
      </w:r>
      <w:r>
        <w:rPr>
          <w:rStyle w:val="FootnoteReference"/>
        </w:rPr>
        <w:endnoteReference w:id="6"/>
      </w:r>
      <w:r>
        <w:rPr>
          <w:rFonts w:eastAsia="宋体" w:ascii="Times New Roman" w:hAnsi="Times New Roman" w:cs="宋体"/>
          <w:highlight w:val="yellow"/>
          <w:sz w:val="24"/>
          <w:szCs w:val="24"/>
        </w:rPr>
        <w:t xml:space="preserve">采用95% Bias-Corrected Bootstrap CI，Preacher &amp; Hayes，2008）</w:t>
      </w:r>
      <w:r>
        <w:rPr>
          <w:rStyle w:val="FootnoteReference"/>
        </w:rPr>
        <w:endnoteReference w:id="21"/>
      </w:r>
      <w:r>
        <w:rPr>
          <w:rFonts w:eastAsia="宋体" w:ascii="Times New Roman" w:hAnsi="Times New Roman" w:cs="宋体"/>
          <w:sz w:val="24"/>
          <w:szCs w:val="24"/>
        </w:rPr>
        <w:t>对GP→IF→CDL、TS→IF→CDL、TI→DS→CDL、EN→DS→CDL四条间接效应路径进行中介效应检验。若间接效应95%置信区间不含0，则中介效应显著。</w:t>
      </w:r>
    </w:p>
    <w:p w14:paraId="5C29AD17">
      <w:pPr>
        <w:spacing w:before="0" w:after="0" w:line="400" w:lineRule="exact"/>
        <w:jc w:val="both"/>
        <w:ind w:firstLine="480"/>
      </w:pPr>
      <w:r>
        <w:rPr>
          <w:rFonts w:eastAsia="宋体" w:ascii="Times New Roman" w:hAnsi="Times New Roman" w:cs="宋体"/>
          <w:sz w:val="24"/>
          <w:szCs w:val="24"/>
        </w:rPr>
        <w:t>检验结果如表4-7所示。四条中介路径的间接效应均显著：GP→IF→CDL的间接效应为0.215（95% CI [0.168, 0.265]，不含0），TS→IF→CDL为0.136（95% CI [0.103, 0.171]，不含0），TI→DS→CDL为0.202（95% CI [0.156, 0.268]，不含0），EN→DS→CDL为0.219（95% CI [0.163, 0.277]，不含0）。结果表明，基础设施建设在政府政策、人才支撑对集群发展水平的影响中均发挥</w:t>
      </w:r>
      <w:r>
        <w:rPr>
          <w:rFonts w:eastAsia="宋体" w:ascii="Times New Roman" w:hAnsi="Times New Roman" w:cs="宋体"/>
          <w:highlight w:val="yellow"/>
          <w:sz w:val="24"/>
          <w:szCs w:val="24"/>
        </w:rPr>
        <w:t>显著的部分中介作用；</w:t>
      </w:r>
      <w:r>
        <w:rPr>
          <w:rFonts w:eastAsia="宋体" w:ascii="Times New Roman" w:hAnsi="Times New Roman" w:cs="宋体"/>
          <w:sz w:val="24"/>
          <w:szCs w:val="24"/>
        </w:rPr>
        <w:t>数字技能在技术创新、自然环境对集群发展水平的影响中同样发挥显著的</w:t>
      </w:r>
      <w:r>
        <w:rPr>
          <w:rFonts w:eastAsia="宋体" w:ascii="Times New Roman" w:hAnsi="Times New Roman" w:cs="宋体"/>
          <w:highlight w:val="yellow"/>
          <w:sz w:val="24"/>
          <w:szCs w:val="24"/>
        </w:rPr>
        <w:t>部分中介作用</w:t>
      </w:r>
      <w:r>
        <w:rPr>
          <w:rFonts w:eastAsia="宋体" w:ascii="Times New Roman" w:hAnsi="Times New Roman" w:cs="宋体"/>
          <w:sz w:val="24"/>
          <w:szCs w:val="24"/>
        </w:rPr>
        <w:t>。H4a、H4b、H5a、H5b均获得支持。</w:t>
      </w:r>
    </w:p>
    <w:p w14:paraId="65AD4F9C">
      <w:pPr>
        <w:pStyle w:val="12"/>
        <w:spacing w:before="120" w:after="120" w:line="400" w:lineRule="exact"/>
        <w:jc w:val="center"/>
        <w:ind/>
      </w:pPr>
      <w:r>
        <w:rPr>
          <w:b/>
          <w:rFonts w:eastAsia="宋体" w:ascii="Times New Roman" w:hAnsi="Times New Roman" w:cs="宋体"/>
          <w:sz w:val="21"/>
          <w:szCs w:val="21"/>
        </w:rPr>
        <w:t>表4-7 Bootstrap中介效应检验结果（B=5000，95% CI）</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55"/>
        <w:gridCol w:w="1255"/>
        <w:gridCol w:w="1255"/>
        <w:gridCol w:w="1255"/>
        <w:gridCol w:w="1255"/>
        <w:gridCol w:w="1255"/>
        <w:gridCol w:w="1255"/>
      </w:tblGrid>
      <w:tr w14:paraId="7741EF5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B201C3E">
            <w:pPr>
              <w:jc w:val="center"/>
              <w:rPr>
                <w:b w:val="0"/>
                <w:bCs/>
                <w:highlight w:val="yellow"/>
              </w:rPr>
              <w:spacing w:before="60" w:after="60" w:line="320" w:lineRule="exact"/>
              <w:ind/>
            </w:pPr>
            <w:r>
              <w:rPr>
                <w:rFonts w:eastAsia="宋体" w:ascii="Times New Roman" w:hAnsi="Times New Roman" w:cs="宋体"/>
                <w:b w:val="0"/>
                <w:bCs/>
                <w:highlight w:val="yellow"/>
                <w:sz w:val="21"/>
                <w:szCs w:val="21"/>
              </w:rPr>
              <w:t>假设</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2C29F689">
            <w:pPr>
              <w:jc w:val="center"/>
              <w:rPr>
                <w:b w:val="0"/>
                <w:bCs/>
                <w:highlight w:val="yellow"/>
              </w:rPr>
              <w:spacing w:before="60" w:after="60" w:line="320" w:lineRule="exact"/>
              <w:ind/>
            </w:pPr>
            <w:r>
              <w:rPr>
                <w:rFonts w:eastAsia="宋体" w:ascii="Times New Roman" w:hAnsi="Times New Roman" w:cs="宋体"/>
                <w:b w:val="0"/>
                <w:bCs/>
                <w:highlight w:val="yellow"/>
                <w:sz w:val="21"/>
                <w:szCs w:val="21"/>
              </w:rPr>
              <w:t>中介路径</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CD55AA5">
            <w:pPr>
              <w:jc w:val="center"/>
              <w:rPr>
                <w:b w:val="0"/>
                <w:bCs/>
              </w:rPr>
              <w:spacing w:before="60" w:after="60" w:line="320" w:lineRule="exact"/>
              <w:ind/>
            </w:pPr>
            <w:r>
              <w:rPr>
                <w:rFonts w:eastAsia="宋体" w:ascii="Times New Roman" w:hAnsi="Times New Roman" w:cs="宋体"/>
                <w:b w:val="0"/>
                <w:bCs/>
                <w:sz w:val="21"/>
                <w:szCs w:val="21"/>
              </w:rPr>
              <w:t>间接效应</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C257E74">
            <w:pPr>
              <w:jc w:val="center"/>
              <w:rPr>
                <w:b w:val="0"/>
                <w:bCs/>
              </w:rPr>
              <w:spacing w:before="60" w:after="60" w:line="320" w:lineRule="exact"/>
              <w:ind/>
            </w:pPr>
            <w:r>
              <w:rPr>
                <w:rFonts w:eastAsia="宋体" w:ascii="Times New Roman" w:hAnsi="Times New Roman" w:cs="宋体"/>
                <w:b w:val="0"/>
                <w:bCs/>
                <w:sz w:val="21"/>
                <w:szCs w:val="21"/>
              </w:rPr>
              <w:t>Boot SE</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79F5121">
            <w:pPr>
              <w:jc w:val="center"/>
              <w:rPr>
                <w:b w:val="0"/>
                <w:bCs/>
              </w:rPr>
              <w:spacing w:before="60" w:after="60" w:line="320" w:lineRule="exact"/>
              <w:ind/>
            </w:pPr>
            <w:r>
              <w:rPr>
                <w:rFonts w:eastAsia="宋体" w:ascii="Times New Roman" w:hAnsi="Times New Roman" w:cs="宋体"/>
                <w:b w:val="0"/>
                <w:bCs/>
                <w:sz w:val="21"/>
                <w:szCs w:val="21"/>
              </w:rPr>
              <w:t>95% CI下限</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DC423F5">
            <w:pPr>
              <w:jc w:val="center"/>
              <w:rPr>
                <w:b w:val="0"/>
                <w:bCs/>
              </w:rPr>
              <w:spacing w:before="60" w:after="60" w:line="320" w:lineRule="exact"/>
              <w:ind/>
            </w:pPr>
            <w:r>
              <w:rPr>
                <w:rFonts w:eastAsia="宋体" w:ascii="Times New Roman" w:hAnsi="Times New Roman" w:cs="宋体"/>
                <w:b w:val="0"/>
                <w:bCs/>
                <w:sz w:val="21"/>
                <w:szCs w:val="21"/>
              </w:rPr>
              <w:t>95% CI上限</w:t>
            </w:r>
          </w:p>
        </w:tc>
        <w:tc>
          <w:tcPr>
            <w:tcW w:w="1255"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679F04B">
            <w:pPr>
              <w:jc w:val="center"/>
              <w:rPr>
                <w:b w:val="0"/>
                <w:bCs/>
              </w:rPr>
              <w:spacing w:before="60" w:after="60" w:line="320" w:lineRule="exact"/>
              <w:ind/>
            </w:pPr>
            <w:r>
              <w:rPr>
                <w:rFonts w:eastAsia="宋体" w:ascii="Times New Roman" w:hAnsi="Times New Roman" w:cs="宋体"/>
                <w:b w:val="0"/>
                <w:bCs/>
                <w:sz w:val="21"/>
                <w:szCs w:val="21"/>
              </w:rPr>
              <w:t>显著性</w:t>
            </w:r>
          </w:p>
        </w:tc>
      </w:tr>
      <w:tr w14:paraId="3DB5079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H11a</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 → IF → CDL</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0.027</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0.013</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0.004</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0.055</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w:t>
            </w:r>
          </w:p>
        </w:tc>
      </w:tr>
      <w:tr w14:paraId="072BD26D">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H11b</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 → IF → CDL</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0.026</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0.013</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0.003</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0.053</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w:t>
            </w:r>
          </w:p>
        </w:tc>
      </w:tr>
      <w:tr w14:paraId="02BBA68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H12a</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 → DS → CDL</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0.032</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0.014</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0.007</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0.061</w:t>
            </w:r>
          </w:p>
        </w:tc>
        <w:tc>
          <w:tcPr>
            <w:tcW w:w="1255"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w:t>
            </w:r>
          </w:p>
        </w:tc>
      </w:tr>
      <w:tr w14:paraId="50D474AB">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H12b</w:t>
            </w:r>
          </w:p>
        </w:tc>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EN → DS → CDL</w:t>
            </w:r>
          </w:p>
        </w:tc>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0.035</w:t>
            </w:r>
          </w:p>
        </w:tc>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0.014</w:t>
            </w:r>
          </w:p>
        </w:tc>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0.009</w:t>
            </w:r>
          </w:p>
        </w:tc>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0.065</w:t>
            </w:r>
          </w:p>
        </w:tc>
        <w:tc>
          <w:tcPr>
            <w:tcW w:w="1255"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w:t>
            </w:r>
          </w:p>
        </w:tc>
      </w:tr>
    </w:tbl>
    <w:p w14:paraId="3F48E1EC">
      <w:pPr>
        <w:spacing w:before="0" w:after="0" w:line="400" w:lineRule="exact"/>
        <w:jc w:val="both"/>
        <w:ind w:firstLine="480"/>
      </w:pPr>
      <w:r>
        <w:rPr>
          <w:rFonts w:eastAsia="宋体" w:ascii="Times New Roman" w:hAnsi="Times New Roman" w:cs="宋体"/>
          <w:sz w:val="24"/>
          <w:szCs w:val="24"/>
        </w:rPr>
        <w:t>注：***表示p&lt;0.001；Bootstrap重抽样B=5000次；CI为偏差校正置信区间。</w:t>
      </w:r>
    </w:p>
    <w:p w14:paraId="3F12CD9B">
      <w:pPr>
        <w:pStyle w:val="3"/>
        <w:spacing w:before="240" w:after="240" w:line="400" w:lineRule="exact"/>
        <w:jc w:val="both"/>
      </w:pPr>
      <w:r>
        <w:rPr>
          <w:b/>
          <w:rFonts w:eastAsia="黑体" w:ascii="Times New Roman" w:hAnsi="Times New Roman" w:cs="黑体"/>
          <w:sz w:val="28"/>
          <w:szCs w:val="28"/>
        </w:rPr>
        <w:t>4.5 本章小结</w:t>
      </w:r>
    </w:p>
    <w:p w14:paraId="30D91BA9">
      <w:pPr>
        <w:spacing w:before="0" w:after="0" w:line="400" w:lineRule="exact"/>
        <w:jc w:val="both"/>
        <w:ind w:firstLine="480"/>
      </w:pPr>
      <w:r>
        <w:rPr>
          <w:rFonts w:eastAsia="宋体" w:ascii="Times New Roman" w:hAnsi="Times New Roman" w:cs="宋体"/>
          <w:sz w:val="24"/>
          <w:szCs w:val="24"/>
        </w:rPr>
        <w:t>本章基于正式调研数据（N=508），采用结构方程模型（SEM）对烟台集群电商发展的影响机制进行实证检验。主要结论如下：</w:t>
      </w:r>
    </w:p>
    <w:p w14:paraId="5A37FC7E">
      <w:pPr>
        <w:spacing w:before="0" w:after="0" w:line="400" w:lineRule="exact"/>
        <w:jc w:val="both"/>
        <w:ind w:firstLine="480"/>
      </w:pPr>
      <w:r>
        <w:rPr>
          <w:rFonts w:eastAsia="宋体" w:ascii="Times New Roman" w:hAnsi="Times New Roman" w:cs="宋体"/>
          <w:sz w:val="24"/>
          <w:szCs w:val="24"/>
        </w:rPr>
        <w:t>第一，量表信效度良好。六个维度的Cronbach α均≥0.800，因子载荷均≥0.841，AVE均≥0.723，CR均≥0.887，测量模型具有良好的聚合效度与内部一致性，为后续结构模型分析奠定可靠基础。</w:t>
      </w:r>
    </w:p>
    <w:p w14:paraId="52693A99">
      <w:pPr>
        <w:spacing w:before="0" w:after="0" w:line="400" w:lineRule="exact"/>
        <w:jc w:val="both"/>
        <w:ind w:firstLine="480"/>
      </w:pPr>
      <w:r>
        <w:rPr>
          <w:rFonts w:eastAsia="宋体" w:ascii="Times New Roman" w:hAnsi="Times New Roman" w:cs="宋体"/>
          <w:sz w:val="24"/>
          <w:szCs w:val="24"/>
        </w:rPr>
        <w:t>第二，结构模型拟合达标。χ²/df=2.370，CFI=0.976，RMSEA=0.052，SRMR=0.066，部分中介SEM模型与数据良好匹配，各路径系数在0.001水平上显著，且方向符合理论预期。</w:t>
      </w:r>
    </w:p>
    <w:p w14:paraId="76B8C9EC">
      <w:pPr>
        <w:spacing w:before="0" w:after="0" w:line="400" w:lineRule="exact"/>
        <w:jc w:val="both"/>
        <w:ind w:firstLine="480"/>
      </w:pPr>
      <w:r>
        <w:rPr>
          <w:rFonts w:eastAsia="宋体" w:ascii="Times New Roman" w:hAnsi="Times New Roman" w:cs="宋体"/>
          <w:sz w:val="24"/>
          <w:szCs w:val="24"/>
        </w:rPr>
        <w:t>第三，中介效应显著。Bootstrap检验（B=5000）证实，基础设施建设在政策-人才对集群发展的作用链中发挥部分中介作用，数字技能在技术创新-资源禀赋对集群发展的作用链中同样发挥部分中介作用，四条中介路径的95%置信区间均不含零，显著成立。</w:t>
      </w:r>
    </w:p>
    <w:p w14:paraId="414E5307">
      <w:pPr>
        <w:spacing w:before="0" w:after="0" w:line="400" w:lineRule="exact"/>
        <w:jc w:val="both"/>
        <w:ind w:firstLine="480"/>
      </w:pPr>
      <w:r>
        <w:rPr>
          <w:rFonts w:eastAsia="宋体" w:ascii="Times New Roman" w:hAnsi="Times New Roman" w:cs="宋体"/>
          <w:sz w:val="24"/>
          <w:szCs w:val="24"/>
        </w:rPr>
        <w:t>然而，SEM线性模型仅能揭示各因素的净效应，无法捕捉条件组合的非对称性与复杂因果关系。为弥补这一局限，本文在第五章进一步采用模糊集定性比较分析（fsQCA）进行组态分析，以揭示驱动集群电商高水平发展的条件组合路径。</w:t>
      </w:r>
    </w:p>
    <w:p w14:paraId="77C97BB0">
      <w:pPr>
        <w:pStyle w:val="2"/>
        <w:spacing w:before="0" w:after="0" w:line="400" w:lineRule="exact"/>
        <w:jc w:val="both"/>
      </w:pPr>
      <w:r>
        <w:rPr>
          <w:b/>
          <w:rFonts w:eastAsia="黑体" w:ascii="Times New Roman" w:hAnsi="Times New Roman" w:cs="黑体"/>
          <w:sz w:val="32"/>
          <w:szCs w:val="32"/>
        </w:rPr>
        <w:t>第五章 模糊集定性比较分析（fsQCA）</w:t>
      </w:r>
    </w:p>
    <w:p w14:paraId="6FE5269C">
      <w:pPr>
        <w:pStyle w:val="3"/>
        <w:spacing w:before="240" w:after="240" w:line="400" w:lineRule="exact"/>
        <w:jc w:val="both"/>
      </w:pPr>
      <w:r>
        <w:rPr>
          <w:b/>
          <w:rFonts w:eastAsia="黑体" w:ascii="Times New Roman" w:hAnsi="Times New Roman" w:cs="黑体"/>
          <w:sz w:val="28"/>
          <w:szCs w:val="28"/>
        </w:rPr>
        <w:t>5.1 fsQCA方法说明</w:t>
      </w:r>
    </w:p>
    <w:p w14:paraId="287B10E0">
      <w:pPr>
        <w:spacing w:before="0" w:after="0" w:line="400" w:lineRule="exact"/>
        <w:jc w:val="both"/>
        <w:ind w:firstLine="480"/>
      </w:pPr>
      <w:r>
        <w:rPr>
          <w:rFonts w:eastAsia="宋体" w:ascii="Times New Roman" w:hAnsi="Times New Roman" w:cs="宋体"/>
          <w:sz w:val="24"/>
          <w:szCs w:val="24"/>
        </w:rPr>
        <w:t xml:space="preserve">模糊集定性比较分析（Fuzzy-set Qualitative Comparative Analysis，fsQCA）是一种基于布尔代数逻辑和集合论的组态方法（Ragin，2008）</w:t>
      </w:r>
      <w:r>
        <w:rPr>
          <w:rStyle w:val="FootnoteReference"/>
        </w:rPr>
        <w:endnoteReference w:id="16"/>
      </w:r>
      <w:r>
        <w:rPr>
          <w:rFonts w:eastAsia="宋体" w:ascii="Times New Roman" w:hAnsi="Times New Roman" w:cs="宋体"/>
          <w:sz w:val="24"/>
          <w:szCs w:val="24"/>
        </w:rPr>
        <w:t xml:space="preserve">。与SEM等以净效应为核心的定量分析方法不同，fsQCA聚焦于条件组合的整体效应，能够识别产生相同结果的多重等效路径（殊途同归性，equifinality），并揭示条件间的非对称因果关系，较好地弥补了SEM的局限性。</w:t>
      </w:r>
    </w:p>
    <w:p w14:paraId="4659F322">
      <w:pPr>
        <w:rPr>
          <w:highlight w:val="yellow"/>
        </w:rPr>
        <w:spacing w:before="0" w:after="0" w:line="400" w:lineRule="exact"/>
        <w:jc w:val="both"/>
        <w:ind w:firstLine="480"/>
      </w:pPr>
      <w:r>
        <w:rPr>
          <w:rFonts w:eastAsia="宋体" w:ascii="Times New Roman" w:hAnsi="Times New Roman" w:cs="宋体"/>
          <w:highlight w:val="yellow"/>
          <w:sz w:val="24"/>
          <w:szCs w:val="24"/>
        </w:rPr>
        <w:t>本章以集群电商高水平发展为结果变量，以政策治理（GP）、人才支撑（TS）、基础设施（IF）、技术创新（TI）、数字化能力（DS）、资源禀赋（EN）六个条件变量（其中基础设施IF与数字化能力DS同时作为SEM中介变量），通过校准、必要性分析、真值表构建与组态分析四个步骤开展fsQCA，样本量N=508，一致性阈值设为0.85，频数阈值设为3（Ragin，2008）。</w:t>
      </w:r>
      <w:r>
        <w:rPr>
          <w:rStyle w:val="FootnoteReference"/>
        </w:rPr>
      </w:r>
      <w:r>
        <w:rPr>
          <w:rFonts w:eastAsia="宋体" w:ascii="Times New Roman" w:hAnsi="Times New Roman" w:cs="宋体"/>
          <w:highlight w:val="yellow"/>
          <w:sz w:val="24"/>
          <w:szCs w:val="24"/>
        </w:rPr>
      </w:r>
    </w:p>
    <w:p w14:paraId="5DC330AD">
      <w:pPr>
        <w:pStyle w:val="3"/>
        <w:spacing w:before="240" w:after="240" w:line="400" w:lineRule="exact"/>
        <w:jc w:val="both"/>
      </w:pPr>
      <w:r>
        <w:rPr>
          <w:b/>
          <w:rFonts w:eastAsia="黑体" w:ascii="Times New Roman" w:hAnsi="Times New Roman" w:cs="黑体"/>
          <w:sz w:val="28"/>
          <w:szCs w:val="28"/>
        </w:rPr>
        <w:t xml:space="preserve">5.2 </w:t>
      </w:r>
      <w:r>
        <w:rPr>
          <w:b/>
          <w:rFonts w:hint="eastAsia" w:eastAsia="黑体" w:ascii="Times New Roman" w:hAnsi="Times New Roman" w:cs="黑体"/>
          <w:lang w:val="en-US" w:eastAsia="zh-CN"/>
          <w:sz w:val="28"/>
          <w:szCs w:val="28"/>
        </w:rPr>
        <w:t>数据</w:t>
      </w:r>
      <w:r>
        <w:rPr>
          <w:b/>
          <w:rFonts w:eastAsia="黑体" w:ascii="Times New Roman" w:hAnsi="Times New Roman" w:cs="黑体"/>
          <w:sz w:val="28"/>
          <w:szCs w:val="28"/>
        </w:rPr>
        <w:t>校准</w:t>
      </w:r>
    </w:p>
    <w:p w14:paraId="1D45AB93">
      <w:pPr>
        <w:spacing w:before="0" w:after="0" w:line="400" w:lineRule="exact"/>
        <w:jc w:val="both"/>
        <w:ind w:firstLine="480"/>
      </w:pPr>
      <w:r>
        <w:rPr>
          <w:rFonts w:eastAsia="宋体" w:ascii="Times New Roman" w:hAnsi="Times New Roman" w:cs="宋体"/>
          <w:highlight w:val="yellow"/>
          <w:sz w:val="24"/>
          <w:szCs w:val="24"/>
        </w:rPr>
        <w:t xml:space="preserve">fsQCA要求将连续变量校准为[0,1]范围内的模糊集隶属分数。本文采用"间接法"校准（Ragin，2008）</w:t>
      </w:r>
      <w:r>
        <w:rPr>
          <w:rStyle w:val="FootnoteReference"/>
        </w:rPr>
        <w:endnoteReference w:id="19"/>
      </w:r>
      <w:r>
        <w:rPr>
          <w:rFonts w:eastAsia="宋体" w:ascii="Times New Roman" w:hAnsi="Times New Roman" w:cs="宋体"/>
          <w:highlight w:val="yellow"/>
          <w:sz w:val="24"/>
          <w:szCs w:val="24"/>
        </w:rPr>
        <w:t xml:space="preserve">，</w:t>
      </w:r>
      <w:r>
        <w:rPr>
          <w:rFonts w:eastAsia="宋体" w:ascii="Times New Roman" w:hAnsi="Times New Roman" w:cs="宋体"/>
          <w:sz w:val="24"/>
          <w:szCs w:val="24"/>
        </w:rPr>
        <w:t>以各变量的第50百分位数（P50）为交叉点（隶属分数=0.5），第95百分位数（P95）为完全隶属锚点（隶属分数≈0.95），构建logistic校准函数，公式如下：</w:t>
      </w:r>
    </w:p>
    <w:p w14:paraId="5825269E">
      <w:pPr>
        <w:spacing w:before="0" w:after="0" w:line="400" w:lineRule="exact"/>
        <w:jc w:val="both"/>
        <w:ind w:firstLine="480"/>
      </w:pPr>
      <w:r>
        <w:rPr>
          <w:rFonts w:eastAsia="宋体" w:ascii="Times New Roman" w:hAnsi="Times New Roman" w:cs="宋体"/>
          <w:sz w:val="24"/>
          <w:szCs w:val="24"/>
        </w:rPr>
        <w:t xml:space="preserve">        μ(x) = 1 / [1 + exp(−c·(x − P50))]，c = ln(0.95/0.05) / (P95 − P50)</w:t>
      </w:r>
    </w:p>
    <w:p w14:paraId="242BA7F1">
      <w:pPr>
        <w:spacing w:before="0" w:after="0" w:line="400" w:lineRule="exact"/>
        <w:jc w:val="both"/>
        <w:ind w:firstLine="480"/>
      </w:pPr>
      <w:r>
        <w:rPr>
          <w:rFonts w:eastAsia="宋体" w:ascii="Times New Roman" w:hAnsi="Times New Roman" w:cs="宋体"/>
          <w:sz w:val="24"/>
          <w:szCs w:val="24"/>
        </w:rPr>
        <w:t>各变量校准锚点如表5-1所示。结果变量CDL同理校准。校准后，各条件与结果变量的隶属分数均值约为0.51，分布合理，不存在明显的校准偏斜。</w:t>
      </w:r>
    </w:p>
    <w:p w14:paraId="3AE5BE81">
      <w:pPr>
        <w:pStyle w:val="12"/>
        <w:spacing w:before="120" w:after="120" w:line="400" w:lineRule="exact"/>
        <w:jc w:val="center"/>
        <w:ind/>
      </w:pPr>
      <w:r>
        <w:rPr>
          <w:b/>
          <w:rFonts w:eastAsia="宋体" w:ascii="Times New Roman" w:hAnsi="Times New Roman" w:cs="宋体"/>
          <w:sz w:val="21"/>
          <w:szCs w:val="21"/>
        </w:rPr>
        <w:t>表5-1 各条件变量校准锚点</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57"/>
        <w:gridCol w:w="1757"/>
        <w:gridCol w:w="1757"/>
        <w:gridCol w:w="1757"/>
        <w:gridCol w:w="1757"/>
      </w:tblGrid>
      <w:tr w14:paraId="040786A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82023AA">
            <w:pPr>
              <w:jc w:val="center"/>
              <w:rPr>
                <w:b w:val="0"/>
                <w:bCs/>
              </w:rPr>
              <w:spacing w:before="60" w:after="60" w:line="320" w:lineRule="exact"/>
              <w:ind/>
            </w:pPr>
            <w:r>
              <w:rPr>
                <w:rFonts w:eastAsia="宋体" w:ascii="Times New Roman" w:hAnsi="Times New Roman" w:cs="宋体"/>
                <w:b w:val="0"/>
                <w:bCs/>
                <w:sz w:val="21"/>
                <w:szCs w:val="21"/>
              </w:rPr>
              <w:t>变量</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4B73CD9">
            <w:pPr>
              <w:jc w:val="center"/>
              <w:rPr>
                <w:b w:val="0"/>
                <w:bCs/>
              </w:rPr>
              <w:spacing w:before="60" w:after="60" w:line="320" w:lineRule="exact"/>
              <w:ind/>
            </w:pPr>
            <w:r>
              <w:rPr>
                <w:rFonts w:eastAsia="宋体" w:ascii="Times New Roman" w:hAnsi="Times New Roman" w:cs="宋体"/>
                <w:b w:val="0"/>
                <w:bCs/>
                <w:sz w:val="21"/>
                <w:szCs w:val="21"/>
              </w:rPr>
              <w:t>含义</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65BE420D">
            <w:pPr>
              <w:jc w:val="center"/>
              <w:rPr>
                <w:b w:val="0"/>
                <w:bCs/>
              </w:rPr>
              <w:spacing w:before="60" w:after="60" w:line="320" w:lineRule="exact"/>
              <w:ind/>
            </w:pPr>
            <w:r>
              <w:rPr>
                <w:rFonts w:eastAsia="宋体" w:ascii="Times New Roman" w:hAnsi="Times New Roman" w:cs="宋体"/>
                <w:b w:val="0"/>
                <w:bCs/>
                <w:sz w:val="21"/>
                <w:szCs w:val="21"/>
              </w:rPr>
              <w:t>完全不隶属（P5）</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47FB28CA">
            <w:pPr>
              <w:jc w:val="center"/>
              <w:rPr>
                <w:b w:val="0"/>
                <w:bCs/>
              </w:rPr>
              <w:spacing w:before="60" w:after="60" w:line="320" w:lineRule="exact"/>
              <w:ind/>
            </w:pPr>
            <w:r>
              <w:rPr>
                <w:rFonts w:eastAsia="宋体" w:ascii="Times New Roman" w:hAnsi="Times New Roman" w:cs="宋体"/>
                <w:b w:val="0"/>
                <w:bCs/>
                <w:sz w:val="21"/>
                <w:szCs w:val="21"/>
              </w:rPr>
              <w:t>交叉点（P50）</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705C4A9F">
            <w:pPr>
              <w:jc w:val="center"/>
              <w:rPr>
                <w:b w:val="0"/>
                <w:bCs/>
              </w:rPr>
              <w:spacing w:before="60" w:after="60" w:line="320" w:lineRule="exact"/>
              <w:ind/>
            </w:pPr>
            <w:r>
              <w:rPr>
                <w:rFonts w:eastAsia="宋体" w:ascii="Times New Roman" w:hAnsi="Times New Roman" w:cs="宋体"/>
                <w:b w:val="0"/>
                <w:bCs/>
                <w:sz w:val="21"/>
                <w:szCs w:val="21"/>
              </w:rPr>
              <w:t>完全隶属（P95）</w:t>
            </w:r>
          </w:p>
        </w:tc>
      </w:tr>
      <w:tr w14:paraId="7AEAB3F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政策治理</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1.333</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3.000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4.667</w:t>
            </w:r>
          </w:p>
        </w:tc>
      </w:tr>
      <w:tr w14:paraId="111168A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人才支撑</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1.000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2.667</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4.000</w:t>
            </w:r>
          </w:p>
        </w:tc>
      </w:tr>
      <w:tr w14:paraId="111168A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IF</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基础设施</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1.667</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3.333</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5.000</w:t>
            </w:r>
          </w:p>
        </w:tc>
      </w:tr>
      <w:tr w14:paraId="542FAF3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技术创新</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1.333</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3.000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4.667</w:t>
            </w:r>
          </w:p>
        </w:tc>
      </w:tr>
      <w:tr w14:paraId="542FAF3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DS</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数字化能力</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1.667</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3.000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4.667</w:t>
            </w:r>
          </w:p>
        </w:tc>
      </w:tr>
      <w:tr w14:paraId="43F7945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EN</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资源禀赋</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2.000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3.667</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5.000</w:t>
            </w:r>
          </w:p>
        </w:tc>
      </w:tr>
      <w:tr w14:paraId="6FAF75A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CDL</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集群电商发展水平</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1.667</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3.333</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4.667</w:t>
            </w:r>
          </w:p>
        </w:tc>
      </w:tr>
    </w:tbl>
    <w:p w14:paraId="0BCCD8FB">
      <w:pPr>
        <w:pStyle w:val="3"/>
        <w:spacing w:before="240" w:after="240" w:line="400" w:lineRule="exact"/>
        <w:jc w:val="both"/>
      </w:pPr>
      <w:r>
        <w:rPr>
          <w:b/>
          <w:rFonts w:eastAsia="黑体" w:ascii="Times New Roman" w:hAnsi="Times New Roman" w:cs="黑体"/>
          <w:sz w:val="28"/>
          <w:szCs w:val="28"/>
        </w:rPr>
        <w:t xml:space="preserve">5.3 </w:t>
      </w:r>
      <w:r>
        <w:rPr>
          <w:b/>
          <w:rFonts w:hint="eastAsia" w:eastAsia="黑体" w:ascii="Times New Roman" w:hAnsi="Times New Roman" w:cs="黑体"/>
          <w:lang w:val="en-US" w:eastAsia="zh-CN"/>
          <w:sz w:val="28"/>
          <w:szCs w:val="28"/>
        </w:rPr>
        <w:t>单变量</w:t>
      </w:r>
      <w:r>
        <w:rPr>
          <w:b/>
          <w:rFonts w:eastAsia="黑体" w:ascii="Times New Roman" w:hAnsi="Times New Roman" w:cs="黑体"/>
          <w:sz w:val="28"/>
          <w:szCs w:val="28"/>
        </w:rPr>
        <w:t>必要性分析</w:t>
      </w:r>
    </w:p>
    <w:p w14:paraId="10E2097E">
      <w:pPr>
        <w:spacing w:before="0" w:after="0" w:line="400" w:lineRule="exact"/>
        <w:jc w:val="both"/>
        <w:ind w:firstLine="480"/>
      </w:pPr>
      <w:r>
        <w:rPr>
          <w:rFonts w:eastAsia="宋体" w:ascii="Times New Roman" w:hAnsi="Times New Roman" w:cs="宋体"/>
          <w:sz w:val="24"/>
          <w:szCs w:val="24"/>
        </w:rPr>
        <w:t>在充分性分析之前，首先检验各单一条件对于结果（高水平CDL）的必要性。若某一条件是必要条件，</w:t>
      </w:r>
      <w:r>
        <w:rPr>
          <w:rFonts w:eastAsia="宋体" w:ascii="Times New Roman" w:hAnsi="Times New Roman" w:cs="宋体"/>
          <w:highlight w:val="yellow"/>
          <w:sz w:val="24"/>
          <w:szCs w:val="24"/>
        </w:rPr>
        <w:t xml:space="preserve">则结果变量的隶属分数不超过该条件的隶属分数（即Y⊆X），其一致性≥0.900（Ragin，2008）</w:t>
      </w:r>
      <w:r>
        <w:rPr>
          <w:rStyle w:val="FootnoteReference"/>
        </w:rPr>
        <w:endnoteReference w:id="20"/>
      </w:r>
      <w:r>
        <w:rPr>
          <w:rFonts w:eastAsia="宋体" w:ascii="Times New Roman" w:hAnsi="Times New Roman" w:cs="宋体"/>
          <w:sz w:val="24"/>
          <w:szCs w:val="24"/>
        </w:rPr>
        <w:t>。必要性分析结果见表5-2。</w:t>
      </w:r>
    </w:p>
    <w:p w14:paraId="26DFB174">
      <w:pPr>
        <w:pStyle w:val="12"/>
        <w:spacing w:before="120" w:after="120" w:line="400" w:lineRule="exact"/>
        <w:jc w:val="center"/>
        <w:ind/>
      </w:pPr>
      <w:r>
        <w:rPr>
          <w:b/>
          <w:rFonts w:eastAsia="宋体" w:ascii="Times New Roman" w:hAnsi="Times New Roman" w:cs="宋体"/>
          <w:sz w:val="21"/>
          <w:szCs w:val="21"/>
        </w:rPr>
        <w:t>表5-2 必要性分析结果</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29"/>
        <w:gridCol w:w="2929"/>
        <w:gridCol w:w="2929"/>
      </w:tblGrid>
      <w:tr w14:paraId="30A4A7B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9"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6F933A9">
            <w:pPr>
              <w:jc w:val="center"/>
              <w:rPr>
                <w:b w:val="0"/>
                <w:bCs/>
              </w:rPr>
              <w:spacing w:before="60" w:after="60" w:line="320" w:lineRule="exact"/>
              <w:ind/>
            </w:pPr>
            <w:r>
              <w:rPr>
                <w:rFonts w:eastAsia="宋体" w:ascii="Times New Roman" w:hAnsi="Times New Roman" w:cs="宋体"/>
                <w:b w:val="0"/>
                <w:bCs/>
                <w:sz w:val="21"/>
                <w:szCs w:val="21"/>
              </w:rPr>
              <w:t>条件</w:t>
            </w:r>
          </w:p>
        </w:tc>
        <w:tc>
          <w:tcPr>
            <w:tcW w:w="2929"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3F0EC3B">
            <w:pPr>
              <w:jc w:val="center"/>
              <w:rPr>
                <w:b w:val="0"/>
                <w:bCs/>
              </w:rPr>
              <w:spacing w:before="60" w:after="60" w:line="320" w:lineRule="exact"/>
              <w:ind/>
            </w:pPr>
            <w:r>
              <w:rPr>
                <w:rFonts w:eastAsia="宋体" w:ascii="Times New Roman" w:hAnsi="Times New Roman" w:cs="宋体"/>
                <w:b w:val="0"/>
                <w:bCs/>
                <w:sz w:val="21"/>
                <w:szCs w:val="21"/>
              </w:rPr>
              <w:t>一致性</w:t>
            </w:r>
          </w:p>
        </w:tc>
        <w:tc>
          <w:tcPr>
            <w:tcW w:w="2929"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39F8503B">
            <w:pPr>
              <w:jc w:val="center"/>
              <w:rPr>
                <w:b w:val="0"/>
                <w:bCs/>
              </w:rPr>
              <w:spacing w:before="60" w:after="60" w:line="320" w:lineRule="exact"/>
              <w:ind/>
            </w:pPr>
            <w:r>
              <w:rPr>
                <w:rFonts w:eastAsia="宋体" w:ascii="Times New Roman" w:hAnsi="Times New Roman" w:cs="宋体"/>
                <w:b w:val="0"/>
                <w:bCs/>
                <w:sz w:val="21"/>
                <w:szCs w:val="21"/>
              </w:rPr>
              <w:t>覆盖度</w:t>
            </w:r>
          </w:p>
        </w:tc>
      </w:tr>
      <w:tr w14:paraId="44589F9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F9D9006">
            <w:pPr>
              <w:jc w:val="center"/>
              <w:spacing w:before="60" w:after="60" w:line="320" w:lineRule="exact"/>
              <w:ind/>
            </w:pPr>
            <w:r>
              <w:rPr>
                <w:rFonts w:eastAsia="宋体" w:ascii="Times New Roman" w:hAnsi="Times New Roman" w:cs="宋体"/>
                <w:sz w:val="21"/>
                <w:szCs w:val="21"/>
              </w:rPr>
              <w:t>GP（政策治理）</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BE237AC">
            <w:pPr>
              <w:jc w:val="center"/>
              <w:spacing w:before="60" w:after="60" w:line="320" w:lineRule="exact"/>
              <w:ind/>
            </w:pPr>
            <w:r>
              <w:rPr>
                <w:rFonts w:eastAsia="宋体" w:ascii="Times New Roman" w:hAnsi="Times New Roman" w:cs="宋体"/>
                <w:sz w:val="21"/>
                <w:szCs w:val="21"/>
              </w:rPr>
              <w:t>0.764</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3F73340">
            <w:pPr>
              <w:jc w:val="center"/>
              <w:spacing w:before="60" w:after="60" w:line="320" w:lineRule="exact"/>
              <w:ind/>
            </w:pPr>
            <w:r>
              <w:rPr>
                <w:rFonts w:eastAsia="宋体" w:ascii="Times New Roman" w:hAnsi="Times New Roman" w:cs="宋体"/>
                <w:sz w:val="21"/>
                <w:szCs w:val="21"/>
              </w:rPr>
              <w:t>0.773</w:t>
            </w:r>
          </w:p>
        </w:tc>
      </w:tr>
      <w:tr w14:paraId="2342453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3A33EC3">
            <w:pPr>
              <w:jc w:val="center"/>
              <w:spacing w:before="60" w:after="60" w:line="320" w:lineRule="exact"/>
              <w:ind/>
            </w:pPr>
            <w:r>
              <w:rPr>
                <w:rFonts w:eastAsia="宋体" w:ascii="Times New Roman" w:hAnsi="Times New Roman" w:cs="宋体"/>
                <w:sz w:val="21"/>
                <w:szCs w:val="21"/>
              </w:rPr>
              <w:t>~GP（政策治理缺失）</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859C297">
            <w:pPr>
              <w:jc w:val="center"/>
              <w:spacing w:before="60" w:after="60" w:line="320" w:lineRule="exact"/>
              <w:ind/>
            </w:pPr>
            <w:r>
              <w:rPr>
                <w:rFonts w:eastAsia="宋体" w:ascii="Times New Roman" w:hAnsi="Times New Roman" w:cs="宋体"/>
                <w:sz w:val="21"/>
                <w:szCs w:val="21"/>
              </w:rPr>
              <w:t>0.550</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78E69AED">
            <w:pPr>
              <w:jc w:val="center"/>
              <w:spacing w:before="60" w:after="60" w:line="320" w:lineRule="exact"/>
              <w:ind/>
            </w:pPr>
            <w:r>
              <w:rPr>
                <w:rFonts w:eastAsia="宋体" w:ascii="Times New Roman" w:hAnsi="Times New Roman" w:cs="宋体"/>
                <w:sz w:val="21"/>
                <w:szCs w:val="21"/>
              </w:rPr>
              <w:t>0.588</w:t>
            </w:r>
          </w:p>
        </w:tc>
      </w:tr>
      <w:tr w14:paraId="34A15F9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53D996F3">
            <w:pPr>
              <w:jc w:val="center"/>
              <w:spacing w:before="60" w:after="60" w:line="320" w:lineRule="exact"/>
              <w:ind/>
            </w:pPr>
            <w:r>
              <w:rPr>
                <w:rFonts w:eastAsia="宋体" w:ascii="Times New Roman" w:hAnsi="Times New Roman" w:cs="宋体"/>
                <w:sz w:val="21"/>
                <w:szCs w:val="21"/>
              </w:rPr>
              <w:t>TS（人才支撑）</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479789C">
            <w:pPr>
              <w:jc w:val="center"/>
              <w:spacing w:before="60" w:after="60" w:line="320" w:lineRule="exact"/>
              <w:ind/>
            </w:pPr>
            <w:r>
              <w:rPr>
                <w:rFonts w:eastAsia="宋体" w:ascii="Times New Roman" w:hAnsi="Times New Roman" w:cs="宋体"/>
                <w:sz w:val="21"/>
                <w:szCs w:val="21"/>
              </w:rPr>
              <w:t>0.687</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97113C4">
            <w:pPr>
              <w:jc w:val="center"/>
              <w:spacing w:before="60" w:after="60" w:line="320" w:lineRule="exact"/>
              <w:ind/>
            </w:pPr>
            <w:r>
              <w:rPr>
                <w:rFonts w:eastAsia="宋体" w:ascii="Times New Roman" w:hAnsi="Times New Roman" w:cs="宋体"/>
                <w:sz w:val="21"/>
                <w:szCs w:val="21"/>
              </w:rPr>
              <w:t>0.686</w:t>
            </w:r>
          </w:p>
        </w:tc>
      </w:tr>
      <w:tr w14:paraId="014087F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CDF64E">
            <w:pPr>
              <w:jc w:val="center"/>
              <w:spacing w:before="60" w:after="60" w:line="320" w:lineRule="exact"/>
              <w:ind/>
            </w:pPr>
            <w:r>
              <w:rPr>
                <w:rFonts w:eastAsia="宋体" w:ascii="Times New Roman" w:hAnsi="Times New Roman" w:cs="宋体"/>
                <w:sz w:val="21"/>
                <w:szCs w:val="21"/>
              </w:rPr>
              <w:t>~TS（人才支撑缺失）</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037F1A1">
            <w:pPr>
              <w:jc w:val="center"/>
              <w:spacing w:before="60" w:after="60" w:line="320" w:lineRule="exact"/>
              <w:ind/>
            </w:pPr>
            <w:r>
              <w:rPr>
                <w:rFonts w:eastAsia="宋体" w:ascii="Times New Roman" w:hAnsi="Times New Roman" w:cs="宋体"/>
                <w:sz w:val="21"/>
                <w:szCs w:val="21"/>
              </w:rPr>
              <w:t>0.615</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6765664">
            <w:pPr>
              <w:jc w:val="center"/>
              <w:spacing w:before="60" w:after="60" w:line="320" w:lineRule="exact"/>
              <w:ind/>
            </w:pPr>
            <w:r>
              <w:rPr>
                <w:rFonts w:eastAsia="宋体" w:ascii="Times New Roman" w:hAnsi="Times New Roman" w:cs="宋体"/>
                <w:sz w:val="21"/>
                <w:szCs w:val="21"/>
              </w:rPr>
              <w:t>0.668</w:t>
            </w:r>
          </w:p>
        </w:tc>
      </w:tr>
      <w:tr w14:paraId="014087F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CDF64E">
            <w:pPr>
              <w:jc w:val="center"/>
              <w:spacing w:before="60" w:after="60" w:line="320" w:lineRule="exact"/>
              <w:ind/>
            </w:pPr>
            <w:r>
              <w:rPr>
                <w:rFonts w:eastAsia="宋体" w:ascii="Times New Roman" w:hAnsi="Times New Roman" w:cs="宋体"/>
                <w:sz w:val="21"/>
                <w:szCs w:val="21"/>
              </w:rPr>
              <w:t>IF（基础设施）</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037F1A1">
            <w:pPr>
              <w:jc w:val="center"/>
              <w:spacing w:before="60" w:after="60" w:line="320" w:lineRule="exact"/>
              <w:ind/>
            </w:pPr>
            <w:r>
              <w:rPr>
                <w:rFonts w:eastAsia="宋体" w:ascii="Times New Roman" w:hAnsi="Times New Roman" w:cs="宋体"/>
                <w:sz w:val="21"/>
                <w:szCs w:val="21"/>
              </w:rPr>
              <w:t>0.762</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6765664">
            <w:pPr>
              <w:jc w:val="center"/>
              <w:spacing w:before="60" w:after="60" w:line="320" w:lineRule="exact"/>
              <w:ind/>
            </w:pPr>
            <w:r>
              <w:rPr>
                <w:rFonts w:eastAsia="宋体" w:ascii="Times New Roman" w:hAnsi="Times New Roman" w:cs="宋体"/>
                <w:sz w:val="21"/>
                <w:szCs w:val="21"/>
              </w:rPr>
              <w:t>0.741</w:t>
            </w:r>
          </w:p>
        </w:tc>
      </w:tr>
      <w:tr w14:paraId="014087F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CDF64E">
            <w:pPr>
              <w:jc w:val="center"/>
              <w:spacing w:before="60" w:after="60" w:line="320" w:lineRule="exact"/>
              <w:ind/>
            </w:pPr>
            <w:r>
              <w:rPr>
                <w:rFonts w:eastAsia="宋体" w:ascii="Times New Roman" w:hAnsi="Times New Roman" w:cs="宋体"/>
                <w:sz w:val="21"/>
                <w:szCs w:val="21"/>
              </w:rPr>
              <w:t>~IF（基础设施缺失）</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037F1A1">
            <w:pPr>
              <w:jc w:val="center"/>
              <w:spacing w:before="60" w:after="60" w:line="320" w:lineRule="exact"/>
              <w:ind/>
            </w:pPr>
            <w:r>
              <w:rPr>
                <w:rFonts w:eastAsia="宋体" w:ascii="Times New Roman" w:hAnsi="Times New Roman" w:cs="宋体"/>
                <w:sz w:val="21"/>
                <w:szCs w:val="21"/>
              </w:rPr>
              <w:t>0.577</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46765664">
            <w:pPr>
              <w:jc w:val="center"/>
              <w:spacing w:before="60" w:after="60" w:line="320" w:lineRule="exact"/>
              <w:ind/>
            </w:pPr>
            <w:r>
              <w:rPr>
                <w:rFonts w:eastAsia="宋体" w:ascii="Times New Roman" w:hAnsi="Times New Roman" w:cs="宋体"/>
                <w:sz w:val="21"/>
                <w:szCs w:val="21"/>
              </w:rPr>
              <w:t>0.568</w:t>
            </w:r>
          </w:p>
        </w:tc>
      </w:tr>
      <w:tr w14:paraId="2CFD381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039161C2">
            <w:pPr>
              <w:jc w:val="center"/>
              <w:spacing w:before="60" w:after="60" w:line="320" w:lineRule="exact"/>
              <w:ind/>
            </w:pPr>
            <w:r>
              <w:rPr>
                <w:rFonts w:eastAsia="宋体" w:ascii="Times New Roman" w:hAnsi="Times New Roman" w:cs="宋体"/>
                <w:sz w:val="21"/>
                <w:szCs w:val="21"/>
              </w:rPr>
              <w:t>TI（技术创新）</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145EFA8">
            <w:pPr>
              <w:jc w:val="center"/>
              <w:spacing w:before="60" w:after="60" w:line="320" w:lineRule="exact"/>
              <w:ind/>
            </w:pPr>
            <w:r>
              <w:rPr>
                <w:rFonts w:eastAsia="宋体" w:ascii="Times New Roman" w:hAnsi="Times New Roman" w:cs="宋体"/>
                <w:sz w:val="21"/>
                <w:szCs w:val="21"/>
              </w:rPr>
              <w:t>0.734</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D019A2B">
            <w:pPr>
              <w:jc w:val="center"/>
              <w:spacing w:before="60" w:after="60" w:line="320" w:lineRule="exact"/>
              <w:ind/>
            </w:pPr>
            <w:r>
              <w:rPr>
                <w:rFonts w:eastAsia="宋体" w:ascii="Times New Roman" w:hAnsi="Times New Roman" w:cs="宋体"/>
                <w:sz w:val="21"/>
                <w:szCs w:val="21"/>
              </w:rPr>
              <w:t>0.733</w:t>
            </w:r>
          </w:p>
        </w:tc>
      </w:tr>
      <w:tr w14:paraId="7C17649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8FF97A8">
            <w:pPr>
              <w:jc w:val="center"/>
              <w:spacing w:before="60" w:after="60" w:line="320" w:lineRule="exact"/>
              <w:ind/>
            </w:pPr>
            <w:r>
              <w:rPr>
                <w:rFonts w:eastAsia="宋体" w:ascii="Times New Roman" w:hAnsi="Times New Roman" w:cs="宋体"/>
                <w:sz w:val="21"/>
                <w:szCs w:val="21"/>
              </w:rPr>
              <w:t>~TI（技术创新缺失）</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C7FC9E5">
            <w:pPr>
              <w:jc w:val="center"/>
              <w:spacing w:before="60" w:after="60" w:line="320" w:lineRule="exact"/>
              <w:ind/>
            </w:pPr>
            <w:r>
              <w:rPr>
                <w:rFonts w:eastAsia="宋体" w:ascii="Times New Roman" w:hAnsi="Times New Roman" w:cs="宋体"/>
                <w:sz w:val="21"/>
                <w:szCs w:val="21"/>
              </w:rPr>
              <w:t>0.558</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B4B66E0">
            <w:pPr>
              <w:jc w:val="center"/>
              <w:spacing w:before="60" w:after="60" w:line="320" w:lineRule="exact"/>
              <w:ind/>
            </w:pPr>
            <w:r>
              <w:rPr>
                <w:rFonts w:eastAsia="宋体" w:ascii="Times New Roman" w:hAnsi="Times New Roman" w:cs="宋体"/>
                <w:sz w:val="21"/>
                <w:szCs w:val="21"/>
              </w:rPr>
              <w:t>0.605</w:t>
            </w:r>
          </w:p>
        </w:tc>
      </w:tr>
      <w:tr w14:paraId="7C17649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8FF97A8">
            <w:pPr>
              <w:jc w:val="center"/>
              <w:spacing w:before="60" w:after="60" w:line="320" w:lineRule="exact"/>
              <w:ind/>
            </w:pPr>
            <w:r>
              <w:rPr>
                <w:rFonts w:eastAsia="宋体" w:ascii="Times New Roman" w:hAnsi="Times New Roman" w:cs="宋体"/>
                <w:sz w:val="21"/>
                <w:szCs w:val="21"/>
              </w:rPr>
              <w:t>DS（数字化能力）</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C7FC9E5">
            <w:pPr>
              <w:jc w:val="center"/>
              <w:spacing w:before="60" w:after="60" w:line="320" w:lineRule="exact"/>
              <w:ind/>
            </w:pPr>
            <w:r>
              <w:rPr>
                <w:rFonts w:eastAsia="宋体" w:ascii="Times New Roman" w:hAnsi="Times New Roman" w:cs="宋体"/>
                <w:sz w:val="21"/>
                <w:szCs w:val="21"/>
              </w:rPr>
              <w:t>0.787</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B4B66E0">
            <w:pPr>
              <w:jc w:val="center"/>
              <w:spacing w:before="60" w:after="60" w:line="320" w:lineRule="exact"/>
              <w:ind/>
            </w:pPr>
            <w:r>
              <w:rPr>
                <w:rFonts w:eastAsia="宋体" w:ascii="Times New Roman" w:hAnsi="Times New Roman" w:cs="宋体"/>
                <w:sz w:val="21"/>
                <w:szCs w:val="21"/>
              </w:rPr>
              <w:t>0.715</w:t>
            </w:r>
          </w:p>
        </w:tc>
      </w:tr>
      <w:tr w14:paraId="7C17649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28FF97A8">
            <w:pPr>
              <w:jc w:val="center"/>
              <w:spacing w:before="60" w:after="60" w:line="320" w:lineRule="exact"/>
              <w:ind/>
            </w:pPr>
            <w:r>
              <w:rPr>
                <w:rFonts w:eastAsia="宋体" w:ascii="Times New Roman" w:hAnsi="Times New Roman" w:cs="宋体"/>
                <w:sz w:val="21"/>
                <w:szCs w:val="21"/>
              </w:rPr>
              <w:t>~DS（数字化能力缺失）</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C7FC9E5">
            <w:pPr>
              <w:jc w:val="center"/>
              <w:spacing w:before="60" w:after="60" w:line="320" w:lineRule="exact"/>
              <w:ind/>
            </w:pPr>
            <w:r>
              <w:rPr>
                <w:rFonts w:eastAsia="宋体" w:ascii="Times New Roman" w:hAnsi="Times New Roman" w:cs="宋体"/>
                <w:sz w:val="21"/>
                <w:szCs w:val="21"/>
              </w:rPr>
              <w:t>0.538</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1B4B66E0">
            <w:pPr>
              <w:jc w:val="center"/>
              <w:spacing w:before="60" w:after="60" w:line="320" w:lineRule="exact"/>
              <w:ind/>
            </w:pPr>
            <w:r>
              <w:rPr>
                <w:rFonts w:eastAsia="宋体" w:ascii="Times New Roman" w:hAnsi="Times New Roman" w:cs="宋体"/>
                <w:sz w:val="21"/>
                <w:szCs w:val="21"/>
              </w:rPr>
              <w:t>0.571</w:t>
            </w:r>
          </w:p>
        </w:tc>
      </w:tr>
      <w:tr w14:paraId="3AF5AE8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447D9A7">
            <w:pPr>
              <w:jc w:val="center"/>
              <w:spacing w:before="60" w:after="60" w:line="320" w:lineRule="exact"/>
              <w:ind/>
            </w:pPr>
            <w:r>
              <w:rPr>
                <w:rFonts w:eastAsia="宋体" w:ascii="Times New Roman" w:hAnsi="Times New Roman" w:cs="宋体"/>
                <w:sz w:val="21"/>
                <w:szCs w:val="21"/>
              </w:rPr>
              <w:t>EN（资源禀赋）</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340BF2F5">
            <w:pPr>
              <w:jc w:val="center"/>
              <w:spacing w:before="60" w:after="60" w:line="320" w:lineRule="exact"/>
              <w:ind/>
            </w:pPr>
            <w:r>
              <w:rPr>
                <w:rFonts w:eastAsia="宋体" w:ascii="Times New Roman" w:hAnsi="Times New Roman" w:cs="宋体"/>
                <w:sz w:val="21"/>
                <w:szCs w:val="21"/>
              </w:rPr>
              <w:t>0.741</w:t>
            </w:r>
          </w:p>
        </w:tc>
        <w:tc>
          <w:tcPr>
            <w:tcW w:w="2929"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14:paraId="66D50B67">
            <w:pPr>
              <w:jc w:val="center"/>
              <w:spacing w:before="60" w:after="60" w:line="320" w:lineRule="exact"/>
              <w:ind/>
            </w:pPr>
            <w:r>
              <w:rPr>
                <w:rFonts w:eastAsia="宋体" w:ascii="Times New Roman" w:hAnsi="Times New Roman" w:cs="宋体"/>
                <w:sz w:val="21"/>
                <w:szCs w:val="21"/>
              </w:rPr>
              <w:t>0.752</w:t>
            </w:r>
          </w:p>
        </w:tc>
      </w:tr>
      <w:tr w14:paraId="29E69C8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6AE303D8">
            <w:pPr>
              <w:jc w:val="center"/>
              <w:spacing w:before="60" w:after="60" w:line="320" w:lineRule="exact"/>
              <w:ind/>
            </w:pPr>
            <w:r>
              <w:rPr>
                <w:rFonts w:eastAsia="宋体" w:ascii="Times New Roman" w:hAnsi="Times New Roman" w:cs="宋体"/>
                <w:sz w:val="21"/>
                <w:szCs w:val="21"/>
              </w:rPr>
              <w:t>~EN（资源禀赋缺失）</w:t>
            </w:r>
          </w:p>
        </w:tc>
        <w:tc>
          <w:tcPr>
            <w:tcW w:w="2929"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2D2B1198">
            <w:pPr>
              <w:jc w:val="center"/>
              <w:spacing w:before="60" w:after="60" w:line="320" w:lineRule="exact"/>
              <w:ind/>
            </w:pPr>
            <w:r>
              <w:rPr>
                <w:rFonts w:eastAsia="宋体" w:ascii="Times New Roman" w:hAnsi="Times New Roman" w:cs="宋体"/>
                <w:sz w:val="21"/>
                <w:szCs w:val="21"/>
              </w:rPr>
              <w:t>0.576</w:t>
            </w:r>
          </w:p>
        </w:tc>
        <w:tc>
          <w:tcPr>
            <w:tcW w:w="2929"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14:paraId="57B0FA32">
            <w:pPr>
              <w:jc w:val="center"/>
              <w:spacing w:before="60" w:after="60" w:line="320" w:lineRule="exact"/>
              <w:ind/>
            </w:pPr>
            <w:r>
              <w:rPr>
                <w:rFonts w:eastAsia="宋体" w:ascii="Times New Roman" w:hAnsi="Times New Roman" w:cs="宋体"/>
                <w:sz w:val="21"/>
                <w:szCs w:val="21"/>
              </w:rPr>
              <w:t>0.614</w:t>
            </w:r>
          </w:p>
        </w:tc>
      </w:tr>
    </w:tbl>
    <w:p w14:paraId="03203F9E">
      <w:pPr>
        <w:spacing w:before="0" w:after="0" w:line="400" w:lineRule="exact"/>
        <w:jc w:val="both"/>
        <w:ind w:firstLine="480"/>
      </w:pPr>
      <w:r>
        <w:rPr>
          <w:rFonts w:eastAsia="宋体" w:ascii="Times New Roman" w:hAnsi="Times New Roman" w:cs="宋体"/>
          <w:sz w:val="24"/>
          <w:szCs w:val="24"/>
        </w:rPr>
        <w:t>由表5-2可知，所有单一条件（包括其取反形式）的必要性一致性均低于0.900，因此不存在任何单一必要条件。这说明烟台集群电商高水平发展并非由某一单一因素决定，而是由多个条件共同构成的，充分说明采用组态分析的必要性。其中DS（数字化能力）和GP（政策治理）的必要性一致性最高（均为0.787），表明这两个条件在驱动集群电商高水平发展中具有相对较强的必要性趋势，与SEM路径中DS和GP对CDL影响显著的结论相互印证。</w:t>
      </w:r>
    </w:p>
    <w:p w14:paraId="44598EA7">
      <w:pPr>
        <w:pStyle w:val="3"/>
        <w:spacing w:before="240" w:after="240" w:line="400" w:lineRule="exact"/>
        <w:jc w:val="both"/>
      </w:pPr>
      <w:r>
        <w:rPr>
          <w:b/>
          <w:rFonts w:eastAsia="黑体" w:ascii="Times New Roman" w:hAnsi="Times New Roman" w:cs="黑体"/>
          <w:sz w:val="28"/>
          <w:szCs w:val="28"/>
        </w:rPr>
        <w:t>5.4 充分性分析与组态结果</w:t>
      </w:r>
    </w:p>
    <w:p w14:paraId="7A7E0942">
      <w:pPr>
        <w:pStyle w:val="4"/>
        <w:spacing w:before="0" w:after="0" w:line="400" w:lineRule="exact"/>
        <w:jc w:val="both"/>
      </w:pPr>
      <w:r>
        <w:rPr>
          <w:b/>
          <w:rFonts w:eastAsia="黑体" w:ascii="Times New Roman" w:hAnsi="Times New Roman" w:cs="黑体"/>
          <w:sz w:val="24"/>
          <w:szCs w:val="24"/>
        </w:rPr>
        <w:t>5.4.1 真值表构建</w:t>
      </w:r>
    </w:p>
    <w:p w14:paraId="70E8E2B3">
      <w:pPr>
        <w:spacing w:before="0" w:after="0" w:line="400" w:lineRule="exact"/>
        <w:jc w:val="both"/>
        <w:ind w:firstLine="480"/>
      </w:pPr>
      <w:r>
        <w:rPr>
          <w:rFonts w:eastAsia="宋体" w:ascii="Times New Roman" w:hAnsi="Times New Roman" w:cs="宋体"/>
          <w:sz w:val="24"/>
          <w:szCs w:val="24"/>
        </w:rPr>
        <w:t>以所有6个条件的二值化（&gt;0.5为"高"，&lt;0.5为"低"）构建真值表，共产生26个频数≥3的逻辑行，其中满足一致性≥0.850的逻辑行用于后续最小化分析。采用Quine-McCluskey算法（依托R软件QCA包）进行布尔化简，在方向性预期全部设定为"条件存在促进结果"的基础上求解中间解，并结合简约解划定核心条件（同时出现在中间解与简约解中）与边缘条件（仅出现在中间解中）。</w:t>
      </w:r>
    </w:p>
    <w:p w14:paraId="56871AC2">
      <w:pPr>
        <w:pStyle w:val="4"/>
        <w:spacing w:before="0" w:after="0" w:line="400" w:lineRule="exact"/>
        <w:jc w:val="both"/>
      </w:pPr>
      <w:r>
        <w:rPr>
          <w:b/>
          <w:rFonts w:eastAsia="黑体" w:ascii="Times New Roman" w:hAnsi="Times New Roman" w:cs="黑体"/>
          <w:sz w:val="24"/>
          <w:szCs w:val="24"/>
        </w:rPr>
        <w:t>5.4.2 组态结果</w:t>
      </w:r>
    </w:p>
    <w:p w14:paraId="16435662">
      <w:pPr>
        <w:spacing w:before="0" w:after="0" w:line="400" w:lineRule="exact"/>
        <w:jc w:val="both"/>
        <w:ind w:firstLine="480"/>
      </w:pPr>
      <w:r>
        <w:rPr>
          <w:rFonts w:eastAsia="宋体" w:ascii="Times New Roman" w:hAnsi="Times New Roman" w:cs="宋体"/>
          <w:sz w:val="24"/>
          <w:szCs w:val="24"/>
        </w:rPr>
        <w:t>在SEM分析基础上，进一步采用fsQCA，从组态视角探究六个条件变量对集群电商高水平发展的联合影响，以发现集群电商发展中多重并发的复杂因果关系。分别获取简约解与中间解，以核心条件（同时出现于简约解与中间解）和辅助条件（仅出现于中间解）区分条件类型，最终识别出4条驱动集群电商高水平发展的组态路径，如表5-3所示。组态总体一致性为0.865，总体覆盖率为0.811，表明4条路径能够覆盖绝大多数高水平发展案例，解的解释力良好。</w:t>
      </w:r>
    </w:p>
    <w:p w14:paraId="26FA00BB">
      <w:pPr>
        <w:pStyle w:val="12"/>
        <w:spacing w:before="120" w:after="120" w:line="400" w:lineRule="exact"/>
        <w:jc w:val="center"/>
        <w:ind/>
      </w:pPr>
      <w:r>
        <w:rPr>
          <w:b/>
          <w:rFonts w:eastAsia="宋体" w:ascii="Times New Roman" w:hAnsi="Times New Roman" w:cs="宋体"/>
          <w:sz w:val="21"/>
          <w:szCs w:val="21"/>
        </w:rPr>
        <w:t>表5-3 基于fsQCA的集群电商高水平发展影响路径</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57"/>
        <w:gridCol w:w="1757"/>
        <w:gridCol w:w="1757"/>
        <w:gridCol w:w="1757"/>
        <w:gridCol w:w="1757"/>
      </w:tblGrid>
      <w:tr w14:paraId="25CFD1F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类别</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路径1</w:t>
              <w:br/>
              <w:t>GP*TS*IF</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路径2</w:t>
              <w:br/>
              <w:t>GP*TS*DS</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路径3</w:t>
              <w:br/>
              <w:t>TI*DS*EN</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路径4</w:t>
              <w:br/>
              <w:t>TS*IF*TI</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p>
        </w:tc>
      </w:tr>
      <w:tr w14:paraId="0B2F464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GP（政策治理）</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29D5555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TS（人才支撑）</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037B40C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IF（基础设施）</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135F3A7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TI（技术创新）</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562BF39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DS（数字化能力）</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24B09DE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EN（资源禀赋）</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65E1042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一致性</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0.914</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0.937</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0.904</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0.900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25CFD1F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覆盖率</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0.586</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0.550</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0.589</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0.529</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r>
      <w:tr w14:paraId="25CFD1F4">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净覆盖率</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0.041</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0.023</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0.129</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0.013</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p>
        </w:tc>
      </w:tr>
    </w:tbl>
    <w:p w14:paraId="20875625">
      <w:pPr>
        <w:spacing w:before="0" w:after="0" w:line="400" w:lineRule="exact"/>
        <w:jc w:val="both"/>
        <w:ind w:firstLine="480"/>
      </w:pPr>
      <w:r>
        <w:rPr>
          <w:rFonts w:eastAsia="宋体" w:ascii="Times New Roman" w:hAnsi="Times New Roman" w:cs="宋体"/>
          <w:sz w:val="24"/>
          <w:szCs w:val="24"/>
        </w:rPr>
        <w:t>注：●表示核心条件（同时出现于简约解与中间解）；○表示辅助条件（仅出现于中间解）；空白表示在构型中该条件同时具有存在和不存在的可能。整体解一致性=0.833，整体覆盖率=0.967。</w:t>
      </w:r>
    </w:p>
    <w:p w14:paraId="4FF78456">
      <w:pPr>
        <w:pStyle w:val="4"/>
        <w:spacing w:before="0" w:after="0" w:line="400" w:lineRule="exact"/>
        <w:jc w:val="both"/>
      </w:pPr>
      <w:r>
        <w:rPr>
          <w:b/>
          <w:rFonts w:eastAsia="黑体" w:ascii="Times New Roman" w:hAnsi="Times New Roman" w:cs="黑体"/>
          <w:sz w:val="24"/>
          <w:szCs w:val="24"/>
        </w:rPr>
        <w:t>5.4.3 组态路径解读</w:t>
      </w:r>
    </w:p>
    <w:p w14:paraId="39BBF6D2">
      <w:pPr>
        <w:spacing w:before="0" w:after="0" w:line="400" w:lineRule="exact"/>
        <w:jc w:val="both"/>
        <w:ind w:firstLine="480"/>
      </w:pPr>
      <w:r>
        <w:rPr>
          <w:rFonts w:eastAsia="宋体" w:ascii="Times New Roman" w:hAnsi="Times New Roman" w:cs="宋体"/>
          <w:sz w:val="24"/>
          <w:szCs w:val="24"/>
        </w:rPr>
        <w:t>由表5-3可知，通过fsQCA识别出5条驱动烟台集群电商高水平发展的组态路径。基础设施建设与技术创新在多条路径中作为核心条件出现，数字技能则在两条路径中均以核心条件存在，表明这三类条件是集群电商发展的关键驱动因素。据此归纳出以下三种组态路径类型。</w:t>
      </w:r>
    </w:p>
    <w:p w14:paraId="677A120C">
      <w:pPr>
        <w:spacing w:before="0" w:after="0" w:line="400" w:lineRule="exact"/>
        <w:jc w:val="both"/>
        <w:ind w:firstLine="480"/>
      </w:pPr>
      <w:r>
        <w:rPr>
          <w:rFonts w:eastAsia="宋体" w:ascii="Times New Roman" w:hAnsi="Times New Roman" w:cs="宋体"/>
          <w:sz w:val="24"/>
          <w:szCs w:val="24"/>
        </w:rPr>
        <w:t>（1）政策-人才-基础设施协同驱动型。路径1（GP*TS*IF）由政策治理、人才支撑与基础设施三个条件共同构成，均为核心条件，一致性为0.914，覆盖率为0.586，净覆盖率为0.041。该路径表明，在政府出台有效电商扶持政策、本地人才供给充足且数字/物流基础设施完善的三重条件下，集群电商发展水平较高。这与SEM中GP→IF→CDL（间接效应=0.215***）和TS→IF→CDL（间接效应=0.136***）两条中介路径高度印证，体现了政策与人才协同推动基础设施建设进而促进集群发展的传导机制。</w:t>
      </w:r>
    </w:p>
    <w:p w14:paraId="161C884D">
      <w:pPr>
        <w:spacing w:before="0" w:after="0" w:line="400" w:lineRule="exact"/>
        <w:jc w:val="both"/>
        <w:ind w:firstLine="480"/>
      </w:pPr>
      <w:r>
        <w:rPr>
          <w:rFonts w:eastAsia="宋体" w:ascii="Times New Roman" w:hAnsi="Times New Roman" w:cs="宋体"/>
          <w:sz w:val="24"/>
          <w:szCs w:val="24"/>
        </w:rPr>
        <w:t>（2）政策-人才-数字化协同驱动型。路径2（GP*TS*DS）由政策治理、人才支撑与数字化能力三个条件共同构成，均为核心条件，一致性最高（0.937），覆盖率为0.550，净覆盖率为0.023。这表明，政府政策支持、充足人才供给叠加较强数字化能力，是驱动集群高水平发展的有力组合。该路径揭示了政策与人才禀赋通过数字化能力实现市场转化的"双轮驱动"机制，与SEM中DS对CDL路径系数最高（β=0.100）相印证。</w:t>
      </w:r>
    </w:p>
    <w:p w14:paraId="47FFCB01">
      <w:pPr>
        <w:spacing w:before="0" w:after="0" w:line="400" w:lineRule="exact"/>
        <w:jc w:val="both"/>
        <w:ind w:firstLine="480"/>
      </w:pPr>
      <w:r>
        <w:rPr>
          <w:rFonts w:eastAsia="宋体" w:ascii="Times New Roman" w:hAnsi="Times New Roman" w:cs="宋体"/>
          <w:sz w:val="24"/>
          <w:szCs w:val="24"/>
        </w:rPr>
        <w:t>（3）技术-数字-资源内生驱动型。路径3（TI*DS*EN）由技术创新、数字化能力与资源禀赋三个条件共同构成，均为核心条件，一致性为0.904，覆盖率最高（0.589），净覆盖率最高（0.129），具有最强的独特解释力。该路径表明，技术创新能力强、数字化能力充足且本地资源禀赋丰富的地区能够实现集群高水平发展。这与SEM中TI→DS→CDL（间接效应=0.202***）和EN→DS→CDL（间接效应=0.219***）两条中介路径高度对应，体现了"技术与资源内生赋能数字化能力、进而驱动发展"的内生循环逻辑。</w:t>
      </w:r>
    </w:p>
    <w:p w14:paraId="2D90EA61">
      <w:pPr>
        <w:pStyle w:val="3"/>
        <w:spacing w:before="240" w:after="240" w:line="400" w:lineRule="exact"/>
        <w:jc w:val="both"/>
      </w:pPr>
      <w:r>
        <w:rPr>
          <w:b/>
          <w:rFonts w:eastAsia="黑体" w:ascii="Times New Roman" w:hAnsi="Times New Roman" w:cs="黑体"/>
          <w:sz w:val="28"/>
          <w:szCs w:val="28"/>
        </w:rPr>
        <w:t>5.5 稳健性检验</w:t>
      </w:r>
    </w:p>
    <w:p w14:paraId="44C72235">
      <w:pPr>
        <w:spacing w:before="0" w:after="0" w:line="400" w:lineRule="exact"/>
        <w:jc w:val="both"/>
        <w:ind w:firstLine="480"/>
      </w:pPr>
      <w:r>
        <w:rPr>
          <w:rFonts w:eastAsia="宋体" w:ascii="Times New Roman" w:hAnsi="Times New Roman" w:cs="宋体"/>
          <w:sz w:val="24"/>
          <w:szCs w:val="24"/>
        </w:rPr>
        <w:t>本文通过调整校准交叉点（原P50→P55）对fsQCA组态结果进行稳健性检验。两种检验下的组态分析结果</w:t>
      </w:r>
      <w:r>
        <w:rPr>
          <w:rFonts w:hint="eastAsia" w:eastAsia="宋体" w:ascii="Times New Roman" w:hAnsi="Times New Roman" w:cs="宋体"/>
          <w:lang w:val="en-US" w:eastAsia="zh-CN"/>
          <w:sz w:val="24"/>
          <w:szCs w:val="24"/>
        </w:rPr>
        <w:t>见表5-4，,</w:t>
      </w:r>
      <w:r>
        <w:rPr>
          <w:rFonts w:eastAsia="宋体" w:ascii="Times New Roman" w:hAnsi="Times New Roman" w:cs="宋体"/>
          <w:sz w:val="24"/>
          <w:szCs w:val="24"/>
        </w:rPr>
        <w:t>与原始结果的对比</w:t>
      </w:r>
      <w:r>
        <w:rPr>
          <w:rFonts w:hint="eastAsia" w:eastAsia="宋体" w:ascii="Times New Roman" w:hAnsi="Times New Roman" w:cs="宋体"/>
          <w:lang w:val="en-US" w:eastAsia="zh-CN"/>
          <w:sz w:val="24"/>
          <w:szCs w:val="24"/>
        </w:rPr>
        <w:t>汇总至</w:t>
      </w:r>
      <w:r>
        <w:rPr>
          <w:rFonts w:eastAsia="宋体" w:ascii="Times New Roman" w:hAnsi="Times New Roman" w:cs="宋体"/>
          <w:sz w:val="24"/>
          <w:szCs w:val="24"/>
        </w:rPr>
        <w:t>表5-</w:t>
      </w:r>
      <w:r>
        <w:rPr>
          <w:rFonts w:hint="eastAsia" w:eastAsia="宋体" w:ascii="Times New Roman" w:hAnsi="Times New Roman" w:cs="宋体"/>
          <w:lang w:val="en-US" w:eastAsia="zh-CN"/>
          <w:sz w:val="24"/>
          <w:szCs w:val="24"/>
        </w:rPr>
        <w:t>5</w:t>
      </w:r>
      <w:r>
        <w:rPr>
          <w:rFonts w:eastAsia="宋体" w:ascii="Times New Roman" w:hAnsi="Times New Roman" w:cs="宋体"/>
          <w:sz w:val="24"/>
          <w:szCs w:val="24"/>
        </w:rPr>
        <w:t>。</w:t>
      </w:r>
    </w:p>
    <w:p w14:paraId="063DEA48">
      <w:pPr>
        <w:pStyle w:val="12"/>
        <w:spacing w:before="120" w:after="120" w:line="400" w:lineRule="exact"/>
        <w:jc w:val="center"/>
        <w:ind/>
      </w:pPr>
      <w:r>
        <w:rPr>
          <w:b/>
          <w:rFonts w:eastAsia="宋体" w:ascii="Times New Roman" w:hAnsi="Times New Roman" w:cs="宋体"/>
          <w:sz w:val="21"/>
          <w:szCs w:val="21"/>
        </w:rPr>
        <w:t>表5-</w:t>
      </w:r>
      <w:r>
        <w:rPr>
          <w:b/>
          <w:rFonts w:hint="eastAsia" w:eastAsia="宋体" w:ascii="Times New Roman" w:hAnsi="Times New Roman" w:cs="宋体"/>
          <w:lang w:val="en-US" w:eastAsia="zh-CN"/>
          <w:sz w:val="21"/>
          <w:szCs w:val="21"/>
        </w:rPr>
        <w:t>4</w:t>
      </w:r>
      <w:r>
        <w:rPr>
          <w:b/>
          <w:rFonts w:eastAsia="宋体" w:ascii="Times New Roman" w:hAnsi="Times New Roman" w:cs="宋体"/>
          <w:sz w:val="21"/>
          <w:szCs w:val="21"/>
        </w:rPr>
        <w:t xml:space="preserve"> 稳健性检验：校准交叉点调整至P55的组态结果</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57"/>
        <w:gridCol w:w="1757"/>
        <w:gridCol w:w="1757"/>
        <w:gridCol w:w="1757"/>
        <w:gridCol w:w="1757"/>
      </w:tblGrid>
      <w:tr w14:paraId="3348010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路径1 GP*TS*IF</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路径2 GP*TS*DS</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路径3 TI*DS*EN</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路径4 TS*IF*TI</w:t>
            </w:r>
          </w:p>
        </w:tc>
        <w:tc>
          <w:tcPr>
            <w:tcW w:w="1757" w:type="dxa"/>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r>
              <w:t xml:space="preserve">路径5 TS*EN</w:t>
            </w:r>
          </w:p>
        </w:tc>
      </w:tr>
      <w:tr w14:paraId="058DA7B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GP（政策治理）</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r>
      <w:tr w14:paraId="71E7C3C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TS（人才支撑）</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w:t>
            </w:r>
          </w:p>
        </w:tc>
      </w:tr>
      <w:tr w14:paraId="135611C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IF（基础设施）</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
            </w:r>
          </w:p>
        </w:tc>
      </w:tr>
      <w:tr w14:paraId="076B9827">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TI（技术创新）</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w:t>
            </w:r>
          </w:p>
        </w:tc>
      </w:tr>
      <w:tr w14:paraId="1C6C77A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DS（数字化能力）</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0.847</w:t>
            </w:r>
          </w:p>
        </w:tc>
      </w:tr>
      <w:tr w14:paraId="42AD0BF9">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EN（资源禀赋）</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w:t>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p>
        </w:tc>
        <w:tc>
          <w:tcPr>
            <w:tcW w:w="1757" w:type="dxa"/>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0.583</w:t>
            </w:r>
          </w:p>
        </w:tc>
      </w:tr>
      <w:tr w14:paraId="55933D4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一致性</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0.921</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0.945</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0.912</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0.907</w:t>
            </w:r>
          </w:p>
        </w:tc>
        <w:tc>
          <w:tcPr>
            <w:tcW w:w="1757" w:type="dxa"/>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0.049</w:t>
            </w:r>
          </w:p>
        </w:tc>
      </w:tr>
    </w:tbl>
    <w:p w14:paraId="0A3853B7">
      <w:pPr>
        <w:spacing w:before="0" w:after="0" w:line="400" w:lineRule="exact"/>
        <w:jc w:val="both"/>
        <w:ind w:firstLine="480"/>
      </w:pPr>
      <w:r>
        <w:rPr>
          <w:rFonts w:eastAsia="宋体" w:ascii="Times New Roman" w:hAnsi="Times New Roman" w:cs="宋体"/>
          <w:sz w:val="24"/>
          <w:szCs w:val="24"/>
        </w:rPr>
        <w:t>注：●为条件存在；整体解一致性=0.859，整体覆盖度=0.953。</w:t>
      </w:r>
    </w:p>
    <w:p w14:paraId="4DD19B6D">
      <w:pPr>
        <w:spacing w:before="0" w:after="0" w:line="400" w:lineRule="exact"/>
        <w:jc w:val="both"/>
        <w:ind w:firstLine="480"/>
      </w:pPr>
      <w:r>
        <w:rPr>
          <w:rFonts w:eastAsia="宋体" w:ascii="Times New Roman" w:hAnsi="Times New Roman" w:cs="宋体"/>
          <w:sz w:val="24"/>
          <w:szCs w:val="24"/>
        </w:rPr>
        <w:t>由表5-4可知，校准交叉点调整为P55后，4条路径核心条件组合与原始结果完全相同，一致性均有所提升（GP*TS*IF：0.914→0.921，GP*TS*DS：0.937→0.945，TI*DS*EN：0.904→0.912，TS*IF*TI：0.900→0.907），均满足阈值要求；整体覆盖度0.825，路径结构稳定。</w:t>
      </w:r>
      <w:r>
        <w:rPr>
          <w:rFonts w:hint="eastAsia" w:eastAsia="宋体" w:ascii="Times New Roman" w:hAnsi="Times New Roman" w:cs="宋体"/>
          <w:lang w:val="en-US" w:eastAsia="zh-CN"/>
          <w:sz w:val="24"/>
          <w:szCs w:val="24"/>
        </w:rPr>
      </w:r>
      <w:r>
        <w:rPr>
          <w:rFonts w:eastAsia="宋体" w:ascii="Times New Roman" w:hAnsi="Times New Roman" w:cs="宋体"/>
          <w:sz w:val="24"/>
          <w:szCs w:val="24"/>
        </w:rPr>
      </w:r>
    </w:p>
    <w:p w14:paraId="05C628D8">
      <w:pPr>
        <w:pStyle w:val="12"/>
        <w:spacing w:before="120" w:after="120" w:line="400" w:lineRule="exact"/>
        <w:jc w:val="center"/>
        <w:ind/>
      </w:pPr>
      <w:r>
        <w:rPr>
          <w:b/>
          <w:rFonts w:eastAsia="宋体" w:ascii="Times New Roman" w:hAnsi="Times New Roman" w:cs="宋体"/>
          <w:sz w:val="21"/>
          <w:szCs w:val="21"/>
        </w:rPr>
        <w:t>表5-</w:t>
      </w:r>
      <w:r>
        <w:rPr>
          <w:b/>
          <w:rFonts w:hint="eastAsia" w:eastAsia="宋体" w:ascii="Times New Roman" w:hAnsi="Times New Roman" w:cs="宋体"/>
          <w:lang w:val="en-US" w:eastAsia="zh-CN"/>
          <w:sz w:val="21"/>
          <w:szCs w:val="21"/>
        </w:rPr>
        <w:t>5</w:t>
      </w:r>
      <w:r>
        <w:rPr>
          <w:b/>
          <w:rFonts w:eastAsia="宋体" w:ascii="Times New Roman" w:hAnsi="Times New Roman" w:cs="宋体"/>
          <w:sz w:val="21"/>
          <w:szCs w:val="21"/>
        </w:rPr>
        <w:t xml:space="preserve"> 原始结果与稳健性检验结果对比汇总</w:t>
      </w:r>
    </w:p>
    <w:tbl>
      <w:tblPr>
        <w:tblStyle w:val="34"/>
        <w:tblW w:w="0" w:type="auto"/>
        <w:tblInd w:w="0" w:type="dxa"/>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57"/>
        <w:gridCol w:w="1757"/>
        <w:gridCol w:w="1757"/>
        <w:gridCol w:w="1757"/>
      </w:tblGrid>
      <w:tr w14:paraId="071D277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E08D62A">
            <w:pPr>
              <w:jc w:val="center"/>
              <w:spacing w:before="60" w:after="60" w:line="320" w:lineRule="exact"/>
              <w:ind/>
            </w:pPr>
            <w:r>
              <w:rPr>
                <w:rFonts w:eastAsia="宋体" w:ascii="Times New Roman" w:hAnsi="Times New Roman" w:cs="宋体"/>
                <w:b/>
                <w:sz w:val="21"/>
                <w:szCs w:val="21"/>
              </w:rPr>
              <w:t>路径</w:t>
            </w:r>
          </w:p>
        </w:tc>
        <w:tc>
          <w:tcPr>
            <w:tcW w:w="175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07BBAEFB">
            <w:pPr>
              <w:jc w:val="center"/>
              <w:spacing w:before="60" w:after="60" w:line="320" w:lineRule="exact"/>
              <w:ind/>
            </w:pPr>
            <w:r>
              <w:rPr>
                <w:rFonts w:eastAsia="宋体" w:ascii="Times New Roman" w:hAnsi="Times New Roman" w:cs="宋体"/>
                <w:b/>
                <w:sz w:val="21"/>
                <w:szCs w:val="21"/>
              </w:rPr>
              <w:t>指标</w:t>
            </w:r>
          </w:p>
        </w:tc>
        <w:tc>
          <w:tcPr>
            <w:tcW w:w="175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5B78A7DF">
            <w:pPr>
              <w:jc w:val="center"/>
              <w:spacing w:before="60" w:after="60" w:line="320" w:lineRule="exact"/>
              <w:ind/>
            </w:pPr>
            <w:r>
              <w:rPr>
                <w:rFonts w:eastAsia="宋体" w:ascii="Times New Roman" w:hAnsi="Times New Roman" w:cs="宋体"/>
                <w:b/>
                <w:sz w:val="21"/>
                <w:szCs w:val="21"/>
              </w:rPr>
              <w:t>原始结果</w:t>
            </w:r>
            <w:r>
              <w:rPr>
                <w:rFonts w:eastAsia="宋体" w:ascii="Times New Roman" w:hAnsi="Times New Roman" w:cs="宋体"/>
                <w:b/>
                <w:sz w:val="21"/>
                <w:szCs w:val="21"/>
              </w:rPr>
              <w:br w:type="textWrapping"/>
            </w:r>
            <w:r>
              <w:rPr>
                <w:rFonts w:eastAsia="宋体" w:ascii="Times New Roman" w:hAnsi="Times New Roman" w:cs="宋体"/>
                <w:b/>
                <w:sz w:val="21"/>
                <w:szCs w:val="21"/>
              </w:rPr>
              <w:t>（P50，con≥0.850）</w:t>
            </w:r>
          </w:p>
        </w:tc>
        <w:tc>
          <w:tcPr>
            <w:tcW w:w="1757" w:type="dxa"/>
            <w:vAlign w:val="center"/>
            <w:tcBorders>
              <w:top w:val="single" w:sz="12" w:space="0" w:color="000000"/>
              <w:left w:val="nil" w:sz="0" w:space="0" w:color="000000"/>
              <w:right w:val="nil" w:sz="0" w:space="0" w:color="000000"/>
              <w:bottom w:val="single" w:sz="6" w:space="0" w:color="000000"/>
              <w:insideH w:val="nil" w:sz="0" w:space="0" w:color="000000"/>
              <w:insideV w:val="nil" w:sz="0" w:space="0" w:color="000000"/>
            </w:tcBorders>
          </w:tcPr>
          <w:p w14:paraId="124040F0">
            <w:pPr>
              <w:jc w:val="center"/>
              <w:spacing w:before="60" w:after="60" w:line="320" w:lineRule="exact"/>
              <w:ind/>
            </w:pPr>
            <w:r>
              <w:rPr>
                <w:rFonts w:eastAsia="宋体" w:ascii="Times New Roman" w:hAnsi="Times New Roman" w:cs="宋体"/>
                <w:b/>
                <w:sz w:val="21"/>
                <w:szCs w:val="21"/>
              </w:rPr>
              <w:t>稳健检验</w:t>
            </w:r>
            <w:r>
              <w:rPr>
                <w:rFonts w:eastAsia="宋体" w:ascii="Times New Roman" w:hAnsi="Times New Roman" w:cs="宋体"/>
                <w:b/>
                <w:sz w:val="21"/>
                <w:szCs w:val="21"/>
              </w:rPr>
              <w:br w:type="textWrapping"/>
            </w:r>
            <w:r>
              <w:rPr>
                <w:rFonts w:eastAsia="宋体" w:ascii="Times New Roman" w:hAnsi="Times New Roman" w:cs="宋体"/>
                <w:b/>
                <w:sz w:val="21"/>
                <w:szCs w:val="21"/>
              </w:rPr>
              <w:t>（P55，con≥0.850）</w:t>
            </w:r>
          </w:p>
        </w:tc>
      </w:tr>
      <w:tr w14:paraId="4F7C1E90">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GP*TS</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一致性</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0.872</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0.872（±0）</w:t>
            </w:r>
          </w:p>
        </w:tc>
      </w:tr>
      <w:tr w14:paraId="0A388C7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54597E34">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0.655</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0.648（−0.007）</w:t>
            </w:r>
          </w:p>
        </w:tc>
      </w:tr>
      <w:tr w14:paraId="70DA519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6D4F4A34">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唯一覆盖度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0.091</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0.095（+0.004）</w:t>
            </w:r>
          </w:p>
        </w:tc>
      </w:tr>
      <w:tr w14:paraId="78F0FD3C">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GP*EN</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一致性</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0.862</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0.858（−0.004）</w:t>
            </w:r>
          </w:p>
        </w:tc>
      </w:tr>
      <w:tr w14:paraId="49964D6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21FA66B7">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0.624</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0.612（−0.012）</w:t>
            </w:r>
          </w:p>
        </w:tc>
      </w:tr>
      <w:tr w14:paraId="06DF0B45">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26AE9F62">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唯一覆盖度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0.068</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0.071（+0.003）</w:t>
            </w:r>
          </w:p>
        </w:tc>
      </w:tr>
      <w:tr w14:paraId="28CA0E63">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GP*TI</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一致性</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0.856</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0.854（−0.002）</w:t>
            </w:r>
          </w:p>
        </w:tc>
      </w:tr>
      <w:tr w14:paraId="67E388B6">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5D6299B8">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0.636</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0.623（−0.013）</w:t>
            </w:r>
          </w:p>
        </w:tc>
      </w:tr>
      <w:tr w14:paraId="0FA31F6F">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4E778E54">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唯一覆盖度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0.058</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0.059（+0.001）</w:t>
            </w:r>
          </w:p>
        </w:tc>
      </w:tr>
      <w:tr w14:paraId="537A6C32">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TI*EN</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一致性</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0.854</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0.851（−0.003）</w:t>
            </w:r>
          </w:p>
        </w:tc>
      </w:tr>
      <w:tr w14:paraId="53DE374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31D120B9">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0.636</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0.621（−0.015）</w:t>
            </w:r>
          </w:p>
        </w:tc>
      </w:tr>
      <w:tr w14:paraId="00829708">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1B5A89A6">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唯一覆盖度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0.072</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0.073（+0.001）</w:t>
            </w:r>
          </w:p>
        </w:tc>
      </w:tr>
      <w:tr w14:paraId="5AEE565B">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TS*EN</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一致性</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0.850</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0.847（−0.003）</w:t>
            </w:r>
          </w:p>
        </w:tc>
      </w:tr>
      <w:tr w14:paraId="071D277E">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TS*EN</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0.595</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0.583（−0.012）</w:t>
            </w:r>
          </w:p>
        </w:tc>
      </w:tr>
      <w:tr w14:paraId="237D33EA">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vAlign w:val="center"/>
            <w:tcBorders>
              <w:top w:val="none" w:sz="0" w:space="0" w:color="auto"/>
              <w:bottom w:val="none" w:sz="0" w:space="0" w:color="auto"/>
              <w:left w:val="none" w:sz="0" w:space="0" w:color="auto"/>
              <w:right w:val="none" w:sz="0" w:space="0" w:color="auto"/>
            </w:tcBorders>
          </w:tcPr>
          <w:p w14:paraId="1B6CCEDD">
            <w:pPr>
              <w:jc w:val="center"/>
            </w:pP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唯一覆盖度</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0.048</w:t>
            </w:r>
          </w:p>
        </w:tc>
        <w:tc>
          <w:tcPr>
            <w:tcW w:w="1757" w:type="dxa"/>
            <w:vAlign w:val="center"/>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0.049（+0.001）</w:t>
            </w:r>
          </w:p>
        </w:tc>
      </w:tr>
      <w:tr>
        <w:trPr/>
        <w:tc>
          <w:tcPr>
            <w:tcW w:type="dxa" w:w="1757"/>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整体解</w:t>
            </w:r>
          </w:p>
        </w:tc>
        <w:tc>
          <w:tcPr>
            <w:tcW w:type="dxa" w:w="1757"/>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一致性</w:t>
            </w:r>
          </w:p>
        </w:tc>
        <w:tc>
          <w:tcPr>
            <w:tcW w:type="dxa" w:w="1757"/>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0.853</w:t>
            </w:r>
          </w:p>
        </w:tc>
        <w:tc>
          <w:tcPr>
            <w:tcW w:type="dxa" w:w="1757"/>
            <w:tcBorders>
              <w:top w:val="nil" w:sz="0" w:space="0" w:color="000000"/>
              <w:left w:val="nil" w:sz="0" w:space="0" w:color="000000"/>
              <w:right w:val="nil" w:sz="0" w:space="0" w:color="000000"/>
              <w:bottom w:val="nil" w:sz="0" w:space="0" w:color="000000"/>
              <w:insideH w:val="nil" w:sz="0" w:space="0" w:color="000000"/>
              <w:insideV w:val="nil" w:sz="0" w:space="0" w:color="000000"/>
            </w:tcBorders>
          </w:tcPr>
          <w:p>
            <w:r>
              <w:t xml:space="preserve">0.851（−0.002）</w:t>
            </w:r>
          </w:p>
        </w:tc>
      </w:tr>
      <w:tr>
        <w:trPr/>
        <w:tc>
          <w:tcPr>
            <w:tcW w:type="dxa" w:w="175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整体解</w:t>
            </w:r>
          </w:p>
        </w:tc>
        <w:tc>
          <w:tcPr>
            <w:tcW w:type="dxa" w:w="175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覆盖度</w:t>
            </w:r>
          </w:p>
        </w:tc>
        <w:tc>
          <w:tcPr>
            <w:tcW w:type="dxa" w:w="175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0.812</w:t>
            </w:r>
          </w:p>
        </w:tc>
        <w:tc>
          <w:tcPr>
            <w:tcW w:type="dxa" w:w="1757"/>
            <w:tcBorders>
              <w:top w:val="nil" w:sz="0" w:space="0" w:color="000000"/>
              <w:left w:val="nil" w:sz="0" w:space="0" w:color="000000"/>
              <w:right w:val="nil" w:sz="0" w:space="0" w:color="000000"/>
              <w:bottom w:val="single" w:sz="12" w:space="0" w:color="000000"/>
              <w:insideH w:val="nil" w:sz="0" w:space="0" w:color="000000"/>
              <w:insideV w:val="nil" w:sz="0" w:space="0" w:color="000000"/>
            </w:tcBorders>
          </w:tcPr>
          <w:p>
            <w:r>
              <w:t xml:space="preserve">0.804（−0.008）</w:t>
            </w:r>
          </w:p>
        </w:tc>
      </w:tr>
    </w:tbl>
    <w:p w14:paraId="5B4C9B34">
      <w:pPr>
        <w:spacing w:before="0" w:after="0" w:line="400" w:lineRule="exact"/>
        <w:jc w:val="both"/>
        <w:ind w:firstLine="480"/>
      </w:pPr>
      <w:r>
        <w:rPr>
          <w:rFonts w:eastAsia="宋体" w:ascii="Times New Roman" w:hAnsi="Times New Roman" w:cs="宋体"/>
          <w:sz w:val="24"/>
          <w:szCs w:val="24"/>
        </w:rPr>
        <w:t>由表5-4可知，稳健性检验均与原始结果高度一致：路径结构保持不变，一致性小幅提升（+0.007至+0.008），路径类型与核心条件划分稳定，整体覆盖度0.825，结论稳健性得到充分验证。</w:t>
      </w:r>
      <w:r>
        <w:rPr>
          <w:rFonts w:hint="eastAsia" w:eastAsia="宋体" w:ascii="Times New Roman" w:hAnsi="Times New Roman" w:cs="宋体"/>
          <w:lang w:val="en-US" w:eastAsia="zh-CN"/>
          <w:sz w:val="24"/>
          <w:szCs w:val="24"/>
        </w:rPr>
      </w:r>
      <w:r>
        <w:rPr>
          <w:rFonts w:eastAsia="宋体" w:ascii="Times New Roman" w:hAnsi="Times New Roman" w:cs="宋体"/>
          <w:sz w:val="24"/>
          <w:szCs w:val="24"/>
        </w:rPr>
      </w:r>
    </w:p>
    <w:p w14:paraId="785A5B27">
      <w:pPr>
        <w:pStyle w:val="3"/>
        <w:spacing w:before="240" w:after="240" w:line="400" w:lineRule="exact"/>
        <w:jc w:val="both"/>
      </w:pPr>
      <w:r>
        <w:rPr>
          <w:b/>
          <w:rFonts w:eastAsia="黑体" w:ascii="Times New Roman" w:hAnsi="Times New Roman" w:cs="黑体"/>
          <w:sz w:val="28"/>
          <w:szCs w:val="28"/>
        </w:rPr>
        <w:t>5.6 本章小结</w:t>
      </w:r>
    </w:p>
    <w:p w14:paraId="0E91AC86">
      <w:pPr>
        <w:spacing w:before="0" w:after="0" w:line="400" w:lineRule="exact"/>
        <w:jc w:val="both"/>
        <w:ind w:firstLine="480"/>
      </w:pPr>
      <w:r>
        <w:rPr>
          <w:rFonts w:eastAsia="宋体" w:ascii="Times New Roman" w:hAnsi="Times New Roman" w:cs="宋体"/>
          <w:sz w:val="24"/>
          <w:szCs w:val="24"/>
        </w:rPr>
        <w:t>本章基于N=508的正式调研数据，采用模糊集定性比较分析（fsQCA）对烟台集群电商高水平发展的条件组合进行系统分析。主要发现如下：</w:t>
      </w:r>
    </w:p>
    <w:p w14:paraId="24A15651">
      <w:pPr>
        <w:spacing w:before="0" w:after="0" w:line="400" w:lineRule="exact"/>
        <w:jc w:val="both"/>
        <w:ind w:firstLine="480"/>
      </w:pPr>
      <w:r>
        <w:rPr>
          <w:rFonts w:eastAsia="宋体" w:ascii="Times New Roman" w:hAnsi="Times New Roman" w:cs="宋体"/>
          <w:sz w:val="24"/>
          <w:szCs w:val="24"/>
        </w:rPr>
        <w:t>第一，不存在单一必要条件（所有条件必要性一致性&lt;0.900），集群电商高水平发展是多因素协同作用的结果，体现了复杂因果关系的"等效性"与"非对称性"。</w:t>
      </w:r>
    </w:p>
    <w:p w14:paraId="338BA705">
      <w:pPr>
        <w:spacing w:before="0" w:after="0" w:line="400" w:lineRule="exact"/>
        <w:jc w:val="both"/>
        <w:ind w:firstLine="480"/>
      </w:pPr>
      <w:r>
        <w:rPr>
          <w:rFonts w:eastAsia="宋体" w:ascii="Times New Roman" w:hAnsi="Times New Roman" w:cs="宋体"/>
          <w:sz w:val="24"/>
          <w:szCs w:val="24"/>
        </w:rPr>
        <w:t>第二，识别出5条驱动路径：政策-设施协同驱动型、人才-技术-基础设施三元驱动型、技术-数字能力内生型、资源-数字能力整合型，四条路径整体覆盖度达0.967，具有良好的解释力。</w:t>
      </w:r>
    </w:p>
    <w:p w14:paraId="692CAF3E">
      <w:pPr>
        <w:spacing w:before="0" w:after="0" w:line="400" w:lineRule="exact"/>
        <w:jc w:val="both"/>
        <w:ind w:firstLine="480"/>
      </w:pPr>
      <w:r>
        <w:rPr>
          <w:rFonts w:eastAsia="宋体" w:ascii="Times New Roman" w:hAnsi="Times New Roman" w:cs="宋体"/>
          <w:sz w:val="24"/>
          <w:szCs w:val="24"/>
        </w:rPr>
        <w:t>第三，fsQCA结果与SEM分析形成相互印证：数字化能力（DS）在路径2和路径3中作为核心条件出现，与SEM中DS对CDL路径系数最高（β=0.100）一致；政策治理与人才支撑共同出现于路径1和路径2中，印证了SEM中GP→IF→CDL和TS→IF→CDL两条完全中介路径的理论逻辑；技术创新与资源禀赋通过数字化能力的内生组合（路径3），与SEM中TI→DS→CDL及EN→DS→CDL双链机制高度对应。</w:t>
      </w:r>
    </w:p>
    <w:p w14:paraId="27A2641B">
      <w:pPr>
        <w:spacing w:before="0" w:after="0" w:line="400" w:lineRule="exact"/>
        <w:jc w:val="both"/>
        <w:ind w:firstLine="480"/>
      </w:pPr>
      <w:r>
        <w:rPr>
          <w:rFonts w:eastAsia="宋体" w:ascii="Times New Roman" w:hAnsi="Times New Roman" w:cs="宋体"/>
          <w:sz w:val="24"/>
          <w:szCs w:val="24"/>
        </w:rPr>
        <w:t>综合本章与第四章的分析，下一章将在研究结论的基础上，提出有针对性的对策建议，并讨论研究局限与展望。</w:t>
      </w:r>
    </w:p>
    <w:p w14:paraId="544E64E2">
      <w:pPr>
        <w:pStyle w:val="2"/>
        <w:spacing w:before="0" w:after="0" w:line="400" w:lineRule="exact"/>
        <w:jc w:val="both"/>
      </w:pPr>
      <w:r>
        <w:rPr>
          <w:b/>
          <w:rFonts w:eastAsia="黑体" w:ascii="Times New Roman" w:hAnsi="Times New Roman" w:cs="黑体"/>
          <w:sz w:val="32"/>
          <w:szCs w:val="32"/>
        </w:rPr>
        <w:t>第六章 研究结论与对策建议</w:t>
      </w:r>
    </w:p>
    <w:p w14:paraId="72ABF3B6">
      <w:pPr>
        <w:pStyle w:val="3"/>
        <w:spacing w:before="240" w:after="240" w:line="400" w:lineRule="exact"/>
        <w:jc w:val="both"/>
      </w:pPr>
      <w:r>
        <w:rPr>
          <w:b/>
          <w:rFonts w:eastAsia="黑体" w:ascii="Times New Roman" w:hAnsi="Times New Roman" w:cs="黑体"/>
          <w:sz w:val="28"/>
          <w:szCs w:val="28"/>
        </w:rPr>
        <w:t>6.1 研究结论</w:t>
      </w:r>
    </w:p>
    <w:p w14:paraId="2DD15C07">
      <w:pPr>
        <w:spacing w:before="0" w:after="0" w:line="400" w:lineRule="exact"/>
        <w:jc w:val="both"/>
        <w:ind w:firstLine="480"/>
      </w:pPr>
      <w:r>
        <w:rPr>
          <w:rFonts w:eastAsia="宋体" w:ascii="Times New Roman" w:hAnsi="Times New Roman" w:cs="宋体"/>
          <w:sz w:val="24"/>
          <w:szCs w:val="24"/>
        </w:rPr>
        <w:t>本文以烟台地区集群电商经济为研究对象，综合运用结构方程模型（SEM）与模糊集定性比较分析（fsQCA）两种方法，从"净效应"与"组态效应"两个维度，系统探讨了政策治理、人才支撑、基础设施建设、技术创新水平、数字化能力、资源禀赋六大因素对集群电商发展水平的影响机制。研究基于508份有效问卷，主要形成以下四项研究结论：</w:t>
      </w:r>
    </w:p>
    <w:p w14:paraId="5FCE4121">
      <w:pPr>
        <w:spacing w:before="0" w:after="0" w:line="400" w:lineRule="exact"/>
        <w:jc w:val="both"/>
        <w:ind w:firstLine="480"/>
      </w:pPr>
      <w:r>
        <w:rPr>
          <w:rFonts w:eastAsia="宋体" w:ascii="Times New Roman" w:hAnsi="Times New Roman" w:cs="宋体"/>
          <w:sz w:val="24"/>
          <w:szCs w:val="24"/>
        </w:rPr>
        <w:t>结论一：六大影响因素对集群电商发展水平均存在显著的间接影响，基础设施建设与数字技能是核心中介机制。</w:t>
      </w:r>
    </w:p>
    <w:p w14:paraId="2334EB8D">
      <w:pPr>
        <w:spacing w:before="0" w:after="0" w:line="400" w:lineRule="exact"/>
        <w:jc w:val="both"/>
        <w:ind w:firstLine="480"/>
      </w:pPr>
      <w:r>
        <w:rPr>
          <w:rFonts w:eastAsia="宋体" w:ascii="Times New Roman" w:hAnsi="Times New Roman" w:cs="宋体"/>
          <w:sz w:val="24"/>
          <w:szCs w:val="24"/>
        </w:rPr>
        <w:t>SEM分析表明，在部分中介模型框架下，GP和TS通过IF、TI和EN通过DS间接影响CDL，六条结构路径系数均在0.001水平上显著（β=0.338—0.595）。其中，DS对CDL的标准化路径系数最高（β=0.100），说明数字化能力水平是推动集群电商发展的最直接驱动力；GP对IF的影响（β=0.345）在两条前导路径中最强，体现了政策支持对基础设施投入的优先引导作用。Bootstrap中介检验（B=5000）进一步证实，四条中介路径（GP→IF→CDL、TS→IF→CDL、TI→DS→CDL、EN→DS→CDL）的间接效应均显著，95%置信区间不含零，完全中介成立。</w:t>
      </w:r>
    </w:p>
    <w:p w14:paraId="71FA4BC7">
      <w:pPr>
        <w:spacing w:before="0" w:after="0" w:line="400" w:lineRule="exact"/>
        <w:jc w:val="both"/>
        <w:ind w:firstLine="480"/>
      </w:pPr>
      <w:r>
        <w:rPr>
          <w:rFonts w:eastAsia="宋体" w:ascii="Times New Roman" w:hAnsi="Times New Roman" w:cs="宋体"/>
          <w:sz w:val="24"/>
          <w:szCs w:val="24"/>
        </w:rPr>
        <w:t>结论二：烟台集群电商高水平发展无单一必要条件，具有典型的"多路径等效"特征。</w:t>
      </w:r>
    </w:p>
    <w:p w14:paraId="0FE350C4">
      <w:pPr>
        <w:spacing w:before="0" w:after="0" w:line="400" w:lineRule="exact"/>
        <w:jc w:val="both"/>
        <w:ind w:firstLine="480"/>
      </w:pPr>
      <w:r>
        <w:rPr>
          <w:rFonts w:eastAsia="宋体" w:ascii="Times New Roman" w:hAnsi="Times New Roman" w:cs="宋体"/>
          <w:sz w:val="24"/>
          <w:szCs w:val="24"/>
        </w:rPr>
        <w:t>fsQCA必要性分析显示，所有六个条件的必要性一致性均低于0.900的阈值，不存在任何单一必要条件。这意味着集群电商高水平发展并不依赖某一单一因素，而是由多条件组合共同驱动，体现了复杂因果系统的"等效性"特征，验证了采用组态方法的必要性。</w:t>
      </w:r>
    </w:p>
    <w:p w14:paraId="65F1E3B6">
      <w:pPr>
        <w:spacing w:before="0" w:after="0" w:line="400" w:lineRule="exact"/>
        <w:jc w:val="both"/>
        <w:ind w:firstLine="480"/>
      </w:pPr>
      <w:r>
        <w:rPr>
          <w:rFonts w:eastAsia="宋体" w:ascii="Times New Roman" w:hAnsi="Times New Roman" w:cs="宋体"/>
          <w:sz w:val="24"/>
          <w:szCs w:val="24"/>
        </w:rPr>
        <w:t>结论三：识别出四条驱动集群电商高水平发展的组态路径，路径结构与SEM结论高度一致。</w:t>
      </w:r>
    </w:p>
    <w:p w14:paraId="01E64EA1">
      <w:pPr>
        <w:spacing w:before="0" w:after="0" w:line="400" w:lineRule="exact"/>
        <w:jc w:val="both"/>
        <w:ind w:firstLine="480"/>
      </w:pPr>
      <w:r>
        <w:rPr>
          <w:rFonts w:eastAsia="宋体" w:ascii="Times New Roman" w:hAnsi="Times New Roman" w:cs="宋体"/>
          <w:sz w:val="24"/>
          <w:szCs w:val="24"/>
        </w:rPr>
        <w:t>（4）人才-技术-基础设施三元驱动型。路径4（TS*IF*TI）由人才支撑、基础设施与技术创新三个条件共同构成，均为核心条件，一致性为0.900，覆盖率为0.529，净覆盖率为0.013。该路径揭示了一种不强依赖政府政策的"内生能力驱动"模式：依托本地人才供给、完善的基础设施与较强的技术创新能力，集群可实现高水平发展。这与SEM中TS→IF→CDL和TI→DS→CDL的双链中介机制相互呼应，体现了人才、技术与设施三者协同形成集群内生发展动力的理论逻辑。</w:t>
      </w:r>
    </w:p>
    <w:p w14:paraId="727F9F3C">
      <w:pPr>
        <w:spacing w:before="0" w:after="0" w:line="400" w:lineRule="exact"/>
        <w:jc w:val="both"/>
        <w:ind w:firstLine="480"/>
      </w:pPr>
      <w:r>
        <w:rPr>
          <w:rFonts w:eastAsia="宋体" w:ascii="Times New Roman" w:hAnsi="Times New Roman" w:cs="宋体"/>
          <w:sz w:val="24"/>
          <w:szCs w:val="24"/>
        </w:rPr>
        <w:t>结论四：SEM净效应分析与fsQCA组态分析形成互证，两套方法优势互补。</w:t>
      </w:r>
    </w:p>
    <w:p w14:paraId="2EB34556">
      <w:pPr>
        <w:spacing w:before="0" w:after="0" w:line="400" w:lineRule="exact"/>
        <w:jc w:val="both"/>
        <w:ind w:firstLine="480"/>
      </w:pPr>
      <w:r>
        <w:rPr>
          <w:rFonts w:eastAsia="宋体" w:ascii="Times New Roman" w:hAnsi="Times New Roman" w:cs="宋体"/>
          <w:sz w:val="24"/>
          <w:szCs w:val="24"/>
        </w:rPr>
        <w:t>比较来看，SEM揭示了各因素对集群发展水平的边际净效应与中介机制，而fsQCA进一步呈现了条件间的"替代性"与"协同性"：数字化能力（DS）在路径2（GP*TS*DS）和路径3（TI*DS*EN）中作为核心条件出现，与SEM中DS路径系数最高（β=0.100）相印证；GP和TS在路径1和路径2中均作为核心条件出现，揭示了政策-人才双驱动的条件依存关系，是SEM净效应分析无法独立呈现的组合效应。两种方法的互补使用使本文研究结论更为完整、可信。</w:t>
      </w:r>
    </w:p>
    <w:p w14:paraId="26DC854B">
      <w:pPr>
        <w:pStyle w:val="3"/>
        <w:spacing w:before="240" w:after="240" w:line="400" w:lineRule="exact"/>
        <w:jc w:val="both"/>
      </w:pPr>
      <w:r>
        <w:rPr>
          <w:b/>
          <w:rFonts w:eastAsia="黑体" w:ascii="Times New Roman" w:hAnsi="Times New Roman" w:cs="黑体"/>
          <w:sz w:val="28"/>
          <w:szCs w:val="28"/>
        </w:rPr>
        <w:t>6.2 发展对策建议</w:t>
      </w:r>
    </w:p>
    <w:p w14:paraId="569F0727">
      <w:pPr>
        <w:spacing w:before="0" w:after="0" w:line="400" w:lineRule="exact"/>
        <w:jc w:val="both"/>
        <w:ind w:firstLine="480"/>
      </w:pPr>
      <w:r>
        <w:rPr>
          <w:rFonts w:eastAsia="宋体" w:ascii="Times New Roman" w:hAnsi="Times New Roman" w:cs="宋体"/>
          <w:sz w:val="24"/>
          <w:szCs w:val="24"/>
        </w:rPr>
        <w:t>结合SEM与fsQCA方法的研究结果，烟台集群电商高水平发展存在4条组态路径：路径1"政策-人才-基础设施协同驱动型"（GP*TS*IF）、路径2"政策-人才-数字化协同驱动型"（GP*TS*DS）、路径3"技术-数字-资源内生驱动型"（TI*DS*EN）、路径4"人才-技术-基础设施三元驱动型"（TS*IF*TI）。各路径均包含6个条件变量中的3个，体现了集群高水平发展的多元等效性。</w:t>
      </w:r>
    </w:p>
    <w:p w14:paraId="23C3FCE6">
      <w:pPr>
        <w:pStyle w:val="4"/>
        <w:spacing w:before="0" w:after="0" w:line="400" w:lineRule="exact"/>
        <w:jc w:val="both"/>
      </w:pPr>
      <w:r>
        <w:rPr>
          <w:b/>
          <w:rFonts w:eastAsia="黑体" w:ascii="Times New Roman" w:hAnsi="Times New Roman" w:cs="黑体"/>
          <w:sz w:val="24"/>
          <w:szCs w:val="24"/>
        </w:rPr>
        <w:t>6.2.1 政策-人才-基础设施协同型策略（对应路径1：GP*TS*IF）</w:t>
      </w:r>
    </w:p>
    <w:p w14:paraId="3D079918">
      <w:pPr>
        <w:spacing w:before="0" w:after="0" w:line="400" w:lineRule="exact"/>
        <w:jc w:val="both"/>
        <w:ind w:firstLine="480"/>
      </w:pPr>
      <w:r>
        <w:rPr>
          <w:rFonts w:eastAsia="宋体" w:ascii="Times New Roman" w:hAnsi="Times New Roman" w:cs="宋体"/>
          <w:sz w:val="24"/>
          <w:szCs w:val="24"/>
        </w:rPr>
        <w:t>路径1表明，政策治理、人才支撑与基础设施建设共同构成集群电商高水平发展的充分条件组合，三者均为核心条件，一致性为0.914，覆盖度为0.586。这一结果与SEM中GP→IF→CDL（间接效应=0.215***）和TS→IF→CDL（间接效应=0.136***）两条路径高度印证，揭示了政策与人才协同带动基础设施完善的传导机制。</w:t>
      </w:r>
    </w:p>
    <w:p w14:paraId="3B68E826">
      <w:pPr>
        <w:spacing w:before="0" w:after="0" w:line="400" w:lineRule="exact"/>
        <w:jc w:val="both"/>
        <w:ind w:firstLine="480"/>
      </w:pPr>
      <w:r>
        <w:rPr>
          <w:rFonts w:eastAsia="宋体" w:ascii="Times New Roman" w:hAnsi="Times New Roman" w:cs="宋体"/>
          <w:sz w:val="24"/>
          <w:szCs w:val="24"/>
        </w:rPr>
        <w:t>因此，建议从政策与基础设施两个层面协同发力：其一，烟台市及各区县政府应制定系统性电商集群扶持政策，设立专项资金，建立电商集群认定与差异化补贴机制，推动政策精准落地；其二，加快农村宽带与5G网络向丘陵山区乡镇延伸，增加农村快递服务网点，支持建设区县共享型电商物流仓储基地，构建"物流-数字"双基础设施格局，为政策赋能效果的充分释放提供硬件保障。正如陇南电商扶贫集群的发展经验所示，政府扶持与基础设施完善的协同往往能推动欠发展地区实现电商集群的快速起步与规模跃升。</w:t>
      </w:r>
    </w:p>
    <w:p w14:paraId="7426E815">
      <w:pPr>
        <w:pStyle w:val="4"/>
        <w:spacing w:before="0" w:after="0" w:line="400" w:lineRule="exact"/>
        <w:jc w:val="both"/>
      </w:pPr>
      <w:r>
        <w:rPr>
          <w:b/>
          <w:rFonts w:eastAsia="黑体" w:ascii="Times New Roman" w:hAnsi="Times New Roman" w:cs="黑体"/>
          <w:sz w:val="24"/>
          <w:szCs w:val="24"/>
        </w:rPr>
        <w:t>6.2.2 政策-人才-数字化协同型策略（对应路径2：GP*TS*DS）</w:t>
      </w:r>
    </w:p>
    <w:p w14:paraId="7C49D91F">
      <w:pPr>
        <w:spacing w:before="0" w:after="0" w:line="400" w:lineRule="exact"/>
        <w:jc w:val="both"/>
        <w:ind w:firstLine="480"/>
      </w:pPr>
      <w:r>
        <w:rPr>
          <w:rFonts w:eastAsia="宋体" w:ascii="Times New Roman" w:hAnsi="Times New Roman" w:cs="宋体"/>
          <w:sz w:val="24"/>
          <w:szCs w:val="24"/>
        </w:rPr>
        <w:t>路径2表明，政策治理、人才支撑与数字化能力共同构成集群电商高水平发展的充分条件，一致性最高（0.937），覆盖度为0.550。政府应通过人才引进与培育政策，提升从业者数字化运营能力，形成政策-人才-数字化能力的正向协同；同时加强本地电商平台建设与数字技能培训，使政策红利通过人才与数字化能力双重传导有效落地。</w:t>
      </w:r>
    </w:p>
    <w:p w14:paraId="2F8047D3">
      <w:pPr>
        <w:spacing w:before="0" w:after="0" w:line="400" w:lineRule="exact"/>
        <w:jc w:val="both"/>
        <w:ind w:firstLine="480"/>
      </w:pPr>
      <w:r>
        <w:rPr>
          <w:rFonts w:eastAsia="宋体" w:ascii="Times New Roman" w:hAnsi="Times New Roman" w:cs="宋体"/>
          <w:sz w:val="24"/>
          <w:szCs w:val="24"/>
        </w:rPr>
        <w:t>建议围绕"政策赋能+人才驱动+数字化提升"三位一体：第一，持续强化电商扶持政策精准落地，建立政策实施绩效评估机制；第二，依托烟台大学、山东工商学院等高校开展"产教融合"电商人才培养项目，将直播运营、数字营销纳入职业教育体系；第三，支持本地电商平台数字化升级，完善从业者数字技能培训体系，实现政策与人才双轮驱动数字化能力提升。</w:t>
      </w:r>
    </w:p>
    <w:p w14:paraId="4E1A47E4">
      <w:pPr>
        <w:pStyle w:val="4"/>
        <w:spacing w:before="0" w:after="0" w:line="400" w:lineRule="exact"/>
        <w:jc w:val="both"/>
      </w:pPr>
      <w:r>
        <w:rPr>
          <w:b/>
          <w:rFonts w:eastAsia="黑体" w:ascii="Times New Roman" w:hAnsi="Times New Roman" w:cs="黑体"/>
          <w:sz w:val="24"/>
          <w:szCs w:val="24"/>
        </w:rPr>
        <w:t>6.2.3 技术-数字-资源内生驱动型策略（对应路径3：TI*DS*EN）</w:t>
      </w:r>
    </w:p>
    <w:p w14:paraId="10B38D83">
      <w:pPr>
        <w:spacing w:before="0" w:after="0" w:line="400" w:lineRule="exact"/>
        <w:jc w:val="both"/>
        <w:ind w:firstLine="480"/>
      </w:pPr>
      <w:r>
        <w:rPr>
          <w:rFonts w:eastAsia="宋体" w:ascii="Times New Roman" w:hAnsi="Times New Roman" w:cs="宋体"/>
          <w:sz w:val="24"/>
          <w:szCs w:val="24"/>
        </w:rPr>
        <w:t>路径3表明，技术创新、数字化能力与资源禀赋的组合具有最高净覆盖率（0.129），是烟台集群电商最具独特解释力的发展路径，一致性为0.904，覆盖率为0.589。建议从技术应用与能力提升两方面推进：支持集群内企业开展数字化技术研发与应用，形成技术创新赋能数字化能力的内生循环；依托地理标志特色农产品资源优势，打造"资源+数字"的特色发展模式。</w:t>
      </w:r>
    </w:p>
    <w:p w14:paraId="1874621B">
      <w:pPr>
        <w:spacing w:before="0" w:after="0" w:line="400" w:lineRule="exact"/>
        <w:jc w:val="both"/>
        <w:ind w:firstLine="480"/>
      </w:pPr>
      <w:r>
        <w:rPr>
          <w:rFonts w:eastAsia="宋体" w:ascii="Times New Roman" w:hAnsi="Times New Roman" w:cs="宋体"/>
          <w:sz w:val="24"/>
          <w:szCs w:val="24"/>
        </w:rPr>
        <w:t>建议从技术应用与能力提升两方面推动内生发展动力：第一，支持烟台集群电商主体加大数字化转型投入，引进直播技术、智能仓储、数据化选品等技术工具，推动电商主体从"经验型经营"向"数据型运营"升级；第二，在烟台各主要电商集聚区（如牟平葡萄酒电商集群、栖霞苹果电商集群）设立"数字技能训练营"，开展短视频制作、直播带货、电商数据分析等实操培训，鼓励大型电商平台（京东、抖音电商等）在烟台设立官方认证培训中心，构建"技术供给-能力培育-平台赋能"的内生成长闭环。</w:t>
      </w:r>
    </w:p>
    <w:p w14:paraId="7FB88B67">
      <w:pPr>
        <w:pStyle w:val="4"/>
        <w:spacing w:before="0" w:after="0" w:line="400" w:lineRule="exact"/>
        <w:jc w:val="both"/>
      </w:pPr>
      <w:r>
        <w:rPr>
          <w:b/>
          <w:rFonts w:eastAsia="黑体" w:ascii="Times New Roman" w:hAnsi="Times New Roman" w:cs="黑体"/>
          <w:sz w:val="24"/>
          <w:szCs w:val="24"/>
        </w:rPr>
        <w:t>6.2.4 人才-技术-基础设施三元驱动型策略（对应路径4：TS*IF*TI）</w:t>
      </w:r>
    </w:p>
    <w:p w14:paraId="44E81B28">
      <w:pPr>
        <w:spacing w:before="0" w:after="0" w:line="400" w:lineRule="exact"/>
        <w:jc w:val="both"/>
        <w:ind w:firstLine="480"/>
      </w:pPr>
      <w:r>
        <w:rPr>
          <w:rFonts w:eastAsia="宋体" w:ascii="Times New Roman" w:hAnsi="Times New Roman" w:cs="宋体"/>
          <w:sz w:val="24"/>
          <w:szCs w:val="24"/>
        </w:rPr>
        <w:t>路径4表明，人才支撑、基础设施建设与技术创新三者协同构成集群发展的内生驱动力，一致性为0.900，覆盖率为0.529。建议从人才与技术两方面形成"人才-技术的双轮驱动格局"：加大专业电商人才培养与引进力度，完善物流与数字基础设施配套，同时支持技术创新能力提升，三者协同发力以实现集群可持续高质量发展。</w:t>
      </w:r>
    </w:p>
    <w:p w14:paraId="4472329B">
      <w:pPr>
        <w:spacing w:before="0" w:after="0" w:line="400" w:lineRule="exact"/>
        <w:jc w:val="both"/>
        <w:ind w:firstLine="480"/>
      </w:pPr>
      <w:r>
        <w:rPr>
          <w:rFonts w:eastAsia="宋体" w:ascii="Times New Roman" w:hAnsi="Times New Roman" w:cs="宋体"/>
          <w:sz w:val="24"/>
          <w:szCs w:val="24"/>
        </w:rPr>
        <w:t>建议围绕"人才+技术+基础设施"三元驱动逻辑制定专项策略：第一，加大电商人才引进与留存力度，完善人才公寓、子女教育等配套保障；第二，持续完善农村宽带、5G网络、冷链物流等数字基础设施，降低电商运营门槛；第三，支持集群企业引进大数据选品、智能仓储等新技术，以技术创新强化集群内生竞争力，形成人才、技术与基础设施协同驱动的可持续发展格局。</w:t>
      </w:r>
    </w:p>
    <w:p w14:paraId="7DF40BAA">
      <w:pPr>
        <w:pStyle w:val="3"/>
        <w:spacing w:before="240" w:after="240" w:line="400" w:lineRule="exact"/>
        <w:jc w:val="both"/>
      </w:pPr>
      <w:r>
        <w:rPr>
          <w:b/>
          <w:rFonts w:eastAsia="黑体" w:ascii="Times New Roman" w:hAnsi="Times New Roman" w:cs="黑体"/>
          <w:sz w:val="28"/>
          <w:szCs w:val="28"/>
        </w:rPr>
        <w:t>6.3 研究不足与未来展望</w:t>
      </w:r>
    </w:p>
    <w:p w14:paraId="54C77E25">
      <w:pPr>
        <w:pStyle w:val="4"/>
        <w:spacing w:before="0" w:after="0" w:line="400" w:lineRule="exact"/>
        <w:jc w:val="both"/>
      </w:pPr>
      <w:r>
        <w:rPr>
          <w:b/>
          <w:rFonts w:eastAsia="黑体" w:ascii="Times New Roman" w:hAnsi="Times New Roman" w:cs="黑体"/>
          <w:sz w:val="24"/>
          <w:szCs w:val="24"/>
        </w:rPr>
        <w:t>6.3.1 研究不足</w:t>
      </w:r>
    </w:p>
    <w:p w14:paraId="5D4C7096">
      <w:pPr>
        <w:spacing w:before="0" w:after="0" w:line="400" w:lineRule="exact"/>
        <w:jc w:val="both"/>
        <w:ind w:firstLine="480"/>
      </w:pPr>
      <w:r>
        <w:rPr>
          <w:rFonts w:eastAsia="宋体" w:ascii="Times New Roman" w:hAnsi="Times New Roman" w:cs="宋体"/>
          <w:sz w:val="24"/>
          <w:szCs w:val="24"/>
        </w:rPr>
        <w:t>本文在研究设计与数据获取方面存在以下不足，有待后续研究加以改进：</w:t>
      </w:r>
    </w:p>
    <w:p w14:paraId="44B197C9">
      <w:pPr>
        <w:spacing w:before="0" w:after="0" w:line="400" w:lineRule="exact"/>
        <w:jc w:val="both"/>
        <w:ind w:firstLine="480"/>
      </w:pPr>
      <w:r>
        <w:rPr>
          <w:rFonts w:eastAsia="宋体" w:ascii="Times New Roman" w:hAnsi="Times New Roman" w:cs="宋体"/>
          <w:sz w:val="24"/>
          <w:szCs w:val="24"/>
        </w:rPr>
        <w:t>第一，测量数据基于主观感知，客观数据缺失。本文采用问卷调查的方式，由受访者对各维度进行主观评分，存在一定的社会期望偏差（Social Desirability Bias）和共同方法偏差（Common Method Bias）风险。事实上，烟台集群电商发展的真实状况涉及大量客观层面的数据，例如：各区县电商规模数据（GMV、注册电商主体数量、网络零售额等）、实际基础设施建设投入（宽带普及率、快递站点密度、农村物流覆盖率等）、政府实际财政扶持力度（电商专项资金拨付额）、劳动力受教育水平与职业技能认证数据等。这些客观数据目前难以通过问卷获取，导致研究结论在一定程度上依赖受访者的主观判断，可能存在对实际状况的高估或低估。未来研究应尝试引入行政统计数据、平台运营数据或实地调研记录等客观指标进行补充或替代验证。</w:t>
      </w:r>
    </w:p>
    <w:p w14:paraId="68761576">
      <w:pPr>
        <w:spacing w:before="0" w:after="0" w:line="400" w:lineRule="exact"/>
        <w:jc w:val="both"/>
        <w:ind w:firstLine="480"/>
      </w:pPr>
      <w:r>
        <w:rPr>
          <w:rFonts w:eastAsia="宋体" w:ascii="Times New Roman" w:hAnsi="Times New Roman" w:cs="宋体"/>
          <w:sz w:val="24"/>
          <w:szCs w:val="24"/>
        </w:rPr>
        <w:t>第二，样本地域覆盖与分层不足。本次正式调研以烟台芝罘区、牟平区、莱山区为主要来源地，偏向城区从业者。烟台下辖栖霞、蓬莱、海阳、莱州等苹果、葡萄酒、特色农产品集群核心产区的样本占比不足，可能导致研究结论对烟台农村"核心资源产区"集群电商的代表性偏弱。此外，本文未对不同规模、不同发展阶段的集群主体进行分层抽样，数据异质性可能被平均效应掩盖。</w:t>
      </w:r>
    </w:p>
    <w:p w14:paraId="408C7D22">
      <w:pPr>
        <w:spacing w:before="0" w:after="0" w:line="400" w:lineRule="exact"/>
        <w:jc w:val="both"/>
        <w:ind w:firstLine="480"/>
      </w:pPr>
      <w:r>
        <w:rPr>
          <w:rFonts w:eastAsia="宋体" w:ascii="Times New Roman" w:hAnsi="Times New Roman" w:cs="宋体"/>
          <w:sz w:val="24"/>
          <w:szCs w:val="24"/>
        </w:rPr>
        <w:t>第三，研究时点为截面数据，无法捕捉动态演化过程。集群电商发展是一个动态演化过程，政策、技术、人才等条件之间的配置关系可能随时间变化而调整。本文采用横截面问卷数据，仅能反映调研时点的静态关系，无法追踪集群从"起步发展"到"成熟繁荣"各阶段中条件组合路径的动态变化，存在"时间效度"方面的局限。</w:t>
      </w:r>
    </w:p>
    <w:p w14:paraId="4ACC4167">
      <w:pPr>
        <w:spacing w:before="0" w:after="0" w:line="400" w:lineRule="exact"/>
        <w:jc w:val="both"/>
        <w:ind w:firstLine="480"/>
      </w:pPr>
      <w:r>
        <w:rPr>
          <w:rFonts w:eastAsia="宋体" w:ascii="Times New Roman" w:hAnsi="Times New Roman" w:cs="宋体"/>
          <w:sz w:val="24"/>
          <w:szCs w:val="24"/>
        </w:rPr>
        <w:t>第四，fsQCA覆盖了中介变量作为条件的情形，条件选择逻辑有待进一步验证。本文在fsQCA中将IF和DS（SEM模型中的中介变量）一并纳入为fsQCA条件，这虽然能够识别更丰富的路径组合，但也在一定程度上混合了"原因→结果"与"中介→结果"两种因果逻辑，需在未来研究中通过两步fsQCA或反事实分析等方式进一步验证。</w:t>
      </w:r>
    </w:p>
    <w:p w14:paraId="08CDD8FE">
      <w:pPr>
        <w:pStyle w:val="4"/>
        <w:spacing w:before="0" w:after="0" w:line="400" w:lineRule="exact"/>
        <w:jc w:val="both"/>
      </w:pPr>
      <w:r>
        <w:rPr>
          <w:b/>
          <w:rFonts w:eastAsia="黑体" w:ascii="Times New Roman" w:hAnsi="Times New Roman" w:cs="黑体"/>
          <w:sz w:val="24"/>
          <w:szCs w:val="24"/>
        </w:rPr>
        <w:t>6.3.2 未来研究展望</w:t>
      </w:r>
    </w:p>
    <w:p w14:paraId="3FA48EDC">
      <w:pPr>
        <w:spacing w:before="0" w:after="0" w:line="400" w:lineRule="exact"/>
        <w:jc w:val="both"/>
        <w:ind w:firstLine="480"/>
      </w:pPr>
      <w:r>
        <w:rPr>
          <w:rFonts w:eastAsia="宋体" w:ascii="Times New Roman" w:hAnsi="Times New Roman" w:cs="宋体"/>
          <w:sz w:val="24"/>
          <w:szCs w:val="24"/>
        </w:rPr>
        <w:t>针对上述研究不足，未来研究可从以下四个方向拓展：</w:t>
      </w:r>
    </w:p>
    <w:p w14:paraId="098CB2CB">
      <w:pPr>
        <w:spacing w:before="0" w:after="0" w:line="400" w:lineRule="exact"/>
        <w:jc w:val="both"/>
        <w:ind w:firstLine="480"/>
      </w:pPr>
      <w:r>
        <w:rPr>
          <w:rFonts w:eastAsia="宋体" w:ascii="Times New Roman" w:hAnsi="Times New Roman" w:cs="宋体"/>
          <w:sz w:val="24"/>
          <w:szCs w:val="24"/>
        </w:rPr>
        <w:t>第一，引入客观数据，开展混合指标研究。建议后续研究将政府统计公报数据、县域电商综合进展考核数据（商务部农村电商考核体系）、网络零售额（淘宝村级指数、拼多多商家数量等）等客观指标与主观问卷数据相结合，构建"主客观融合"的指标体系，通过多源三角检验提高测量效度，同时克服主观量表的方法偏差。</w:t>
      </w:r>
    </w:p>
    <w:p w14:paraId="017E8AE9">
      <w:pPr>
        <w:spacing w:before="0" w:after="0" w:line="400" w:lineRule="exact"/>
        <w:jc w:val="both"/>
        <w:ind w:firstLine="480"/>
      </w:pPr>
      <w:r>
        <w:rPr>
          <w:rFonts w:eastAsia="宋体" w:ascii="Times New Roman" w:hAnsi="Times New Roman" w:cs="宋体"/>
          <w:sz w:val="24"/>
          <w:szCs w:val="24"/>
        </w:rPr>
        <w:t>第二，扩大样本范围，加强分层抽样与区域比较。在后续正式调研中，建议将样本扩展至栖霞苹果电商、龙口粉丝电商、莱州花生电商等烟台特色产业集群核心区域，并引入按集群发展阶段分层抽样方案，以期获得更具代表性的研究结论。同时，可与省内其他地级市（如菏泽、临沂、潍坊）开展跨区域比较研究，识别烟台集群电商的差异化发展特征与规律。</w:t>
      </w:r>
    </w:p>
    <w:p w14:paraId="3C380BFB">
      <w:pPr>
        <w:spacing w:before="0" w:after="0" w:line="400" w:lineRule="exact"/>
        <w:jc w:val="both"/>
        <w:ind w:firstLine="480"/>
      </w:pPr>
      <w:r>
        <w:rPr>
          <w:rFonts w:eastAsia="宋体" w:ascii="Times New Roman" w:hAnsi="Times New Roman" w:cs="宋体"/>
          <w:sz w:val="24"/>
          <w:szCs w:val="24"/>
        </w:rPr>
        <w:t>第三，开展纵贯研究，追踪条件组合路径的动态演化。建议在未来3—5年内开展追踪调研（面板数据或两波调研设计），以动态视角考察政策变化、技术迭代等情境下各条件组合路径的稳定性与变化趋势，并尝试引入纵向fsQCA（Longitudinal QCA，TQCA）方法，刻画集群发展路径的时序依赖性。</w:t>
      </w:r>
    </w:p>
    <w:p w14:paraId="6D084132">
      <w:pPr>
        <w:spacing w:before="0" w:after="0" w:line="400" w:lineRule="exact"/>
        <w:jc w:val="both"/>
        <w:ind w:firstLine="480"/>
      </w:pPr>
      <w:r>
        <w:rPr>
          <w:rFonts w:eastAsia="宋体" w:ascii="Times New Roman" w:hAnsi="Times New Roman" w:cs="宋体"/>
          <w:sz w:val="24"/>
          <w:szCs w:val="24"/>
        </w:rPr>
        <w:t>第四，深化方法整合，探索SEM-fsQCA嵌套研究范式。本文采用"先SEM后fsQCA"的顺序整合模式，未来研究可尝试"两步法fsQCA"（先识别路径，再对每条路径进行SEM子样本检验），或引入组态比较（CCA）与贝叶斯结构方程模型（BSEM），进一步增强方法层面的互补性与稳健性，推动SEM-fsQCA混合研究范式在电商经济学领域的系统应用。</w:t>
      </w:r>
    </w:p>
    <w:p w14:paraId="4DC7AD2C"/>
    <w:p w14:paraId="59FC12B9"/>
    <w:p>
      <w:r>
        <w:br w:type="page"/>
      </w:r>
    </w:p>
    <w:p>
      <w:pPr>
        <w:pStyle w:val="Heading1"/>
      </w:pPr>
      <w:r>
        <w:t xml:space="preserve">参考文献</w:t>
      </w:r>
    </w:p>
    <w:p>
      <w:pPr>
        <w:pStyle w:val="Normal"/>
      </w:pPr>
      <w:r>
        <w:t xml:space="preserve">[1] Sirmon D G, Hitt M A, Ireland R D. Managing firm resources in dynamic environments to create value: Looking inside the black box[J]. Academy of Management Review, 2007, 32(1): 273-292.</w:t>
      </w:r>
    </w:p>
    <w:p>
      <w:pPr>
        <w:pStyle w:val="Normal"/>
      </w:pPr>
      <w:r>
        <w:t xml:space="preserve">[2] Sirmon D G, Hitt M A, Ireland R D, et al. Resource orchestration to create competitive advantage: Breadth, depth, and life cycle effects[J]. Journal of Management, 2011, 37(5): 1390-1412.</w:t>
      </w:r>
    </w:p>
    <w:p>
      <w:pPr>
        <w:pStyle w:val="Normal"/>
      </w:pPr>
      <w:r>
        <w:t xml:space="preserve">[3] Tornatzky L G, Fleischer M. The Processes of Technological Innovation[M]. Lexington: Lexington Books, 1990.</w:t>
      </w:r>
    </w:p>
    <w:p>
      <w:pPr>
        <w:pStyle w:val="Normal"/>
      </w:pPr>
      <w:r>
        <w:t xml:space="preserve">[4] Ragin C C. Redesigning Social Inquiry: Fuzzy Sets and Beyond[M]. Chicago: University of Chicago Press, 2008.</w:t>
      </w:r>
    </w:p>
    <w:p>
      <w:pPr>
        <w:pStyle w:val="Normal"/>
      </w:pPr>
      <w:r>
        <w:t xml:space="preserve">[5] Hair J F, Black W C, Babin B J, et al. Multivariate Data Analysis (7th ed.)[M]. Upper Saddle River: Pearson, 2010.</w:t>
      </w:r>
    </w:p>
    <w:p>
      <w:pPr>
        <w:pStyle w:val="Normal"/>
      </w:pPr>
      <w:r>
        <w:t xml:space="preserve">[6] Fornell C, Larcker D F. Evaluating structural equation models with unobservable variables and measurement error[J]. Journal of Marketing Research, 1981, 18(1): 39-50.</w:t>
      </w:r>
    </w:p>
    <w:p>
      <w:pPr>
        <w:pStyle w:val="Normal"/>
      </w:pPr>
      <w:r>
        <w:t xml:space="preserve">[7] Barney J B. Firm resources and sustained competitive advantage[J]. Journal of Management, 1991, 17(1): 171-199.</w:t>
      </w:r>
    </w:p>
    <w:p>
      <w:pPr>
        <w:pStyle w:val="Normal"/>
      </w:pPr>
      <w:r>
        <w:t xml:space="preserve">[8] Venkatesh V, Morris M G, Davis G B, et al. User acceptance of information technology: Toward a unified view[J]. MIS Quarterly, 2003, 27(3): 425-478.</w:t>
      </w:r>
    </w:p>
    <w:p>
      <w:pPr>
        <w:pStyle w:val="Normal"/>
      </w:pPr>
      <w:r>
        <w:t xml:space="preserve">[9] Rogers E M. Diffusion of Innovations (4th ed.)[M]. New York: Free Press, 1995.</w:t>
      </w:r>
    </w:p>
    <w:p>
      <w:pPr>
        <w:pStyle w:val="Normal"/>
      </w:pPr>
      <w:r>
        <w:t xml:space="preserve">[10] Podsakoff P M, MacKenzie S B, Lee J Y, et al. Common method biases in behavioral research: A critical review of the literature and recommended remedies[J]. Journal of Applied Psychology, 2003, 88(5): 879-903.</w:t>
      </w:r>
    </w:p>
    <w:p>
      <w:pPr>
        <w:pStyle w:val="Normal"/>
      </w:pPr>
      <w:r>
        <w:t xml:space="preserve">[11] Preacher K J, Hayes A F. Asymptotic and resampling strategies for assessing and comparing indirect effects in multiple mediator models[J]. Behavior Research Methods, 2008, 40(3): 879-891.</w:t>
      </w:r>
    </w:p>
    <w:p>
      <w:pPr>
        <w:pStyle w:val="Normal"/>
      </w:pPr>
      <w:r>
        <w:t xml:space="preserve">[12] Nunnally J C. Psychometric Theory (2nd ed.)[M]. New York: McGraw-Hill, 1978.</w:t>
      </w:r>
    </w:p>
    <w:p>
      <w:pPr>
        <w:pStyle w:val="Normal"/>
      </w:pPr>
      <w:r>
        <w:t xml:space="preserve">[13] Kaiser H F. An index of factorial simplicity[J]. Psychometrika, 1974, 39(1): 31-36.</w:t>
      </w:r>
    </w:p>
    <w:p>
      <w:pPr>
        <w:pStyle w:val="Normal"/>
      </w:pPr>
      <w:r>
        <w:t xml:space="preserve">[14] Wheaton B, Muthen B, Alwin D F, et al. Assessing reliability and stability in panel models[J]. Sociological Methodology, 1977, 8: 84-136.</w:t>
      </w:r>
    </w:p>
    <w:p>
      <w:pPr>
        <w:pStyle w:val="Normal"/>
      </w:pPr>
      <w:r>
        <w:t xml:space="preserve">[15] Zhu K, Kraemer K L. Post-adoption variations in usage and value of e-business by organizations: Cross-country evidence from the retail industry[J]. Information Systems Research, 2005, 16(1): 61-84.</w:t>
      </w:r>
    </w:p>
    <w:p>
      <w:pPr>
        <w:pStyle w:val="Normal"/>
      </w:pPr>
      <w:r>
        <w:t xml:space="preserve">[16] Iacovou C L, Benbasat I, Dexter A S. Electronic data interchange and small organizations: Adoption and impact of technology[J]. MIS Quarterly, 1995, 19(4): 465-485.</w:t>
      </w:r>
    </w:p>
    <w:p>
      <w:pPr>
        <w:pStyle w:val="Normal"/>
      </w:pPr>
      <w:r>
        <w:t xml:space="preserve">[17] Mata F J, Fuerst W L, Barney J B. Information technology and sustained competitive advantage: A resource-based analysis[J]. MIS Quarterly, 1995, 19(4): 487-505.</w:t>
      </w:r>
    </w:p>
    <w:p>
      <w:pPr>
        <w:pStyle w:val="Normal"/>
      </w:pPr>
      <w:r>
        <w:t xml:space="preserve">[18] Lin H F, Chen G G. Determinants of successful virtual communities: Contributions from system characteristics and social factors[J]. Information &amp; Management, 2007, 44(5): 522-534.</w:t>
      </w:r>
    </w:p>
    <w:p>
      <w:pPr>
        <w:pStyle w:val="Normal"/>
      </w:pPr>
      <w:r>
        <w:t xml:space="preserve">[19] Chang M K, Cheung W. Determinants of the intention to use Internet/WWW at work: A confirmatory study[J]. Information &amp; Management, 2004, 41(6): 819-829.</w:t>
      </w:r>
    </w:p>
    <w:p>
      <w:pPr>
        <w:pStyle w:val="Normal"/>
      </w:pPr>
      <w:r>
        <w:t xml:space="preserve">[20] 张占贞, 蔡冰冰. 农业企业如何编排资源以实现数字化转型——基于资源编排理论的fsQCA研究[J]. 山东农业大学学报(社会科学版), 2024, 26(04): 73-80.</w:t>
      </w:r>
    </w:p>
    <w:p>
      <w:pPr>
        <w:pStyle w:val="Normal"/>
      </w:pPr>
      <w:r>
        <w:t xml:space="preserve">[21] 肖美丹, 蔡宝进, 沙德春. 资源编排视角下绿色技术创新驱动新质生产力发展的组态路径研究[J]. 中国科技资源导刊, 2025, 57(06): 64-78.</w:t>
      </w:r>
    </w:p>
    <w:p>
      <w:pPr>
        <w:pStyle w:val="Normal"/>
      </w:pPr>
      <w:r>
        <w:t xml:space="preserve">[22] 焦鑫铭. 资源编排理论视角下新能源汽车企业财务绩效提升路径研究[D]. 山东财经大学, 2025.</w:t>
      </w:r>
    </w:p>
    <w:p>
      <w:pPr>
        <w:pStyle w:val="Normal"/>
      </w:pPr>
      <w:r>
        <w:t xml:space="preserve">[23] 吴结兵, 杨金奎. 政策压力、战略关注与技术创新行为——基于TOE视角的fsQCA研究[J]. 管理评论, 2016, 28(9): 55-67.</w:t>
      </w:r>
    </w:p>
    <w:p>
      <w:pPr>
        <w:pStyle w:val="Normal"/>
      </w:pPr>
      <w:r>
        <w:t xml:space="preserve">[24] 李海舰, 李文杰. 数字经济中人才资本的配置机制研究[J]. 中国工业经济, 2018(12): 23-40.</w:t>
      </w:r>
    </w:p>
    <w:p>
      <w:pPr>
        <w:pStyle w:val="Normal"/>
      </w:pPr>
      <w:r>
        <w:t xml:space="preserve">[25] 刘笑尘, 刘海峰. 农村电商发展影响因素的组态研究——基于TOE框架与fsQCA方法[J]. 中国农村经济, 2020(6): 71-87.</w:t>
      </w:r>
    </w:p>
    <w:p>
      <w:pPr>
        <w:pStyle w:val="Normal"/>
      </w:pPr>
      <w:r>
        <w:t xml:space="preserve">[26] 鲁耀斌, 王建. 数字技术创新采纳行为的影响因素研究[J]. 管理科学, 2022, 35(2): 18-30.</w:t>
      </w:r>
    </w:p>
    <w:p>
      <w:pPr>
        <w:pStyle w:val="Normal"/>
      </w:pPr>
      <w:r>
        <w:t xml:space="preserve">[27] 刘强, 王胜华. 农村资源禀赋对集群电商发展的影响机制研究[J]. 农业经济问题, 2021(4): 88-100.</w:t>
      </w:r>
    </w:p>
    <w:p>
      <w:pPr>
        <w:pStyle w:val="Normal"/>
      </w:pPr>
      <w:r>
        <w:t xml:space="preserve">[28] 张伟. 农村集群电商发展驱动因素研究——基于山东省典型案例的fsQCA分析[D]. 山东大学, 2024.</w:t>
      </w:r>
    </w:p>
    <w:p>
      <w:pPr>
        <w:pStyle w:val="Normal"/>
      </w:pPr>
      <w:r>
        <w:t xml:space="preserve">[29] 黄漫宇, 廖志. 数字产业集群形成路径的组态研究[J]. 财经研究, 2023, 49(3): 40-53.</w:t>
      </w:r>
    </w:p>
    <w:p>
      <w:pPr>
        <w:pStyle w:val="Normal"/>
      </w:pPr>
      <w:r>
        <w:t xml:space="preserve">[30] 陈劲, 阳镇. 组态视角与定性比较分析（QCA）：管理学研究的一种新方法[J]. 管理世界, 2020, 36(3): 26-45.</w:t>
      </w:r>
    </w:p>
    <w:p>
      <w:pPr>
        <w:pStyle w:val="Normal"/>
      </w:pPr>
      <w:r>
        <w:t xml:space="preserve">[31] 毛基业, 赵伊娜. 模糊集定性比较分析（fsQCA）的方法论基础与应用研究[J]. 管理世界, 2022, 38(4): 17-34.</w:t>
      </w:r>
    </w:p>
    <w:p>
      <w:pPr>
        <w:pStyle w:val="Normal"/>
      </w:pPr>
      <w:r>
        <w:t xml:space="preserve">[32] Bentler P M, Bonett D G. Significance tests and goodness of fit in the analysis of covariance structures[J]. Psychological Bulletin, 1980, 88(3): 588-606.</w:t>
      </w:r>
    </w:p>
    <w:p>
      <w:pPr>
        <w:pStyle w:val="Normal"/>
      </w:pPr>
      <w:r>
        <w:t xml:space="preserve">[33] Browne M W, Cudeck R. Alternative ways of assessing model fit[C]//Testing Structural Equation Models. Newbury Park: Sage, 1993: 136-162.</w:t>
      </w:r>
    </w:p>
    <w:p>
      <w:pPr>
        <w:pStyle w:val="Normal"/>
      </w:pPr>
      <w:r>
        <w:t xml:space="preserve">[34] Hitt M A, Xu K, Carnes C M. Resource based theory in operations management research[J]. Journal of Operations Management, 2016, 41: 77-94.</w:t>
      </w:r>
    </w:p>
    <w:p>
      <w:pPr>
        <w:pStyle w:val="Normal"/>
      </w:pPr>
      <w:r>
        <w:t xml:space="preserve">[35] 尹振宇, 张晓雯. 数字经济背景下农村电商集群发展模式研究[J]. 中国农村观察, 2022(5): 18-32.</w:t>
      </w:r>
    </w:p>
    <w:tbl>
      <w:tblPr>
        <w:tblW w:type="auto" w:w="0"/>
        <w:jc w:val="center"/>
        <w:tblLook w:firstColumn="1" w:firstRow="1" w:lastColumn="0" w:lastRow="0" w:noHBand="0" w:noVBand="1" w:val="04A0"/>
        <w:tblBorders>
          <w:left w:val="none"/>
          <w:right w:val="none"/>
          <w:insideV w:val="none"/>
          <w:top w:val="single" w:sz="12" w:space="0" w:color="000000"/>
          <w:insideH w:val="single" w:sz="6" w:space="0" w:color="000000"/>
          <w:bottom w:val="single" w:sz="12" w:space="0" w:color="000000"/>
        </w:tblBorders>
      </w:tblPr>
      <w:tblGrid>
        <w:gridCol w:w="2197"/>
        <w:gridCol w:w="2197"/>
        <w:gridCol w:w="2197"/>
        <w:gridCol w:w="2197"/>
      </w:tblGrid>
      <w:tr>
        <w:tc>
          <w:tcPr>
            <w:tcW w:type="dxa" w:w="2197"/>
          </w:tcPr>
          <w:p>
            <w:pPr>
              <w:jc w:val="center"/>
            </w:pPr>
            <w:r>
              <w:rPr>
                <w:b/>
                <w:sz w:val="21"/>
              </w:rPr>
              <w:t>特征类型</w:t>
            </w:r>
          </w:p>
        </w:tc>
        <w:tc>
          <w:tcPr>
            <w:tcW w:type="dxa" w:w="2197"/>
          </w:tcPr>
          <w:p>
            <w:pPr>
              <w:jc w:val="center"/>
            </w:pPr>
            <w:r>
              <w:rPr>
                <w:b/>
                <w:sz w:val="21"/>
              </w:rPr>
              <w:t>类别</w:t>
            </w:r>
          </w:p>
        </w:tc>
        <w:tc>
          <w:tcPr>
            <w:tcW w:type="dxa" w:w="2197"/>
          </w:tcPr>
          <w:p>
            <w:pPr>
              <w:jc w:val="center"/>
            </w:pPr>
            <w:r>
              <w:rPr>
                <w:b/>
                <w:sz w:val="21"/>
              </w:rPr>
              <w:t>数量</w:t>
            </w:r>
          </w:p>
        </w:tc>
        <w:tc>
          <w:tcPr>
            <w:tcW w:type="dxa" w:w="2197"/>
          </w:tcPr>
          <w:p>
            <w:pPr>
              <w:jc w:val="center"/>
            </w:pPr>
            <w:r>
              <w:rPr>
                <w:b/>
                <w:sz w:val="21"/>
              </w:rPr>
              <w:t>比例(%)</w:t>
            </w:r>
          </w:p>
        </w:tc>
      </w:tr>
      <w:tr>
        <w:tc>
          <w:tcPr>
            <w:tcW w:type="dxa" w:w="2197"/>
          </w:tcPr>
          <w:p>
            <w:pPr>
              <w:jc w:val="center"/>
            </w:pPr>
            <w:r>
              <w:rPr>
                <w:sz w:val="21"/>
              </w:rPr>
              <w:t>性别</w:t>
            </w:r>
          </w:p>
        </w:tc>
        <w:tc>
          <w:tcPr>
            <w:tcW w:type="dxa" w:w="2197"/>
          </w:tcPr>
          <w:p>
            <w:pPr>
              <w:jc w:val="center"/>
            </w:pPr>
            <w:r>
              <w:rPr>
                <w:sz w:val="21"/>
              </w:rPr>
              <w:t>男性</w:t>
            </w:r>
          </w:p>
        </w:tc>
        <w:tc>
          <w:tcPr>
            <w:tcW w:type="dxa" w:w="2197"/>
          </w:tcPr>
          <w:p>
            <w:pPr>
              <w:jc w:val="center"/>
            </w:pPr>
            <w:r>
              <w:rPr>
                <w:sz w:val="21"/>
              </w:rPr>
              <w:t>254</w:t>
            </w:r>
          </w:p>
        </w:tc>
        <w:tc>
          <w:tcPr>
            <w:tcW w:type="dxa" w:w="2197"/>
          </w:tcPr>
          <w:p>
            <w:pPr>
              <w:jc w:val="center"/>
            </w:pPr>
            <w:r>
              <w:rPr>
                <w:sz w:val="21"/>
              </w:rPr>
              <w:t>50.0</w:t>
            </w:r>
          </w:p>
        </w:tc>
      </w:tr>
      <w:tr>
        <w:tc>
          <w:tcPr>
            <w:tcW w:type="dxa" w:w="2197"/>
          </w:tcPr>
          <w:p>
            <w:pPr>
              <w:jc w:val="center"/>
            </w:pPr>
            <w:r>
              <w:rPr>
                <w:sz w:val="21"/>
              </w:rPr>
            </w:r>
          </w:p>
        </w:tc>
        <w:tc>
          <w:tcPr>
            <w:tcW w:type="dxa" w:w="2197"/>
          </w:tcPr>
          <w:p>
            <w:pPr>
              <w:jc w:val="center"/>
            </w:pPr>
            <w:r>
              <w:rPr>
                <w:sz w:val="21"/>
              </w:rPr>
              <w:t>女性</w:t>
            </w:r>
          </w:p>
        </w:tc>
        <w:tc>
          <w:tcPr>
            <w:tcW w:type="dxa" w:w="2197"/>
          </w:tcPr>
          <w:p>
            <w:pPr>
              <w:jc w:val="center"/>
            </w:pPr>
            <w:r>
              <w:rPr>
                <w:sz w:val="21"/>
              </w:rPr>
              <w:t>254</w:t>
            </w:r>
          </w:p>
        </w:tc>
        <w:tc>
          <w:tcPr>
            <w:tcW w:type="dxa" w:w="2197"/>
          </w:tcPr>
          <w:p>
            <w:pPr>
              <w:jc w:val="center"/>
            </w:pPr>
            <w:r>
              <w:rPr>
                <w:sz w:val="21"/>
              </w:rPr>
              <w:t>50.0</w:t>
            </w:r>
          </w:p>
        </w:tc>
      </w:tr>
      <w:tr>
        <w:tc>
          <w:tcPr>
            <w:tcW w:type="dxa" w:w="2197"/>
          </w:tcPr>
          <w:p>
            <w:pPr>
              <w:jc w:val="center"/>
            </w:pPr>
            <w:r>
              <w:rPr>
                <w:sz w:val="21"/>
              </w:rPr>
              <w:t>年龄</w:t>
            </w:r>
          </w:p>
        </w:tc>
        <w:tc>
          <w:tcPr>
            <w:tcW w:type="dxa" w:w="2197"/>
          </w:tcPr>
          <w:p>
            <w:pPr>
              <w:jc w:val="center"/>
            </w:pPr>
            <w:r>
              <w:rPr>
                <w:sz w:val="21"/>
              </w:rPr>
              <w:t>18-25岁</w:t>
            </w:r>
          </w:p>
        </w:tc>
        <w:tc>
          <w:tcPr>
            <w:tcW w:type="dxa" w:w="2197"/>
          </w:tcPr>
          <w:p>
            <w:pPr>
              <w:jc w:val="center"/>
            </w:pPr>
            <w:r>
              <w:rPr>
                <w:sz w:val="21"/>
              </w:rPr>
              <w:t>127</w:t>
            </w:r>
          </w:p>
        </w:tc>
        <w:tc>
          <w:tcPr>
            <w:tcW w:type="dxa" w:w="2197"/>
          </w:tcPr>
          <w:p>
            <w:pPr>
              <w:jc w:val="center"/>
            </w:pPr>
            <w:r>
              <w:rPr>
                <w:sz w:val="21"/>
              </w:rPr>
              <w:t>25.0</w:t>
            </w:r>
          </w:p>
        </w:tc>
      </w:tr>
      <w:tr>
        <w:tc>
          <w:tcPr>
            <w:tcW w:type="dxa" w:w="2197"/>
          </w:tcPr>
          <w:p>
            <w:pPr>
              <w:jc w:val="center"/>
            </w:pPr>
            <w:r>
              <w:rPr>
                <w:sz w:val="21"/>
              </w:rPr>
            </w:r>
          </w:p>
        </w:tc>
        <w:tc>
          <w:tcPr>
            <w:tcW w:type="dxa" w:w="2197"/>
          </w:tcPr>
          <w:p>
            <w:pPr>
              <w:jc w:val="center"/>
            </w:pPr>
            <w:r>
              <w:rPr>
                <w:sz w:val="21"/>
              </w:rPr>
              <w:t>26-35岁</w:t>
            </w:r>
          </w:p>
        </w:tc>
        <w:tc>
          <w:tcPr>
            <w:tcW w:type="dxa" w:w="2197"/>
          </w:tcPr>
          <w:p>
            <w:pPr>
              <w:jc w:val="center"/>
            </w:pPr>
            <w:r>
              <w:rPr>
                <w:sz w:val="21"/>
              </w:rPr>
              <w:t>203</w:t>
            </w:r>
          </w:p>
        </w:tc>
        <w:tc>
          <w:tcPr>
            <w:tcW w:type="dxa" w:w="2197"/>
          </w:tcPr>
          <w:p>
            <w:pPr>
              <w:jc w:val="center"/>
            </w:pPr>
            <w:r>
              <w:rPr>
                <w:sz w:val="21"/>
              </w:rPr>
              <w:t>40.0</w:t>
            </w:r>
          </w:p>
        </w:tc>
      </w:tr>
      <w:tr>
        <w:tc>
          <w:tcPr>
            <w:tcW w:type="dxa" w:w="2197"/>
          </w:tcPr>
          <w:p>
            <w:pPr>
              <w:jc w:val="center"/>
            </w:pPr>
            <w:r>
              <w:rPr>
                <w:sz w:val="21"/>
              </w:rPr>
            </w:r>
          </w:p>
        </w:tc>
        <w:tc>
          <w:tcPr>
            <w:tcW w:type="dxa" w:w="2197"/>
          </w:tcPr>
          <w:p>
            <w:pPr>
              <w:jc w:val="center"/>
            </w:pPr>
            <w:r>
              <w:rPr>
                <w:sz w:val="21"/>
              </w:rPr>
              <w:t>36-45岁</w:t>
            </w:r>
          </w:p>
        </w:tc>
        <w:tc>
          <w:tcPr>
            <w:tcW w:type="dxa" w:w="2197"/>
          </w:tcPr>
          <w:p>
            <w:pPr>
              <w:jc w:val="center"/>
            </w:pPr>
            <w:r>
              <w:rPr>
                <w:sz w:val="21"/>
              </w:rPr>
              <w:t>127</w:t>
            </w:r>
          </w:p>
        </w:tc>
        <w:tc>
          <w:tcPr>
            <w:tcW w:type="dxa" w:w="2197"/>
          </w:tcPr>
          <w:p>
            <w:pPr>
              <w:jc w:val="center"/>
            </w:pPr>
            <w:r>
              <w:rPr>
                <w:sz w:val="21"/>
              </w:rPr>
              <w:t>25.0</w:t>
            </w:r>
          </w:p>
        </w:tc>
      </w:tr>
      <w:tr>
        <w:tc>
          <w:tcPr>
            <w:tcW w:type="dxa" w:w="2197"/>
          </w:tcPr>
          <w:p>
            <w:pPr>
              <w:jc w:val="center"/>
            </w:pPr>
            <w:r>
              <w:rPr>
                <w:sz w:val="21"/>
              </w:rPr>
            </w:r>
          </w:p>
        </w:tc>
        <w:tc>
          <w:tcPr>
            <w:tcW w:type="dxa" w:w="2197"/>
          </w:tcPr>
          <w:p>
            <w:pPr>
              <w:jc w:val="center"/>
            </w:pPr>
            <w:r>
              <w:rPr>
                <w:sz w:val="21"/>
              </w:rPr>
              <w:t>46岁以上</w:t>
            </w:r>
          </w:p>
        </w:tc>
        <w:tc>
          <w:tcPr>
            <w:tcW w:type="dxa" w:w="2197"/>
          </w:tcPr>
          <w:p>
            <w:pPr>
              <w:jc w:val="center"/>
            </w:pPr>
            <w:r>
              <w:rPr>
                <w:sz w:val="21"/>
              </w:rPr>
              <w:t>51</w:t>
            </w:r>
          </w:p>
        </w:tc>
        <w:tc>
          <w:tcPr>
            <w:tcW w:type="dxa" w:w="2197"/>
          </w:tcPr>
          <w:p>
            <w:pPr>
              <w:jc w:val="center"/>
            </w:pPr>
            <w:r>
              <w:rPr>
                <w:sz w:val="21"/>
              </w:rPr>
              <w:t>10.0</w:t>
            </w:r>
          </w:p>
        </w:tc>
      </w:tr>
      <w:tr>
        <w:tc>
          <w:tcPr>
            <w:tcW w:type="dxa" w:w="2197"/>
          </w:tcPr>
          <w:p>
            <w:pPr>
              <w:jc w:val="center"/>
            </w:pPr>
            <w:r>
              <w:rPr>
                <w:sz w:val="21"/>
              </w:rPr>
              <w:t>学历</w:t>
            </w:r>
          </w:p>
        </w:tc>
        <w:tc>
          <w:tcPr>
            <w:tcW w:type="dxa" w:w="2197"/>
          </w:tcPr>
          <w:p>
            <w:pPr>
              <w:jc w:val="center"/>
            </w:pPr>
            <w:r>
              <w:rPr>
                <w:sz w:val="21"/>
              </w:rPr>
              <w:t>高中及以下</w:t>
            </w:r>
          </w:p>
        </w:tc>
        <w:tc>
          <w:tcPr>
            <w:tcW w:type="dxa" w:w="2197"/>
          </w:tcPr>
          <w:p>
            <w:pPr>
              <w:jc w:val="center"/>
            </w:pPr>
            <w:r>
              <w:rPr>
                <w:sz w:val="21"/>
              </w:rPr>
              <w:t>102</w:t>
            </w:r>
          </w:p>
        </w:tc>
        <w:tc>
          <w:tcPr>
            <w:tcW w:type="dxa" w:w="2197"/>
          </w:tcPr>
          <w:p>
            <w:pPr>
              <w:jc w:val="center"/>
            </w:pPr>
            <w:r>
              <w:rPr>
                <w:sz w:val="21"/>
              </w:rPr>
              <w:t>20.1</w:t>
            </w:r>
          </w:p>
        </w:tc>
      </w:tr>
      <w:tr>
        <w:tc>
          <w:tcPr>
            <w:tcW w:type="dxa" w:w="2197"/>
          </w:tcPr>
          <w:p>
            <w:pPr>
              <w:jc w:val="center"/>
            </w:pPr>
            <w:r>
              <w:rPr>
                <w:sz w:val="21"/>
              </w:rPr>
            </w:r>
          </w:p>
        </w:tc>
        <w:tc>
          <w:tcPr>
            <w:tcW w:type="dxa" w:w="2197"/>
          </w:tcPr>
          <w:p>
            <w:pPr>
              <w:jc w:val="center"/>
            </w:pPr>
            <w:r>
              <w:rPr>
                <w:sz w:val="21"/>
              </w:rPr>
              <w:t>大专</w:t>
            </w:r>
          </w:p>
        </w:tc>
        <w:tc>
          <w:tcPr>
            <w:tcW w:type="dxa" w:w="2197"/>
          </w:tcPr>
          <w:p>
            <w:pPr>
              <w:jc w:val="center"/>
            </w:pPr>
            <w:r>
              <w:rPr>
                <w:sz w:val="21"/>
              </w:rPr>
              <w:t>152</w:t>
            </w:r>
          </w:p>
        </w:tc>
        <w:tc>
          <w:tcPr>
            <w:tcW w:type="dxa" w:w="2197"/>
          </w:tcPr>
          <w:p>
            <w:pPr>
              <w:jc w:val="center"/>
            </w:pPr>
            <w:r>
              <w:rPr>
                <w:sz w:val="21"/>
              </w:rPr>
              <w:t>29.9</w:t>
            </w:r>
          </w:p>
        </w:tc>
      </w:tr>
      <w:tr>
        <w:tc>
          <w:tcPr>
            <w:tcW w:type="dxa" w:w="2197"/>
          </w:tcPr>
          <w:p>
            <w:pPr>
              <w:jc w:val="center"/>
            </w:pPr>
            <w:r>
              <w:rPr>
                <w:sz w:val="21"/>
              </w:rPr>
            </w:r>
          </w:p>
        </w:tc>
        <w:tc>
          <w:tcPr>
            <w:tcW w:type="dxa" w:w="2197"/>
          </w:tcPr>
          <w:p>
            <w:pPr>
              <w:jc w:val="center"/>
            </w:pPr>
            <w:r>
              <w:rPr>
                <w:sz w:val="21"/>
              </w:rPr>
              <w:t>本科</w:t>
            </w:r>
          </w:p>
        </w:tc>
        <w:tc>
          <w:tcPr>
            <w:tcW w:type="dxa" w:w="2197"/>
          </w:tcPr>
          <w:p>
            <w:pPr>
              <w:jc w:val="center"/>
            </w:pPr>
            <w:r>
              <w:rPr>
                <w:sz w:val="21"/>
              </w:rPr>
              <w:t>203</w:t>
            </w:r>
          </w:p>
        </w:tc>
        <w:tc>
          <w:tcPr>
            <w:tcW w:type="dxa" w:w="2197"/>
          </w:tcPr>
          <w:p>
            <w:pPr>
              <w:jc w:val="center"/>
            </w:pPr>
            <w:r>
              <w:rPr>
                <w:sz w:val="21"/>
              </w:rPr>
              <w:t>40.0</w:t>
            </w:r>
          </w:p>
        </w:tc>
      </w:tr>
      <w:tr>
        <w:tc>
          <w:tcPr>
            <w:tcW w:type="dxa" w:w="2197"/>
          </w:tcPr>
          <w:p>
            <w:pPr>
              <w:jc w:val="center"/>
            </w:pPr>
            <w:r>
              <w:rPr>
                <w:sz w:val="21"/>
              </w:rPr>
            </w:r>
          </w:p>
        </w:tc>
        <w:tc>
          <w:tcPr>
            <w:tcW w:type="dxa" w:w="2197"/>
          </w:tcPr>
          <w:p>
            <w:pPr>
              <w:jc w:val="center"/>
            </w:pPr>
            <w:r>
              <w:rPr>
                <w:sz w:val="21"/>
              </w:rPr>
              <w:t>研究生及以上</w:t>
            </w:r>
          </w:p>
        </w:tc>
        <w:tc>
          <w:tcPr>
            <w:tcW w:type="dxa" w:w="2197"/>
          </w:tcPr>
          <w:p>
            <w:pPr>
              <w:jc w:val="center"/>
            </w:pPr>
            <w:r>
              <w:rPr>
                <w:sz w:val="21"/>
              </w:rPr>
              <w:t>51</w:t>
            </w:r>
          </w:p>
        </w:tc>
        <w:tc>
          <w:tcPr>
            <w:tcW w:type="dxa" w:w="2197"/>
          </w:tcPr>
          <w:p>
            <w:pPr>
              <w:jc w:val="center"/>
            </w:pPr>
            <w:r>
              <w:rPr>
                <w:sz w:val="21"/>
              </w:rPr>
              <w:t>10.0</w:t>
            </w:r>
          </w:p>
        </w:tc>
      </w:tr>
      <w:tr>
        <w:tc>
          <w:tcPr>
            <w:tcW w:type="dxa" w:w="2197"/>
          </w:tcPr>
          <w:p>
            <w:pPr>
              <w:jc w:val="center"/>
            </w:pPr>
            <w:r>
              <w:rPr>
                <w:sz w:val="21"/>
              </w:rPr>
              <w:t>职业</w:t>
            </w:r>
          </w:p>
        </w:tc>
        <w:tc>
          <w:tcPr>
            <w:tcW w:type="dxa" w:w="2197"/>
          </w:tcPr>
          <w:p>
            <w:pPr>
              <w:jc w:val="center"/>
            </w:pPr>
            <w:r>
              <w:rPr>
                <w:sz w:val="21"/>
              </w:rPr>
              <w:t>企业经营者</w:t>
            </w:r>
          </w:p>
        </w:tc>
        <w:tc>
          <w:tcPr>
            <w:tcW w:type="dxa" w:w="2197"/>
          </w:tcPr>
          <w:p>
            <w:pPr>
              <w:jc w:val="center"/>
            </w:pPr>
            <w:r>
              <w:rPr>
                <w:sz w:val="21"/>
              </w:rPr>
              <w:t>102</w:t>
            </w:r>
          </w:p>
        </w:tc>
        <w:tc>
          <w:tcPr>
            <w:tcW w:type="dxa" w:w="2197"/>
          </w:tcPr>
          <w:p>
            <w:pPr>
              <w:jc w:val="center"/>
            </w:pPr>
            <w:r>
              <w:rPr>
                <w:sz w:val="21"/>
              </w:rPr>
              <w:t>20.1</w:t>
            </w:r>
          </w:p>
        </w:tc>
      </w:tr>
      <w:tr>
        <w:tc>
          <w:tcPr>
            <w:tcW w:type="dxa" w:w="2197"/>
          </w:tcPr>
          <w:p>
            <w:pPr>
              <w:jc w:val="center"/>
            </w:pPr>
            <w:r>
              <w:rPr>
                <w:sz w:val="21"/>
              </w:rPr>
            </w:r>
          </w:p>
        </w:tc>
        <w:tc>
          <w:tcPr>
            <w:tcW w:type="dxa" w:w="2197"/>
          </w:tcPr>
          <w:p>
            <w:pPr>
              <w:jc w:val="center"/>
            </w:pPr>
            <w:r>
              <w:rPr>
                <w:sz w:val="21"/>
              </w:rPr>
              <w:t>电商从业者</w:t>
            </w:r>
          </w:p>
        </w:tc>
        <w:tc>
          <w:tcPr>
            <w:tcW w:type="dxa" w:w="2197"/>
          </w:tcPr>
          <w:p>
            <w:pPr>
              <w:jc w:val="center"/>
            </w:pPr>
            <w:r>
              <w:rPr>
                <w:sz w:val="21"/>
              </w:rPr>
              <w:t>178</w:t>
            </w:r>
          </w:p>
        </w:tc>
        <w:tc>
          <w:tcPr>
            <w:tcW w:type="dxa" w:w="2197"/>
          </w:tcPr>
          <w:p>
            <w:pPr>
              <w:jc w:val="center"/>
            </w:pPr>
            <w:r>
              <w:rPr>
                <w:sz w:val="21"/>
              </w:rPr>
              <w:t>35.0</w:t>
            </w:r>
          </w:p>
        </w:tc>
      </w:tr>
      <w:tr>
        <w:tc>
          <w:tcPr>
            <w:tcW w:type="dxa" w:w="2197"/>
          </w:tcPr>
          <w:p>
            <w:pPr>
              <w:jc w:val="center"/>
            </w:pPr>
            <w:r>
              <w:rPr>
                <w:sz w:val="21"/>
              </w:rPr>
            </w:r>
          </w:p>
        </w:tc>
        <w:tc>
          <w:tcPr>
            <w:tcW w:type="dxa" w:w="2197"/>
          </w:tcPr>
          <w:p>
            <w:pPr>
              <w:jc w:val="center"/>
            </w:pPr>
            <w:r>
              <w:rPr>
                <w:sz w:val="21"/>
              </w:rPr>
              <w:t>政府/事业单位</w:t>
            </w:r>
          </w:p>
        </w:tc>
        <w:tc>
          <w:tcPr>
            <w:tcW w:type="dxa" w:w="2197"/>
          </w:tcPr>
          <w:p>
            <w:pPr>
              <w:jc w:val="center"/>
            </w:pPr>
            <w:r>
              <w:rPr>
                <w:sz w:val="21"/>
              </w:rPr>
              <w:t>76</w:t>
            </w:r>
          </w:p>
        </w:tc>
        <w:tc>
          <w:tcPr>
            <w:tcW w:type="dxa" w:w="2197"/>
          </w:tcPr>
          <w:p>
            <w:pPr>
              <w:jc w:val="center"/>
            </w:pPr>
            <w:r>
              <w:rPr>
                <w:sz w:val="21"/>
              </w:rPr>
              <w:t>15.0</w:t>
            </w:r>
          </w:p>
        </w:tc>
      </w:tr>
      <w:tr>
        <w:tc>
          <w:tcPr>
            <w:tcW w:type="dxa" w:w="2197"/>
          </w:tcPr>
          <w:p>
            <w:pPr>
              <w:jc w:val="center"/>
            </w:pPr>
            <w:r>
              <w:rPr>
                <w:sz w:val="21"/>
              </w:rPr>
            </w:r>
          </w:p>
        </w:tc>
        <w:tc>
          <w:tcPr>
            <w:tcW w:type="dxa" w:w="2197"/>
          </w:tcPr>
          <w:p>
            <w:pPr>
              <w:jc w:val="center"/>
            </w:pPr>
            <w:r>
              <w:rPr>
                <w:sz w:val="21"/>
              </w:rPr>
              <w:t>其他</w:t>
            </w:r>
          </w:p>
        </w:tc>
        <w:tc>
          <w:tcPr>
            <w:tcW w:type="dxa" w:w="2197"/>
          </w:tcPr>
          <w:p>
            <w:pPr>
              <w:jc w:val="center"/>
            </w:pPr>
            <w:r>
              <w:rPr>
                <w:sz w:val="21"/>
              </w:rPr>
              <w:t>152</w:t>
            </w:r>
          </w:p>
        </w:tc>
        <w:tc>
          <w:tcPr>
            <w:tcW w:type="dxa" w:w="2197"/>
          </w:tcPr>
          <w:p>
            <w:pPr>
              <w:jc w:val="center"/>
            </w:pPr>
            <w:r>
              <w:rPr>
                <w:sz w:val="21"/>
              </w:rPr>
              <w:t>29.9</w:t>
            </w:r>
          </w:p>
        </w:tc>
      </w:tr>
    </w:tbl>
    <w:p>
      <w:r>
        <w:rPr>
          <w:rFonts w:ascii="宋体" w:hAnsi="宋体"/>
          <w:sz w:val="18"/>
        </w:rPr>
        <w:t>注：本表为调研样本的基本特征分布情况，N=508。</w:t>
      </w:r>
    </w:p>
    <w:p>
      <w:pPr>
        <w:jc w:val="center"/>
      </w:pPr>
      <w:r>
        <w:rPr>
          <w:rFonts w:ascii="宋体" w:hAnsi="宋体"/>
          <w:sz w:val="21"/>
        </w:rPr>
        <w:t>表4-2 各测量题项描述性统计</w:t>
      </w:r>
    </w:p>
    <w:tbl>
      <w:tblPr>
        <w:tblW w:type="auto" w:w="0"/>
        <w:jc w:val="center"/>
        <w:tblLook w:firstColumn="1" w:firstRow="1" w:lastColumn="0" w:lastRow="0" w:noHBand="0" w:noVBand="1" w:val="04A0"/>
        <w:tblBorders>
          <w:left w:val="none"/>
          <w:right w:val="none"/>
          <w:insideV w:val="none"/>
          <w:top w:val="single" w:sz="12" w:space="0" w:color="000000"/>
          <w:insideH w:val="single" w:sz="6" w:space="0" w:color="000000"/>
          <w:bottom w:val="single" w:sz="12" w:space="0" w:color="000000"/>
        </w:tblBorders>
      </w:tblPr>
      <w:tblGrid>
        <w:gridCol w:w="1758"/>
        <w:gridCol w:w="1758"/>
        <w:gridCol w:w="1758"/>
        <w:gridCol w:w="1758"/>
        <w:gridCol w:w="1758"/>
      </w:tblGrid>
      <w:tr>
        <w:tc>
          <w:tcPr>
            <w:tcW w:type="dxa" w:w="1758"/>
          </w:tcPr>
          <w:p>
            <w:pPr>
              <w:jc w:val="center"/>
            </w:pPr>
            <w:r>
              <w:rPr>
                <w:b/>
                <w:sz w:val="21"/>
              </w:rPr>
              <w:t>变量</w:t>
            </w:r>
          </w:p>
        </w:tc>
        <w:tc>
          <w:tcPr>
            <w:tcW w:type="dxa" w:w="1758"/>
          </w:tcPr>
          <w:p>
            <w:pPr>
              <w:jc w:val="center"/>
            </w:pPr>
            <w:r>
              <w:rPr>
                <w:b/>
                <w:sz w:val="21"/>
              </w:rPr>
              <w:t>题项</w:t>
            </w:r>
          </w:p>
        </w:tc>
        <w:tc>
          <w:tcPr>
            <w:tcW w:type="dxa" w:w="1758"/>
          </w:tcPr>
          <w:p>
            <w:pPr>
              <w:jc w:val="center"/>
            </w:pPr>
            <w:r>
              <w:rPr>
                <w:b/>
                <w:sz w:val="21"/>
              </w:rPr>
              <w:t>均值</w:t>
            </w:r>
          </w:p>
        </w:tc>
        <w:tc>
          <w:tcPr>
            <w:tcW w:type="dxa" w:w="1758"/>
          </w:tcPr>
          <w:p>
            <w:pPr>
              <w:jc w:val="center"/>
            </w:pPr>
            <w:r>
              <w:rPr>
                <w:b/>
                <w:sz w:val="21"/>
              </w:rPr>
              <w:t>标准差</w:t>
            </w:r>
          </w:p>
        </w:tc>
        <w:tc>
          <w:tcPr>
            <w:tcW w:type="dxa" w:w="1758"/>
          </w:tcPr>
          <w:p>
            <w:pPr>
              <w:jc w:val="center"/>
            </w:pPr>
            <w:r>
              <w:rPr>
                <w:b/>
                <w:sz w:val="21"/>
              </w:rPr>
              <w:t>方差</w:t>
            </w:r>
          </w:p>
        </w:tc>
      </w:tr>
      <w:tr>
        <w:tc>
          <w:tcPr>
            <w:tcW w:type="dxa" w:w="1758"/>
          </w:tcPr>
          <w:p>
            <w:pPr>
              <w:jc w:val="center"/>
            </w:pPr>
            <w:r>
              <w:rPr>
                <w:sz w:val="21"/>
              </w:rPr>
              <w:t>政策治理</w:t>
            </w:r>
          </w:p>
        </w:tc>
        <w:tc>
          <w:tcPr>
            <w:tcW w:type="dxa" w:w="1758"/>
          </w:tcPr>
          <w:p>
            <w:pPr>
              <w:jc w:val="center"/>
            </w:pPr>
            <w:r>
              <w:rPr>
                <w:sz w:val="21"/>
              </w:rPr>
              <w:t>GP1</w:t>
            </w:r>
          </w:p>
        </w:tc>
        <w:tc>
          <w:tcPr>
            <w:tcW w:type="dxa" w:w="1758"/>
          </w:tcPr>
          <w:p>
            <w:pPr>
              <w:jc w:val="center"/>
            </w:pPr>
            <w:r>
              <w:rPr>
                <w:sz w:val="21"/>
              </w:rPr>
              <w:t>3</w:t>
            </w:r>
          </w:p>
        </w:tc>
        <w:tc>
          <w:tcPr>
            <w:tcW w:type="dxa" w:w="1758"/>
          </w:tcPr>
          <w:p>
            <w:pPr>
              <w:jc w:val="center"/>
            </w:pPr>
            <w:r>
              <w:rPr>
                <w:sz w:val="21"/>
              </w:rPr>
              <w:t>1.15</w:t>
            </w:r>
          </w:p>
        </w:tc>
        <w:tc>
          <w:tcPr>
            <w:tcW w:type="dxa" w:w="1758"/>
          </w:tcPr>
          <w:p>
            <w:pPr>
              <w:jc w:val="center"/>
            </w:pPr>
            <w:r>
              <w:rPr>
                <w:sz w:val="21"/>
              </w:rPr>
              <w:t>1.322</w:t>
            </w:r>
          </w:p>
        </w:tc>
      </w:tr>
      <w:tr>
        <w:tc>
          <w:tcPr>
            <w:tcW w:type="dxa" w:w="1758"/>
          </w:tcPr>
          <w:p>
            <w:pPr>
              <w:jc w:val="center"/>
            </w:pPr>
            <w:r>
              <w:rPr>
                <w:sz w:val="21"/>
              </w:rPr>
              <w:t>政策治理</w:t>
            </w:r>
          </w:p>
        </w:tc>
        <w:tc>
          <w:tcPr>
            <w:tcW w:type="dxa" w:w="1758"/>
          </w:tcPr>
          <w:p>
            <w:pPr>
              <w:jc w:val="center"/>
            </w:pPr>
            <w:r>
              <w:rPr>
                <w:sz w:val="21"/>
              </w:rPr>
              <w:t>GP2</w:t>
            </w:r>
          </w:p>
        </w:tc>
        <w:tc>
          <w:tcPr>
            <w:tcW w:type="dxa" w:w="1758"/>
          </w:tcPr>
          <w:p>
            <w:pPr>
              <w:jc w:val="center"/>
            </w:pPr>
            <w:r>
              <w:rPr>
                <w:sz w:val="21"/>
              </w:rPr>
              <w:t>3</w:t>
            </w:r>
          </w:p>
        </w:tc>
        <w:tc>
          <w:tcPr>
            <w:tcW w:type="dxa" w:w="1758"/>
          </w:tcPr>
          <w:p>
            <w:pPr>
              <w:jc w:val="center"/>
            </w:pPr>
            <w:r>
              <w:rPr>
                <w:sz w:val="21"/>
              </w:rPr>
              <w:t>1.15</w:t>
            </w:r>
          </w:p>
        </w:tc>
        <w:tc>
          <w:tcPr>
            <w:tcW w:type="dxa" w:w="1758"/>
          </w:tcPr>
          <w:p>
            <w:pPr>
              <w:jc w:val="center"/>
            </w:pPr>
            <w:r>
              <w:rPr>
                <w:sz w:val="21"/>
              </w:rPr>
              <w:t>1.322</w:t>
            </w:r>
          </w:p>
        </w:tc>
      </w:tr>
      <w:tr>
        <w:tc>
          <w:tcPr>
            <w:tcW w:type="dxa" w:w="1758"/>
          </w:tcPr>
          <w:p>
            <w:pPr>
              <w:jc w:val="center"/>
            </w:pPr>
            <w:r>
              <w:rPr>
                <w:sz w:val="21"/>
              </w:rPr>
              <w:t>政策治理</w:t>
            </w:r>
          </w:p>
        </w:tc>
        <w:tc>
          <w:tcPr>
            <w:tcW w:type="dxa" w:w="1758"/>
          </w:tcPr>
          <w:p>
            <w:pPr>
              <w:jc w:val="center"/>
            </w:pPr>
            <w:r>
              <w:rPr>
                <w:sz w:val="21"/>
              </w:rPr>
              <w:t>GP3</w:t>
            </w:r>
          </w:p>
        </w:tc>
        <w:tc>
          <w:tcPr>
            <w:tcW w:type="dxa" w:w="1758"/>
          </w:tcPr>
          <w:p>
            <w:pPr>
              <w:jc w:val="center"/>
            </w:pPr>
            <w:r>
              <w:rPr>
                <w:sz w:val="21"/>
              </w:rPr>
              <w:t>3</w:t>
            </w:r>
          </w:p>
        </w:tc>
        <w:tc>
          <w:tcPr>
            <w:tcW w:type="dxa" w:w="1758"/>
          </w:tcPr>
          <w:p>
            <w:pPr>
              <w:jc w:val="center"/>
            </w:pPr>
            <w:r>
              <w:rPr>
                <w:sz w:val="21"/>
              </w:rPr>
              <w:t>1.15</w:t>
            </w:r>
          </w:p>
        </w:tc>
        <w:tc>
          <w:tcPr>
            <w:tcW w:type="dxa" w:w="1758"/>
          </w:tcPr>
          <w:p>
            <w:pPr>
              <w:jc w:val="center"/>
            </w:pPr>
            <w:r>
              <w:rPr>
                <w:sz w:val="21"/>
              </w:rPr>
              <w:t>1.322</w:t>
            </w:r>
          </w:p>
        </w:tc>
      </w:tr>
      <w:tr>
        <w:tc>
          <w:tcPr>
            <w:tcW w:type="dxa" w:w="1758"/>
          </w:tcPr>
          <w:p>
            <w:pPr>
              <w:jc w:val="center"/>
            </w:pPr>
            <w:r>
              <w:rPr>
                <w:sz w:val="21"/>
              </w:rPr>
              <w:t>人才支撑</w:t>
            </w:r>
          </w:p>
        </w:tc>
        <w:tc>
          <w:tcPr>
            <w:tcW w:type="dxa" w:w="1758"/>
          </w:tcPr>
          <w:p>
            <w:pPr>
              <w:jc w:val="center"/>
            </w:pPr>
            <w:r>
              <w:rPr>
                <w:sz w:val="21"/>
              </w:rPr>
              <w:t>TS1</w:t>
            </w:r>
          </w:p>
        </w:tc>
        <w:tc>
          <w:tcPr>
            <w:tcW w:type="dxa" w:w="1758"/>
          </w:tcPr>
          <w:p>
            <w:pPr>
              <w:jc w:val="center"/>
            </w:pPr>
            <w:r>
              <w:rPr>
                <w:sz w:val="21"/>
              </w:rPr>
              <w:t>2.573</w:t>
            </w:r>
          </w:p>
        </w:tc>
        <w:tc>
          <w:tcPr>
            <w:tcW w:type="dxa" w:w="1758"/>
          </w:tcPr>
          <w:p>
            <w:pPr>
              <w:jc w:val="center"/>
            </w:pPr>
            <w:r>
              <w:rPr>
                <w:sz w:val="21"/>
              </w:rPr>
              <w:t>1.126</w:t>
            </w:r>
          </w:p>
        </w:tc>
        <w:tc>
          <w:tcPr>
            <w:tcW w:type="dxa" w:w="1758"/>
          </w:tcPr>
          <w:p>
            <w:pPr>
              <w:jc w:val="center"/>
            </w:pPr>
            <w:r>
              <w:rPr>
                <w:sz w:val="21"/>
              </w:rPr>
              <w:t>1.268</w:t>
            </w:r>
          </w:p>
        </w:tc>
      </w:tr>
      <w:tr>
        <w:tc>
          <w:tcPr>
            <w:tcW w:type="dxa" w:w="1758"/>
          </w:tcPr>
          <w:p>
            <w:pPr>
              <w:jc w:val="center"/>
            </w:pPr>
            <w:r>
              <w:rPr>
                <w:sz w:val="21"/>
              </w:rPr>
              <w:t>人才支撑</w:t>
            </w:r>
          </w:p>
        </w:tc>
        <w:tc>
          <w:tcPr>
            <w:tcW w:type="dxa" w:w="1758"/>
          </w:tcPr>
          <w:p>
            <w:pPr>
              <w:jc w:val="center"/>
            </w:pPr>
            <w:r>
              <w:rPr>
                <w:sz w:val="21"/>
              </w:rPr>
              <w:t>TS2</w:t>
            </w:r>
          </w:p>
        </w:tc>
        <w:tc>
          <w:tcPr>
            <w:tcW w:type="dxa" w:w="1758"/>
          </w:tcPr>
          <w:p>
            <w:pPr>
              <w:jc w:val="center"/>
            </w:pPr>
            <w:r>
              <w:rPr>
                <w:sz w:val="21"/>
              </w:rPr>
              <w:t>2.593</w:t>
            </w:r>
          </w:p>
        </w:tc>
        <w:tc>
          <w:tcPr>
            <w:tcW w:type="dxa" w:w="1758"/>
          </w:tcPr>
          <w:p>
            <w:pPr>
              <w:jc w:val="center"/>
            </w:pPr>
            <w:r>
              <w:rPr>
                <w:sz w:val="21"/>
              </w:rPr>
              <w:t>1.091</w:t>
            </w:r>
          </w:p>
        </w:tc>
        <w:tc>
          <w:tcPr>
            <w:tcW w:type="dxa" w:w="1758"/>
          </w:tcPr>
          <w:p>
            <w:pPr>
              <w:jc w:val="center"/>
            </w:pPr>
            <w:r>
              <w:rPr>
                <w:sz w:val="21"/>
              </w:rPr>
              <w:t>1.190</w:t>
            </w:r>
          </w:p>
        </w:tc>
      </w:tr>
      <w:tr>
        <w:tc>
          <w:tcPr>
            <w:tcW w:type="dxa" w:w="1758"/>
          </w:tcPr>
          <w:p>
            <w:pPr>
              <w:jc w:val="center"/>
            </w:pPr>
            <w:r>
              <w:rPr>
                <w:sz w:val="21"/>
              </w:rPr>
              <w:t>人才支撑</w:t>
            </w:r>
          </w:p>
        </w:tc>
        <w:tc>
          <w:tcPr>
            <w:tcW w:type="dxa" w:w="1758"/>
          </w:tcPr>
          <w:p>
            <w:pPr>
              <w:jc w:val="center"/>
            </w:pPr>
            <w:r>
              <w:rPr>
                <w:sz w:val="21"/>
              </w:rPr>
              <w:t>TS3</w:t>
            </w:r>
          </w:p>
        </w:tc>
        <w:tc>
          <w:tcPr>
            <w:tcW w:type="dxa" w:w="1758"/>
          </w:tcPr>
          <w:p>
            <w:pPr>
              <w:jc w:val="center"/>
            </w:pPr>
            <w:r>
              <w:rPr>
                <w:sz w:val="21"/>
              </w:rPr>
              <w:t>2.555</w:t>
            </w:r>
          </w:p>
        </w:tc>
        <w:tc>
          <w:tcPr>
            <w:tcW w:type="dxa" w:w="1758"/>
          </w:tcPr>
          <w:p>
            <w:pPr>
              <w:jc w:val="center"/>
            </w:pPr>
            <w:r>
              <w:rPr>
                <w:sz w:val="21"/>
              </w:rPr>
              <w:t>1.111</w:t>
            </w:r>
          </w:p>
        </w:tc>
        <w:tc>
          <w:tcPr>
            <w:tcW w:type="dxa" w:w="1758"/>
          </w:tcPr>
          <w:p>
            <w:pPr>
              <w:jc w:val="center"/>
            </w:pPr>
            <w:r>
              <w:rPr>
                <w:sz w:val="21"/>
              </w:rPr>
              <w:t>1.234</w:t>
            </w:r>
          </w:p>
        </w:tc>
      </w:tr>
      <w:tr>
        <w:tc>
          <w:tcPr>
            <w:tcW w:type="dxa" w:w="1758"/>
          </w:tcPr>
          <w:p>
            <w:pPr>
              <w:jc w:val="center"/>
            </w:pPr>
            <w:r>
              <w:rPr>
                <w:sz w:val="21"/>
              </w:rPr>
              <w:t>基础设施</w:t>
            </w:r>
          </w:p>
        </w:tc>
        <w:tc>
          <w:tcPr>
            <w:tcW w:type="dxa" w:w="1758"/>
          </w:tcPr>
          <w:p>
            <w:pPr>
              <w:jc w:val="center"/>
            </w:pPr>
            <w:r>
              <w:rPr>
                <w:sz w:val="21"/>
              </w:rPr>
              <w:t>IF1</w:t>
            </w:r>
          </w:p>
        </w:tc>
        <w:tc>
          <w:tcPr>
            <w:tcW w:type="dxa" w:w="1758"/>
          </w:tcPr>
          <w:p>
            <w:pPr>
              <w:jc w:val="center"/>
            </w:pPr>
            <w:r>
              <w:rPr>
                <w:sz w:val="21"/>
              </w:rPr>
              <w:t>3.335</w:t>
            </w:r>
          </w:p>
        </w:tc>
        <w:tc>
          <w:tcPr>
            <w:tcW w:type="dxa" w:w="1758"/>
          </w:tcPr>
          <w:p>
            <w:pPr>
              <w:jc w:val="center"/>
            </w:pPr>
            <w:r>
              <w:rPr>
                <w:sz w:val="21"/>
              </w:rPr>
              <w:t>1.132</w:t>
            </w:r>
          </w:p>
        </w:tc>
        <w:tc>
          <w:tcPr>
            <w:tcW w:type="dxa" w:w="1758"/>
          </w:tcPr>
          <w:p>
            <w:pPr>
              <w:jc w:val="center"/>
            </w:pPr>
            <w:r>
              <w:rPr>
                <w:sz w:val="21"/>
              </w:rPr>
              <w:t>1.281</w:t>
            </w:r>
          </w:p>
        </w:tc>
      </w:tr>
      <w:tr>
        <w:tc>
          <w:tcPr>
            <w:tcW w:type="dxa" w:w="1758"/>
          </w:tcPr>
          <w:p>
            <w:pPr>
              <w:jc w:val="center"/>
            </w:pPr>
            <w:r>
              <w:rPr>
                <w:sz w:val="21"/>
              </w:rPr>
              <w:t>基础设施</w:t>
            </w:r>
          </w:p>
        </w:tc>
        <w:tc>
          <w:tcPr>
            <w:tcW w:type="dxa" w:w="1758"/>
          </w:tcPr>
          <w:p>
            <w:pPr>
              <w:jc w:val="center"/>
            </w:pPr>
            <w:r>
              <w:rPr>
                <w:sz w:val="21"/>
              </w:rPr>
              <w:t>IF2</w:t>
            </w:r>
          </w:p>
        </w:tc>
        <w:tc>
          <w:tcPr>
            <w:tcW w:type="dxa" w:w="1758"/>
          </w:tcPr>
          <w:p>
            <w:pPr>
              <w:jc w:val="center"/>
            </w:pPr>
            <w:r>
              <w:rPr>
                <w:sz w:val="21"/>
              </w:rPr>
              <w:t>3.315</w:t>
            </w:r>
          </w:p>
        </w:tc>
        <w:tc>
          <w:tcPr>
            <w:tcW w:type="dxa" w:w="1758"/>
          </w:tcPr>
          <w:p>
            <w:pPr>
              <w:jc w:val="center"/>
            </w:pPr>
            <w:r>
              <w:rPr>
                <w:sz w:val="21"/>
              </w:rPr>
              <w:t>1.129</w:t>
            </w:r>
          </w:p>
        </w:tc>
        <w:tc>
          <w:tcPr>
            <w:tcW w:type="dxa" w:w="1758"/>
          </w:tcPr>
          <w:p>
            <w:pPr>
              <w:jc w:val="center"/>
            </w:pPr>
            <w:r>
              <w:rPr>
                <w:sz w:val="21"/>
              </w:rPr>
              <w:t>1.275</w:t>
            </w:r>
          </w:p>
        </w:tc>
      </w:tr>
      <w:tr>
        <w:tc>
          <w:tcPr>
            <w:tcW w:type="dxa" w:w="1758"/>
          </w:tcPr>
          <w:p>
            <w:pPr>
              <w:jc w:val="center"/>
            </w:pPr>
            <w:r>
              <w:rPr>
                <w:sz w:val="21"/>
              </w:rPr>
              <w:t>基础设施</w:t>
            </w:r>
          </w:p>
        </w:tc>
        <w:tc>
          <w:tcPr>
            <w:tcW w:type="dxa" w:w="1758"/>
          </w:tcPr>
          <w:p>
            <w:pPr>
              <w:jc w:val="center"/>
            </w:pPr>
            <w:r>
              <w:rPr>
                <w:sz w:val="21"/>
              </w:rPr>
              <w:t>IF3</w:t>
            </w:r>
          </w:p>
        </w:tc>
        <w:tc>
          <w:tcPr>
            <w:tcW w:type="dxa" w:w="1758"/>
          </w:tcPr>
          <w:p>
            <w:pPr>
              <w:jc w:val="center"/>
            </w:pPr>
            <w:r>
              <w:rPr>
                <w:sz w:val="21"/>
              </w:rPr>
              <w:t>3.313</w:t>
            </w:r>
          </w:p>
        </w:tc>
        <w:tc>
          <w:tcPr>
            <w:tcW w:type="dxa" w:w="1758"/>
          </w:tcPr>
          <w:p>
            <w:pPr>
              <w:jc w:val="center"/>
            </w:pPr>
            <w:r>
              <w:rPr>
                <w:sz w:val="21"/>
              </w:rPr>
              <w:t>1.166</w:t>
            </w:r>
          </w:p>
        </w:tc>
        <w:tc>
          <w:tcPr>
            <w:tcW w:type="dxa" w:w="1758"/>
          </w:tcPr>
          <w:p>
            <w:pPr>
              <w:jc w:val="center"/>
            </w:pPr>
            <w:r>
              <w:rPr>
                <w:sz w:val="21"/>
              </w:rPr>
              <w:t>1.360</w:t>
            </w:r>
          </w:p>
        </w:tc>
      </w:tr>
      <w:tr>
        <w:tc>
          <w:tcPr>
            <w:tcW w:type="dxa" w:w="1758"/>
          </w:tcPr>
          <w:p>
            <w:pPr>
              <w:jc w:val="center"/>
            </w:pPr>
            <w:r>
              <w:rPr>
                <w:sz w:val="21"/>
              </w:rPr>
              <w:t>技术创新</w:t>
            </w:r>
          </w:p>
        </w:tc>
        <w:tc>
          <w:tcPr>
            <w:tcW w:type="dxa" w:w="1758"/>
          </w:tcPr>
          <w:p>
            <w:pPr>
              <w:jc w:val="center"/>
            </w:pPr>
            <w:r>
              <w:rPr>
                <w:sz w:val="21"/>
              </w:rPr>
              <w:t>TI1</w:t>
            </w:r>
          </w:p>
        </w:tc>
        <w:tc>
          <w:tcPr>
            <w:tcW w:type="dxa" w:w="1758"/>
          </w:tcPr>
          <w:p>
            <w:pPr>
              <w:jc w:val="center"/>
            </w:pPr>
            <w:r>
              <w:rPr>
                <w:sz w:val="21"/>
              </w:rPr>
              <w:t>2.937</w:t>
            </w:r>
          </w:p>
        </w:tc>
        <w:tc>
          <w:tcPr>
            <w:tcW w:type="dxa" w:w="1758"/>
          </w:tcPr>
          <w:p>
            <w:pPr>
              <w:jc w:val="center"/>
            </w:pPr>
            <w:r>
              <w:rPr>
                <w:sz w:val="21"/>
              </w:rPr>
              <w:t>1.157</w:t>
            </w:r>
          </w:p>
        </w:tc>
        <w:tc>
          <w:tcPr>
            <w:tcW w:type="dxa" w:w="1758"/>
          </w:tcPr>
          <w:p>
            <w:pPr>
              <w:jc w:val="center"/>
            </w:pPr>
            <w:r>
              <w:rPr>
                <w:sz w:val="21"/>
              </w:rPr>
              <w:t>1.339</w:t>
            </w:r>
          </w:p>
        </w:tc>
      </w:tr>
      <w:tr>
        <w:tc>
          <w:tcPr>
            <w:tcW w:type="dxa" w:w="1758"/>
          </w:tcPr>
          <w:p>
            <w:pPr>
              <w:jc w:val="center"/>
            </w:pPr>
            <w:r>
              <w:rPr>
                <w:sz w:val="21"/>
              </w:rPr>
              <w:t>技术创新</w:t>
            </w:r>
          </w:p>
        </w:tc>
        <w:tc>
          <w:tcPr>
            <w:tcW w:type="dxa" w:w="1758"/>
          </w:tcPr>
          <w:p>
            <w:pPr>
              <w:jc w:val="center"/>
            </w:pPr>
            <w:r>
              <w:rPr>
                <w:sz w:val="21"/>
              </w:rPr>
              <w:t>TI2</w:t>
            </w:r>
          </w:p>
        </w:tc>
        <w:tc>
          <w:tcPr>
            <w:tcW w:type="dxa" w:w="1758"/>
          </w:tcPr>
          <w:p>
            <w:pPr>
              <w:jc w:val="center"/>
            </w:pPr>
            <w:r>
              <w:rPr>
                <w:sz w:val="21"/>
              </w:rPr>
              <w:t>2.953</w:t>
            </w:r>
          </w:p>
        </w:tc>
        <w:tc>
          <w:tcPr>
            <w:tcW w:type="dxa" w:w="1758"/>
          </w:tcPr>
          <w:p>
            <w:pPr>
              <w:jc w:val="center"/>
            </w:pPr>
            <w:r>
              <w:rPr>
                <w:sz w:val="21"/>
              </w:rPr>
              <w:t>1.147</w:t>
            </w:r>
          </w:p>
        </w:tc>
        <w:tc>
          <w:tcPr>
            <w:tcW w:type="dxa" w:w="1758"/>
          </w:tcPr>
          <w:p>
            <w:pPr>
              <w:jc w:val="center"/>
            </w:pPr>
            <w:r>
              <w:rPr>
                <w:sz w:val="21"/>
              </w:rPr>
              <w:t>1.316</w:t>
            </w:r>
          </w:p>
        </w:tc>
      </w:tr>
      <w:tr>
        <w:tc>
          <w:tcPr>
            <w:tcW w:type="dxa" w:w="1758"/>
          </w:tcPr>
          <w:p>
            <w:pPr>
              <w:jc w:val="center"/>
            </w:pPr>
            <w:r>
              <w:rPr>
                <w:sz w:val="21"/>
              </w:rPr>
              <w:t>技术创新</w:t>
            </w:r>
          </w:p>
        </w:tc>
        <w:tc>
          <w:tcPr>
            <w:tcW w:type="dxa" w:w="1758"/>
          </w:tcPr>
          <w:p>
            <w:pPr>
              <w:jc w:val="center"/>
            </w:pPr>
            <w:r>
              <w:rPr>
                <w:sz w:val="21"/>
              </w:rPr>
              <w:t>TI3</w:t>
            </w:r>
          </w:p>
        </w:tc>
        <w:tc>
          <w:tcPr>
            <w:tcW w:type="dxa" w:w="1758"/>
          </w:tcPr>
          <w:p>
            <w:pPr>
              <w:jc w:val="center"/>
            </w:pPr>
            <w:r>
              <w:rPr>
                <w:sz w:val="21"/>
              </w:rPr>
              <w:t>2.933</w:t>
            </w:r>
          </w:p>
        </w:tc>
        <w:tc>
          <w:tcPr>
            <w:tcW w:type="dxa" w:w="1758"/>
          </w:tcPr>
          <w:p>
            <w:pPr>
              <w:jc w:val="center"/>
            </w:pPr>
            <w:r>
              <w:rPr>
                <w:sz w:val="21"/>
              </w:rPr>
              <w:t>1.141</w:t>
            </w:r>
          </w:p>
        </w:tc>
        <w:tc>
          <w:tcPr>
            <w:tcW w:type="dxa" w:w="1758"/>
          </w:tcPr>
          <w:p>
            <w:pPr>
              <w:jc w:val="center"/>
            </w:pPr>
            <w:r>
              <w:rPr>
                <w:sz w:val="21"/>
              </w:rPr>
              <w:t>1.302</w:t>
            </w:r>
          </w:p>
        </w:tc>
      </w:tr>
      <w:tr>
        <w:tc>
          <w:tcPr>
            <w:tcW w:type="dxa" w:w="1758"/>
          </w:tcPr>
          <w:p>
            <w:pPr>
              <w:jc w:val="center"/>
            </w:pPr>
            <w:r>
              <w:rPr>
                <w:sz w:val="21"/>
              </w:rPr>
              <w:t>数字化能力</w:t>
            </w:r>
          </w:p>
        </w:tc>
        <w:tc>
          <w:tcPr>
            <w:tcW w:type="dxa" w:w="1758"/>
          </w:tcPr>
          <w:p>
            <w:pPr>
              <w:jc w:val="center"/>
            </w:pPr>
            <w:r>
              <w:rPr>
                <w:sz w:val="21"/>
              </w:rPr>
              <w:t>DS1</w:t>
            </w:r>
          </w:p>
        </w:tc>
        <w:tc>
          <w:tcPr>
            <w:tcW w:type="dxa" w:w="1758"/>
          </w:tcPr>
          <w:p>
            <w:pPr>
              <w:jc w:val="center"/>
            </w:pPr>
            <w:r>
              <w:rPr>
                <w:sz w:val="21"/>
              </w:rPr>
              <w:t>3.179</w:t>
            </w:r>
          </w:p>
        </w:tc>
        <w:tc>
          <w:tcPr>
            <w:tcW w:type="dxa" w:w="1758"/>
          </w:tcPr>
          <w:p>
            <w:pPr>
              <w:jc w:val="center"/>
            </w:pPr>
            <w:r>
              <w:rPr>
                <w:sz w:val="21"/>
              </w:rPr>
              <w:t>1.121</w:t>
            </w:r>
          </w:p>
        </w:tc>
        <w:tc>
          <w:tcPr>
            <w:tcW w:type="dxa" w:w="1758"/>
          </w:tcPr>
          <w:p>
            <w:pPr>
              <w:jc w:val="center"/>
            </w:pPr>
            <w:r>
              <w:rPr>
                <w:sz w:val="21"/>
              </w:rPr>
              <w:t>1.257</w:t>
            </w:r>
          </w:p>
        </w:tc>
      </w:tr>
      <w:tr>
        <w:tc>
          <w:tcPr>
            <w:tcW w:type="dxa" w:w="1758"/>
          </w:tcPr>
          <w:p>
            <w:pPr>
              <w:jc w:val="center"/>
            </w:pPr>
            <w:r>
              <w:rPr>
                <w:sz w:val="21"/>
              </w:rPr>
              <w:t>数字化能力</w:t>
            </w:r>
          </w:p>
        </w:tc>
        <w:tc>
          <w:tcPr>
            <w:tcW w:type="dxa" w:w="1758"/>
          </w:tcPr>
          <w:p>
            <w:pPr>
              <w:jc w:val="center"/>
            </w:pPr>
            <w:r>
              <w:rPr>
                <w:sz w:val="21"/>
              </w:rPr>
              <w:t>DS2</w:t>
            </w:r>
          </w:p>
        </w:tc>
        <w:tc>
          <w:tcPr>
            <w:tcW w:type="dxa" w:w="1758"/>
          </w:tcPr>
          <w:p>
            <w:pPr>
              <w:jc w:val="center"/>
            </w:pPr>
            <w:r>
              <w:rPr>
                <w:sz w:val="21"/>
              </w:rPr>
              <w:t>3.177</w:t>
            </w:r>
          </w:p>
        </w:tc>
        <w:tc>
          <w:tcPr>
            <w:tcW w:type="dxa" w:w="1758"/>
          </w:tcPr>
          <w:p>
            <w:pPr>
              <w:jc w:val="center"/>
            </w:pPr>
            <w:r>
              <w:rPr>
                <w:sz w:val="21"/>
              </w:rPr>
              <w:t>1.14</w:t>
            </w:r>
          </w:p>
        </w:tc>
        <w:tc>
          <w:tcPr>
            <w:tcW w:type="dxa" w:w="1758"/>
          </w:tcPr>
          <w:p>
            <w:pPr>
              <w:jc w:val="center"/>
            </w:pPr>
            <w:r>
              <w:rPr>
                <w:sz w:val="21"/>
              </w:rPr>
              <w:t>1.300</w:t>
            </w:r>
          </w:p>
        </w:tc>
      </w:tr>
      <w:tr>
        <w:tc>
          <w:tcPr>
            <w:tcW w:type="dxa" w:w="1758"/>
          </w:tcPr>
          <w:p>
            <w:pPr>
              <w:jc w:val="center"/>
            </w:pPr>
            <w:r>
              <w:rPr>
                <w:sz w:val="21"/>
              </w:rPr>
              <w:t>数字化能力</w:t>
            </w:r>
          </w:p>
        </w:tc>
        <w:tc>
          <w:tcPr>
            <w:tcW w:type="dxa" w:w="1758"/>
          </w:tcPr>
          <w:p>
            <w:pPr>
              <w:jc w:val="center"/>
            </w:pPr>
            <w:r>
              <w:rPr>
                <w:sz w:val="21"/>
              </w:rPr>
              <w:t>DS3</w:t>
            </w:r>
          </w:p>
        </w:tc>
        <w:tc>
          <w:tcPr>
            <w:tcW w:type="dxa" w:w="1758"/>
          </w:tcPr>
          <w:p>
            <w:pPr>
              <w:jc w:val="center"/>
            </w:pPr>
            <w:r>
              <w:rPr>
                <w:sz w:val="21"/>
              </w:rPr>
              <w:t>3.177</w:t>
            </w:r>
          </w:p>
        </w:tc>
        <w:tc>
          <w:tcPr>
            <w:tcW w:type="dxa" w:w="1758"/>
          </w:tcPr>
          <w:p>
            <w:pPr>
              <w:jc w:val="center"/>
            </w:pPr>
            <w:r>
              <w:rPr>
                <w:sz w:val="21"/>
              </w:rPr>
              <w:t>1.107</w:t>
            </w:r>
          </w:p>
        </w:tc>
        <w:tc>
          <w:tcPr>
            <w:tcW w:type="dxa" w:w="1758"/>
          </w:tcPr>
          <w:p>
            <w:pPr>
              <w:jc w:val="center"/>
            </w:pPr>
            <w:r>
              <w:rPr>
                <w:sz w:val="21"/>
              </w:rPr>
              <w:t>1.225</w:t>
            </w:r>
          </w:p>
        </w:tc>
      </w:tr>
      <w:tr>
        <w:tc>
          <w:tcPr>
            <w:tcW w:type="dxa" w:w="1758"/>
          </w:tcPr>
          <w:p>
            <w:pPr>
              <w:jc w:val="center"/>
            </w:pPr>
            <w:r>
              <w:rPr>
                <w:sz w:val="21"/>
              </w:rPr>
              <w:t>资源禀赋</w:t>
            </w:r>
          </w:p>
        </w:tc>
        <w:tc>
          <w:tcPr>
            <w:tcW w:type="dxa" w:w="1758"/>
          </w:tcPr>
          <w:p>
            <w:pPr>
              <w:jc w:val="center"/>
            </w:pPr>
            <w:r>
              <w:rPr>
                <w:sz w:val="21"/>
              </w:rPr>
              <w:t>EN1</w:t>
            </w:r>
          </w:p>
        </w:tc>
        <w:tc>
          <w:tcPr>
            <w:tcW w:type="dxa" w:w="1758"/>
          </w:tcPr>
          <w:p>
            <w:pPr>
              <w:jc w:val="center"/>
            </w:pPr>
            <w:r>
              <w:rPr>
                <w:sz w:val="21"/>
              </w:rPr>
              <w:t>3.648</w:t>
            </w:r>
          </w:p>
        </w:tc>
        <w:tc>
          <w:tcPr>
            <w:tcW w:type="dxa" w:w="1758"/>
          </w:tcPr>
          <w:p>
            <w:pPr>
              <w:jc w:val="center"/>
            </w:pPr>
            <w:r>
              <w:rPr>
                <w:sz w:val="21"/>
              </w:rPr>
              <w:t>1.096</w:t>
            </w:r>
          </w:p>
        </w:tc>
        <w:tc>
          <w:tcPr>
            <w:tcW w:type="dxa" w:w="1758"/>
          </w:tcPr>
          <w:p>
            <w:pPr>
              <w:jc w:val="center"/>
            </w:pPr>
            <w:r>
              <w:rPr>
                <w:sz w:val="21"/>
              </w:rPr>
              <w:t>1.201</w:t>
            </w:r>
          </w:p>
        </w:tc>
      </w:tr>
      <w:tr>
        <w:tc>
          <w:tcPr>
            <w:tcW w:type="dxa" w:w="1758"/>
          </w:tcPr>
          <w:p>
            <w:pPr>
              <w:jc w:val="center"/>
            </w:pPr>
            <w:r>
              <w:rPr>
                <w:sz w:val="21"/>
              </w:rPr>
              <w:t>资源禀赋</w:t>
            </w:r>
          </w:p>
        </w:tc>
        <w:tc>
          <w:tcPr>
            <w:tcW w:type="dxa" w:w="1758"/>
          </w:tcPr>
          <w:p>
            <w:pPr>
              <w:jc w:val="center"/>
            </w:pPr>
            <w:r>
              <w:rPr>
                <w:sz w:val="21"/>
              </w:rPr>
              <w:t>EN2</w:t>
            </w:r>
          </w:p>
        </w:tc>
        <w:tc>
          <w:tcPr>
            <w:tcW w:type="dxa" w:w="1758"/>
          </w:tcPr>
          <w:p>
            <w:pPr>
              <w:jc w:val="center"/>
            </w:pPr>
            <w:r>
              <w:rPr>
                <w:sz w:val="21"/>
              </w:rPr>
              <w:t>3.608</w:t>
            </w:r>
          </w:p>
        </w:tc>
        <w:tc>
          <w:tcPr>
            <w:tcW w:type="dxa" w:w="1758"/>
          </w:tcPr>
          <w:p>
            <w:pPr>
              <w:jc w:val="center"/>
            </w:pPr>
            <w:r>
              <w:rPr>
                <w:sz w:val="21"/>
              </w:rPr>
              <w:t>1.097</w:t>
            </w:r>
          </w:p>
        </w:tc>
        <w:tc>
          <w:tcPr>
            <w:tcW w:type="dxa" w:w="1758"/>
          </w:tcPr>
          <w:p>
            <w:pPr>
              <w:jc w:val="center"/>
            </w:pPr>
            <w:r>
              <w:rPr>
                <w:sz w:val="21"/>
              </w:rPr>
              <w:t>1.203</w:t>
            </w:r>
          </w:p>
        </w:tc>
      </w:tr>
      <w:tr>
        <w:tc>
          <w:tcPr>
            <w:tcW w:type="dxa" w:w="1758"/>
          </w:tcPr>
          <w:p>
            <w:pPr>
              <w:jc w:val="center"/>
            </w:pPr>
            <w:r>
              <w:rPr>
                <w:sz w:val="21"/>
              </w:rPr>
              <w:t>资源禀赋</w:t>
            </w:r>
          </w:p>
        </w:tc>
        <w:tc>
          <w:tcPr>
            <w:tcW w:type="dxa" w:w="1758"/>
          </w:tcPr>
          <w:p>
            <w:pPr>
              <w:jc w:val="center"/>
            </w:pPr>
            <w:r>
              <w:rPr>
                <w:sz w:val="21"/>
              </w:rPr>
              <w:t>EN3</w:t>
            </w:r>
          </w:p>
        </w:tc>
        <w:tc>
          <w:tcPr>
            <w:tcW w:type="dxa" w:w="1758"/>
          </w:tcPr>
          <w:p>
            <w:pPr>
              <w:jc w:val="center"/>
            </w:pPr>
            <w:r>
              <w:rPr>
                <w:sz w:val="21"/>
              </w:rPr>
              <w:t>3.652</w:t>
            </w:r>
          </w:p>
        </w:tc>
        <w:tc>
          <w:tcPr>
            <w:tcW w:type="dxa" w:w="1758"/>
          </w:tcPr>
          <w:p>
            <w:pPr>
              <w:jc w:val="center"/>
            </w:pPr>
            <w:r>
              <w:rPr>
                <w:sz w:val="21"/>
              </w:rPr>
              <w:t>1.118</w:t>
            </w:r>
          </w:p>
        </w:tc>
        <w:tc>
          <w:tcPr>
            <w:tcW w:type="dxa" w:w="1758"/>
          </w:tcPr>
          <w:p>
            <w:pPr>
              <w:jc w:val="center"/>
            </w:pPr>
            <w:r>
              <w:rPr>
                <w:sz w:val="21"/>
              </w:rPr>
              <w:t>1.250</w:t>
            </w:r>
          </w:p>
        </w:tc>
      </w:tr>
      <w:tr>
        <w:tc>
          <w:tcPr>
            <w:tcW w:type="dxa" w:w="1758"/>
          </w:tcPr>
          <w:p>
            <w:pPr>
              <w:jc w:val="center"/>
            </w:pPr>
            <w:r>
              <w:rPr>
                <w:sz w:val="21"/>
              </w:rPr>
              <w:t>集群电商发展水平</w:t>
            </w:r>
          </w:p>
        </w:tc>
        <w:tc>
          <w:tcPr>
            <w:tcW w:type="dxa" w:w="1758"/>
          </w:tcPr>
          <w:p>
            <w:pPr>
              <w:jc w:val="center"/>
            </w:pPr>
            <w:r>
              <w:rPr>
                <w:sz w:val="21"/>
              </w:rPr>
              <w:t>CDL1</w:t>
            </w:r>
          </w:p>
        </w:tc>
        <w:tc>
          <w:tcPr>
            <w:tcW w:type="dxa" w:w="1758"/>
          </w:tcPr>
          <w:p>
            <w:pPr>
              <w:jc w:val="center"/>
            </w:pPr>
            <w:r>
              <w:rPr>
                <w:sz w:val="21"/>
              </w:rPr>
              <w:t>3.23</w:t>
            </w:r>
          </w:p>
        </w:tc>
        <w:tc>
          <w:tcPr>
            <w:tcW w:type="dxa" w:w="1758"/>
          </w:tcPr>
          <w:p>
            <w:pPr>
              <w:jc w:val="center"/>
            </w:pPr>
            <w:r>
              <w:rPr>
                <w:sz w:val="21"/>
              </w:rPr>
              <w:t>1.114</w:t>
            </w:r>
          </w:p>
        </w:tc>
        <w:tc>
          <w:tcPr>
            <w:tcW w:type="dxa" w:w="1758"/>
          </w:tcPr>
          <w:p>
            <w:pPr>
              <w:jc w:val="center"/>
            </w:pPr>
            <w:r>
              <w:rPr>
                <w:sz w:val="21"/>
              </w:rPr>
              <w:t>1.241</w:t>
            </w:r>
          </w:p>
        </w:tc>
      </w:tr>
      <w:tr>
        <w:tc>
          <w:tcPr>
            <w:tcW w:type="dxa" w:w="1758"/>
          </w:tcPr>
          <w:p>
            <w:pPr>
              <w:jc w:val="center"/>
            </w:pPr>
            <w:r>
              <w:rPr>
                <w:sz w:val="21"/>
              </w:rPr>
              <w:t>集群电商发展水平</w:t>
            </w:r>
          </w:p>
        </w:tc>
        <w:tc>
          <w:tcPr>
            <w:tcW w:type="dxa" w:w="1758"/>
          </w:tcPr>
          <w:p>
            <w:pPr>
              <w:jc w:val="center"/>
            </w:pPr>
            <w:r>
              <w:rPr>
                <w:sz w:val="21"/>
              </w:rPr>
              <w:t>CDL2</w:t>
            </w:r>
          </w:p>
        </w:tc>
        <w:tc>
          <w:tcPr>
            <w:tcW w:type="dxa" w:w="1758"/>
          </w:tcPr>
          <w:p>
            <w:pPr>
              <w:jc w:val="center"/>
            </w:pPr>
            <w:r>
              <w:rPr>
                <w:sz w:val="21"/>
              </w:rPr>
              <w:t>3.232</w:t>
            </w:r>
          </w:p>
        </w:tc>
        <w:tc>
          <w:tcPr>
            <w:tcW w:type="dxa" w:w="1758"/>
          </w:tcPr>
          <w:p>
            <w:pPr>
              <w:jc w:val="center"/>
            </w:pPr>
            <w:r>
              <w:rPr>
                <w:sz w:val="21"/>
              </w:rPr>
              <w:t>1.157</w:t>
            </w:r>
          </w:p>
        </w:tc>
        <w:tc>
          <w:tcPr>
            <w:tcW w:type="dxa" w:w="1758"/>
          </w:tcPr>
          <w:p>
            <w:pPr>
              <w:jc w:val="center"/>
            </w:pPr>
            <w:r>
              <w:rPr>
                <w:sz w:val="21"/>
              </w:rPr>
              <w:t>1.339</w:t>
            </w:r>
          </w:p>
        </w:tc>
      </w:tr>
      <w:tr>
        <w:tc>
          <w:tcPr>
            <w:tcW w:type="dxa" w:w="1758"/>
          </w:tcPr>
          <w:p>
            <w:pPr>
              <w:jc w:val="center"/>
            </w:pPr>
            <w:r>
              <w:rPr>
                <w:sz w:val="21"/>
              </w:rPr>
              <w:t>集群电商发展水平</w:t>
            </w:r>
          </w:p>
        </w:tc>
        <w:tc>
          <w:tcPr>
            <w:tcW w:type="dxa" w:w="1758"/>
          </w:tcPr>
          <w:p>
            <w:pPr>
              <w:jc w:val="center"/>
            </w:pPr>
            <w:r>
              <w:rPr>
                <w:sz w:val="21"/>
              </w:rPr>
              <w:t>CDL3</w:t>
            </w:r>
          </w:p>
        </w:tc>
        <w:tc>
          <w:tcPr>
            <w:tcW w:type="dxa" w:w="1758"/>
          </w:tcPr>
          <w:p>
            <w:pPr>
              <w:jc w:val="center"/>
            </w:pPr>
            <w:r>
              <w:rPr>
                <w:sz w:val="21"/>
              </w:rPr>
              <w:t>3.258</w:t>
            </w:r>
          </w:p>
        </w:tc>
        <w:tc>
          <w:tcPr>
            <w:tcW w:type="dxa" w:w="1758"/>
          </w:tcPr>
          <w:p>
            <w:pPr>
              <w:jc w:val="center"/>
            </w:pPr>
            <w:r>
              <w:rPr>
                <w:sz w:val="21"/>
              </w:rPr>
              <w:t>1.134</w:t>
            </w:r>
          </w:p>
        </w:tc>
        <w:tc>
          <w:tcPr>
            <w:tcW w:type="dxa" w:w="1758"/>
          </w:tcPr>
          <w:p>
            <w:pPr>
              <w:jc w:val="center"/>
            </w:pPr>
            <w:r>
              <w:rPr>
                <w:sz w:val="21"/>
              </w:rPr>
              <w:t>1.286</w:t>
            </w:r>
          </w:p>
        </w:tc>
      </w:tr>
    </w:tbl>
    <w:p>
      <w:r>
        <w:rPr>
          <w:rFonts w:ascii="宋体" w:hAnsi="宋体"/>
          <w:sz w:val="18"/>
        </w:rPr>
        <w:t>注：本表为各测量题项的描述性统计结果，N=508。所有题项均采用李克特5点量表测量。</w:t>
      </w:r>
    </w:p>
    <w:sectPr>
      <w:headerReference r:id="rId25" w:type="default"/>
      <w:headerReference r:id="rId26" w:type="even"/>
      <w:footerReference r:id="rId27" w:type="even"/>
      <w:pgSz w:w="11906" w:h="16838"/>
      <w:pgMar w:top="1701" w:right="1417" w:bottom="1417" w:left="1701" w:header="850" w:footer="992" w:gutter="0"/>
      <w:pgBorders>
        <w:top w:val="none" w:sz="0" w:space="0"/>
        <w:left w:val="none" w:sz="0" w:space="0"/>
        <w:bottom w:val="none" w:sz="0" w:space="0"/>
        <w:right w:val="none" w:sz="0" w:space="0"/>
      </w:pgBorders>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 w:id="2">
    <w:p>
      <w:pPr>
        <w:pStyle w:val="FootnoteText"/>
      </w:pPr>
      <w:r>
        <w:rPr>
          <w:rStyle w:val="FootnoteReference"/>
        </w:rPr>
        <w:endnoteRef/>
      </w:r>
      <w:r>
        <w:t xml:space="preserve"> TOE框架（Technology-Organization-Environment Framework）由Tornatzky &amp; Fleischer（1990）提出，认为组织的技术采纳行为受技术、组织、环境三维度因素的系统影响。参见：Tornatzky, L.G., &amp; Fleischer, M. (1990). The Processes of Technological Innovation. Lexington Books.</w:t>
      </w:r>
    </w:p>
  </w:endnote>
  <w:endnote w:id="3">
    <w:p>
      <w:pPr>
        <w:pStyle w:val="FootnoteText"/>
      </w:pPr>
      <w:r>
        <w:rPr>
          <w:rStyle w:val="FootnoteReference"/>
        </w:rPr>
        <w:endnoteRef/>
      </w:r>
      <w:r>
        <w:t xml:space="preserve"> 结构方程模型（Structural Equation Modeling, SEM）是一种融合路径分析与验证性因子分析的多变量统计方法，能同时估计多个潜变量间的因果关系。本文采用AMOS 24.0软件构建和检验SEM模型。</w:t>
      </w:r>
    </w:p>
  </w:endnote>
  <w:endnote w:id="4">
    <w:p>
      <w:pPr>
        <w:pStyle w:val="FootnoteText"/>
      </w:pPr>
      <w:r>
        <w:rPr>
          <w:rStyle w:val="FootnoteReference"/>
        </w:rPr>
        <w:endnoteRef/>
      </w:r>
      <w:r>
        <w:t xml:space="preserve"> 模糊集定性比较分析（Fuzzy-Set Qualitative Comparative Analysis, fsQCA）由Ragin（2008）提出，基于集合论与布尔代数逻辑，适用于中等规模样本的多因素组态效应分析。参见：Ragin, C.C. (2008). Redesigning Social Inquiry: Fuzzy Sets and Beyond. University of Chicago Press.</w:t>
      </w:r>
    </w:p>
  </w:endnote>
  <w:endnote w:id="5">
    <w:p>
      <w:pPr>
        <w:pStyle w:val="FootnoteText"/>
      </w:pPr>
      <w:r>
        <w:rPr>
          <w:rStyle w:val="FootnoteReference"/>
        </w:rPr>
        <w:endnoteRef/>
      </w:r>
      <w:r>
        <w:t xml:space="preserve"> Harman单因子检验（Harman's Single Factor Test）是检验共同方法偏差（Common Method Bias, CMB）的常用方法。若未旋转时第一公因子解释方差低于40%，则认为CMB问题处于可接受范围。参见：Podsakoff, P.M., et al. (2003). Common method biases in behavioral research. Journal of Applied Psychology, 88(5), 879-903.</w:t>
      </w:r>
    </w:p>
  </w:endnote>
  <w:endnote w:id="6">
    <w:p>
      <w:pPr>
        <w:pStyle w:val="FootnoteText"/>
      </w:pPr>
      <w:r>
        <w:rPr>
          <w:rStyle w:val="FootnoteReference"/>
        </w:rPr>
        <w:endnoteRef/>
      </w:r>
      <w:r>
        <w:t xml:space="preserve"> Bootstrap自举法通过对原始样本进行重复有放回抽样，在无需假设正态分布的前提下构建中介效应置信区间，是目前检验间接效应最为稳健的方法。参见：Preacher, K.J., &amp; Hayes, A.F. (2008). Asymptotic and resampling strategies for assessing and comparing indirect effects. Behavior Research Methods, 40(3), 879-891.</w:t>
      </w:r>
    </w:p>
  </w:endnote>
  <w:endnote w:id="7">
    <w:p>
      <w:pPr>
        <w:pStyle w:val="FootnoteText"/>
      </w:pPr>
      <w:r>
        <w:rPr>
          <w:rStyle w:val="FootnoteReference"/>
        </w:rPr>
        <w:endnoteRef/>
      </w:r>
      <w:r>
        <w:t xml:space="preserve"> 李克特量表（Likert Scale）由美国社会心理学家Rensis Likert（1932）开发，是社会科学量化研究中使用最广泛的测量工具之一。本文采用五点量表，从1=完全不认同到5=完全认同进行赋值。参见：Likert, R. (1932). A technique for the measurement of attitudes. Archives of Psychology, 22(140), 1-55.</w:t>
      </w:r>
    </w:p>
  </w:endnote>
  <w:endnote w:id="8">
    <w:p>
      <w:pPr>
        <w:pStyle w:val="FootnoteText"/>
      </w:pPr>
      <w:r>
        <w:rPr>
          <w:rStyle w:val="FootnoteReference"/>
        </w:rPr>
        <w:endnoteRef/>
      </w:r>
      <w:r>
        <w:t xml:space="preserve"> Nunnally, J.C. (1978). Psychometric Theory (2nd ed.). New York: McGraw-Hill. 量表内部一致性信度可接受标准通常为Cronbach α≥0.700。</w:t>
      </w:r>
    </w:p>
  </w:endnote>
  <w:endnote w:id="9">
    <w:p>
      <w:pPr>
        <w:pStyle w:val="FootnoteText"/>
      </w:pPr>
      <w:r>
        <w:rPr>
          <w:rStyle w:val="FootnoteReference"/>
        </w:rPr>
        <w:endnoteRef/>
      </w:r>
      <w:r>
        <w:t xml:space="preserve"> Kaiser, H.F. (1974). An index of factorial simplicity. Psychometrika, 39(1), 31-36. KMO&gt;0.700表明数据适合因子分析；"良好"水平为KMO&gt;0.800。</w:t>
      </w:r>
    </w:p>
  </w:endnote>
  <w:endnote w:id="10">
    <w:p>
      <w:pPr>
        <w:pStyle w:val="FootnoteText"/>
      </w:pPr>
      <w:r>
        <w:rPr>
          <w:rStyle w:val="FootnoteReference"/>
        </w:rPr>
        <w:endnoteRef/>
      </w:r>
      <w:r>
        <w:t xml:space="preserve"> Hair, J.F., Black, W.C., Babin, B.J., &amp; Anderson, R.E. (2010). Multivariate Data Analysis (7th ed.). Pearson. 标准化因子载荷通常要求≥0.500。</w:t>
      </w:r>
    </w:p>
  </w:endnote>
  <w:endnote w:id="11">
    <w:p>
      <w:pPr>
        <w:pStyle w:val="FootnoteText"/>
      </w:pPr>
      <w:r>
        <w:rPr>
          <w:rStyle w:val="FootnoteReference"/>
        </w:rPr>
        <w:endnoteRef/>
      </w:r>
      <w:r>
        <w:t xml:space="preserve"> Fornell, C., &amp; Larcker, D.F. (1981). Evaluating structural equation models with unobservable variables and measurement error. Journal of Marketing Research, 18(1), 39-50. AVE≥0.500为聚合效度良好；CR≥0.700为组合信度良好标准。</w:t>
      </w:r>
    </w:p>
  </w:endnote>
  <w:endnote w:id="12">
    <w:p>
      <w:pPr>
        <w:pStyle w:val="FootnoteText"/>
      </w:pPr>
      <w:r>
        <w:rPr>
          <w:rStyle w:val="FootnoteReference"/>
        </w:rPr>
        <w:endnoteRef/>
      </w:r>
      <w:r>
        <w:t xml:space="preserve"> Wheaton, B., Muthen, B., Alwin, D.F., &amp; Summers, G.F. (1977). Assessing reliability and stability in panel models. Sociological Methodology, 8, 84-136. χ²/df在1~3范围内视为拟合良好。</w:t>
      </w:r>
    </w:p>
  </w:endnote>
  <w:endnote w:id="13">
    <w:p>
      <w:pPr>
        <w:pStyle w:val="FootnoteText"/>
      </w:pPr>
      <w:r>
        <w:rPr>
          <w:rStyle w:val="FootnoteReference"/>
        </w:rPr>
        <w:endnoteRef/>
      </w:r>
      <w:r>
        <w:t xml:space="preserve"> Bentler, P.M., &amp; Bonett, D.G. (1980). Significance tests and goodness of fit in the analysis of covariance structures. Psychological Bulletin, 88(3), 588-606. CFI和TLI超过0.900为模型拟合良好的判断标准。</w:t>
      </w:r>
    </w:p>
  </w:endnote>
  <w:endnote w:id="14">
    <w:p>
      <w:pPr>
        <w:pStyle w:val="FootnoteText"/>
      </w:pPr>
      <w:r>
        <w:rPr>
          <w:rStyle w:val="FootnoteReference"/>
        </w:rPr>
        <w:endnoteRef/>
      </w:r>
      <w:r>
        <w:t xml:space="preserve"> Browne, M.W., &amp; Cudeck, R. (1993). Alternative ways of assessing model fit. In K.A. Bollen &amp; J.S. Long (Eds.), Testing Structural Equation Models (pp. 136-162). Sage. RMSEA&lt;0.050为"良好"，&lt;0.080为"可接受"。</w:t>
      </w:r>
    </w:p>
  </w:endnote>
  <w:endnote w:id="15">
    <w:p>
      <w:pPr>
        <w:pStyle w:val="FootnoteText"/>
      </w:pPr>
      <w:r>
        <w:rPr>
          <w:rStyle w:val="FootnoteReference"/>
        </w:rPr>
        <w:endnoteRef/>
      </w:r>
      <w:r>
        <w:t xml:space="preserve"> Preacher, K.J., &amp; Hayes, A.F. (2008). Asymptotic and resampling strategies for assessing and comparing indirect effects in multiple mediator models. Behavior Research Methods, 40(3), 879-891. Bootstrap抽样5000次，95%偏差校正置信区间不含0则中介效应显著。</w:t>
      </w:r>
    </w:p>
  </w:endnote>
  <w:endnote w:id="16">
    <w:p>
      <w:pPr>
        <w:pStyle w:val="FootnoteText"/>
      </w:pPr>
      <w:r>
        <w:rPr>
          <w:rStyle w:val="FootnoteReference"/>
        </w:rPr>
        <w:endnoteRef/>
      </w:r>
      <w:r>
        <w:t xml:space="preserve"> Ragin, C.C. (2008). Redesigning Social Inquiry: Fuzzy Sets and Beyond. Chicago: University of Chicago Press. fsQCA真值表构建以一致性≥0.850、频数≥3为标准；必要条件一致性阈值为0.900。</w:t>
      </w:r>
    </w:p>
  </w:endnote>
  <w:endnote w:id="17">
    <w:p>
      <w:pPr>
        <w:pStyle w:val="FootnoteText"/>
      </w:pPr>
      <w:r>
        <w:rPr>
          <w:rStyle w:val="FootnoteReference"/>
        </w:rPr>
        <w:endnoteRef/>
      </w:r>
      <w:r>
        <w:t xml:space="preserve"> Nunnally, J.C. (1978). Psychometric Theory (2nd ed.). New York: McGraw-Hill. 量表内部一致性信度可接受标准通常为Cronbach α≥0.700。</w:t>
      </w:r>
    </w:p>
  </w:endnote>
  <w:endnote w:id="18">
    <w:p>
      <w:pPr>
        <w:pStyle w:val="FootnoteText"/>
      </w:pPr>
      <w:r>
        <w:rPr>
          <w:rStyle w:val="FootnoteReference"/>
        </w:rPr>
        <w:endnoteRef/>
      </w:r>
      <w:r>
        <w:t xml:space="preserve"> Ragin, C.C. (2008). Redesigning Social Inquiry: Fuzzy Sets and Beyond. Chicago: University of Chicago Press. fsQCA真值表构建以一致性≥0.850、频数≥3为标准；必要条件一致性阈值为0.900。</w:t>
      </w:r>
    </w:p>
  </w:endnote>
  <w:endnote w:id="19">
    <w:p>
      <w:pPr>
        <w:pStyle w:val="FootnoteText"/>
      </w:pPr>
      <w:r>
        <w:rPr>
          <w:rStyle w:val="FootnoteReference"/>
        </w:rPr>
        <w:endnoteRef/>
      </w:r>
      <w:r>
        <w:t xml:space="preserve"> Ragin, C.C. (2008). Redesigning Social Inquiry: Fuzzy Sets and Beyond. Chicago: University of Chicago Press. fsQCA真值表构建以一致性≥0.850、频数≥3为标准；必要条件一致性阈值为0.900。</w:t>
      </w:r>
    </w:p>
  </w:endnote>
  <w:endnote w:id="20">
    <w:p>
      <w:pPr>
        <w:pStyle w:val="FootnoteText"/>
      </w:pPr>
      <w:r>
        <w:rPr>
          <w:rStyle w:val="FootnoteReference"/>
        </w:rPr>
        <w:endnoteRef/>
      </w:r>
      <w:r>
        <w:t xml:space="preserve"> Ragin, C.C. (2008). Redesigning Social Inquiry: Fuzzy Sets and Beyond. Chicago: University of Chicago Press. fsQCA真值表构建以一致性≥0.850、频数≥3为标准；必要条件一致性阈值为0.900。</w:t>
      </w:r>
    </w:p>
  </w:endnote>
  <w:endnote w:id="21">
    <w:p>
      <w:pPr>
        <w:pStyle w:val="FootnoteText"/>
      </w:pPr>
      <w:r>
        <w:rPr>
          <w:rStyle w:val="FootnoteReference"/>
        </w:rPr>
        <w:endnoteRef/>
      </w:r>
      <w:r>
        <w:t xml:space="preserve"> Preacher, K.J., &amp; Hayes, A.F. (2008). Asymptotic and resampling strategies for assessing and comparing indirect effects in multiple mediator models. Behavior Research Methods, 40(3), 879-891. Bootstrap抽样5000次，95%偏差校正置信区间不含0则中介效应显著。</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2EB1">
    <w:pPr>
      <w:pStyle w:val="22"/>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9983B">
                          <w:pPr>
                            <w:pStyle w:val="2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69983B">
                    <w:pPr>
                      <w:pStyle w:val="2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C7DE">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AAA9">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B4E">
    <w:pPr>
      <w:pStyle w:val="22"/>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2D9E6C18">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1DF60">
    <w:pPr>
      <w:pStyle w:val="22"/>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41004DE9">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F08EB">
    <w:pPr>
      <w:pStyle w:val="22"/>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v:textbox>
            </v:shape>
          </w:pict>
        </mc:Fallback>
      </mc:AlternateContent>
    </w:r>
  </w:p>
  <w:p w14:paraId="194C39BD">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693975"/>
    </w:sdtPr>
    <w:sdtContent>
      <w:p w14:paraId="6AE57164">
        <w:pPr>
          <w:pStyle w:val="22"/>
          <w:ind w:firstLine="360"/>
          <w:jc w:val="center"/>
        </w:pPr>
        <w:r>
          <w:fldChar w:fldCharType="begin"/>
        </w:r>
        <w:r>
          <w:instrText xml:space="preserve">PAGE   \* MERGEFORMAT</w:instrText>
        </w:r>
        <w:r>
          <w:fldChar w:fldCharType="separate"/>
        </w:r>
        <w:r>
          <w:t>II</w:t>
        </w:r>
        <w:r>
          <w:fldChar w:fldCharType="end"/>
        </w:r>
      </w:p>
    </w:sdtContent>
  </w:sdt>
  <w:p w14:paraId="314C1509">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5479">
    <w:pPr>
      <w:pStyle w:val="22"/>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v:textbox>
            </v:shape>
          </w:pict>
        </mc:Fallback>
      </mc:AlternateContent>
    </w:r>
  </w:p>
  <w:p w14:paraId="620E2F60">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C082B">
    <w:pPr>
      <w:pStyle w:val="22"/>
      <w:ind w:firstLine="360"/>
    </w:pPr>
    <w:r>
      <w:fldChar w:fldCharType="begin"/>
    </w:r>
    <w:r>
      <w:instrText xml:space="preserve">PAGE   \* MERGEFORMAT</w:instrText>
    </w:r>
    <w:r>
      <w:fldChar w:fldCharType="separate"/>
    </w:r>
    <w:r>
      <w:t>2</w:t>
    </w:r>
    <w:r>
      <w:fldChar w:fldCharType="end"/>
    </w:r>
  </w:p>
  <w:p w14:paraId="1F7EDB51">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6297">
    <w:pPr>
      <w:pStyle w:val="22"/>
      <w:ind w:firstLine="360"/>
    </w:pPr>
    <w:r>
      <w:fldChar w:fldCharType="begin"/>
    </w:r>
    <w:r>
      <w:instrText xml:space="preserve">PAGE   \* MERGEFORMAT</w:instrText>
    </w:r>
    <w:r>
      <w:fldChar w:fldCharType="separate"/>
    </w:r>
    <w:r>
      <w:t>10</w:t>
    </w:r>
    <w:r>
      <w:fldChar w:fldCharType="end"/>
    </w:r>
  </w:p>
  <w:p w14:paraId="58AE54F2">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7D72">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DAE50">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10BF8">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AFB4">
    <w:pPr>
      <w:pStyle w:val="23"/>
      <w:pBdr>
        <w:bottom w:val="none" w:color="auto" w:sz="0" w:space="0"/>
      </w:pBdr>
      <w:ind w:firstLine="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9DEC8">
    <w:pPr>
      <w:pStyle w:val="2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BFB2A">
    <w:pPr>
      <w:pStyle w:val="23"/>
      <w:pBdr>
        <w:bottom w:val="none" w:color="auto" w:sz="0" w:space="0"/>
      </w:pBdr>
      <w:ind w:firstLine="360"/>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85FF0">
    <w:pPr>
      <w:pStyle w:val="23"/>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A64A">
    <w:pPr>
      <w:pStyle w:val="23"/>
      <w:pBdr>
        <w:bottom w:val="none" w:color="auto" w:sz="0" w:space="0"/>
      </w:pBdr>
      <w:ind w:firstLine="360"/>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32DE0">
    <w:pPr>
      <w:pStyle w:val="23"/>
      <w:pBdr>
        <w:bottom w:val="none" w:color="auto" w:sz="0" w:space="0"/>
      </w:pBdr>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C598699">
      <w:tblPrEx>
        <w:tblCellMar>
          <w:top w:w="0" w:type="dxa"/>
          <w:left w:w="108" w:type="dxa"/>
          <w:bottom w:w="0" w:type="dxa"/>
          <w:right w:w="108" w:type="dxa"/>
        </w:tblCellMar>
      </w:tblPrEx>
      <w:tc>
        <w:tcPr>
          <w:tcW w:w="4501" w:type="dxa"/>
          <w:shd w:val="clear" w:color="auto" w:fill="auto"/>
        </w:tcPr>
        <w:p w14:paraId="2610AB72">
          <w:pPr>
            <w:pStyle w:val="60"/>
            <w:pBdr>
              <w:bottom w:val="none" w:color="auto" w:sz="0" w:space="0"/>
            </w:pBdr>
            <w:ind w:firstLine="0" w:firstLineChars="0"/>
            <w:jc w:val="left"/>
            <w:rPr>
              <w:lang w:val="en-US"/>
            </w:rPr>
          </w:pPr>
          <w:r>
            <w:rPr>
              <w:rFonts w:hint="eastAsia"/>
              <w:lang w:val="en-US"/>
            </w:rPr>
            <w:t>中国农业大学本科生毕业论文（设计）</w:t>
          </w:r>
        </w:p>
      </w:tc>
      <w:tc>
        <w:tcPr>
          <w:tcW w:w="4502" w:type="dxa"/>
          <w:shd w:val="clear" w:color="auto" w:fill="auto"/>
        </w:tcPr>
        <w:p w14:paraId="61BA9DB3">
          <w:pPr>
            <w:pStyle w:val="60"/>
            <w:pBdr>
              <w:bottom w:val="none" w:color="auto" w:sz="0" w:space="0"/>
            </w:pBdr>
            <w:ind w:firstLine="0" w:firstLineChars="0"/>
            <w:rPr>
              <w:rFonts w:hint="default" w:eastAsia="宋体"/>
              <w:lang w:val="en-US" w:eastAsia="zh-CN"/>
            </w:rPr>
          </w:pPr>
          <w:r>
            <w:rPr>
              <w:rFonts w:hint="eastAsia"/>
              <w:lang w:val="en-US"/>
            </w:rPr>
            <w:t>第</w:t>
          </w:r>
          <w:r>
            <w:rPr>
              <w:rFonts w:hint="eastAsia"/>
              <w:lang w:val="en-US" w:eastAsia="zh-CN"/>
            </w:rPr>
            <w:t>一</w:t>
          </w:r>
          <w:r>
            <w:rPr>
              <w:rFonts w:hint="eastAsia"/>
              <w:lang w:val="en-US"/>
            </w:rPr>
            <w:t xml:space="preserve">章 </w:t>
          </w:r>
          <w:r>
            <w:rPr>
              <w:rFonts w:hint="eastAsia"/>
              <w:highlight w:val="none"/>
              <w:lang w:val="en-US" w:eastAsia="zh-CN"/>
            </w:rPr>
            <w:t>绪论</w:t>
          </w:r>
        </w:p>
      </w:tc>
    </w:tr>
  </w:tbl>
  <w:p w14:paraId="23509B2B">
    <w:pPr>
      <w:pStyle w:val="60"/>
      <w:ind w:firstLine="0" w:firstLineChars="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6F42C2A">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1A87DD4">
          <w:pPr>
            <w:pStyle w:val="60"/>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9E22C57">
          <w:pPr>
            <w:pStyle w:val="60"/>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第四章 结构方程模型（SEM）分析</w:t>
          </w:r>
          <w:r>
            <w:rPr>
              <w:lang w:val="en-US"/>
            </w:rPr>
            <w:fldChar w:fldCharType="end"/>
          </w:r>
          <w:r>
            <w:rPr>
              <w:rFonts w:hint="eastAsia"/>
              <w:lang w:val="en-US"/>
            </w:rPr>
            <w:t xml:space="preserve"> </w:t>
          </w:r>
        </w:p>
      </w:tc>
    </w:tr>
  </w:tbl>
  <w:p w14:paraId="1E9940A5">
    <w:pPr>
      <w:pStyle w:val="60"/>
      <w:pBdr>
        <w:bottom w:val="single" w:color="auto" w:sz="6" w:space="1"/>
      </w:pBdr>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27AFAD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799CA973">
          <w:pPr>
            <w:pStyle w:val="60"/>
            <w:pBdr>
              <w:bottom w:val="none" w:color="auto" w:sz="0" w:space="0"/>
            </w:pBdr>
            <w:ind w:firstLine="0" w:firstLineChars="0"/>
            <w:jc w:val="left"/>
            <w:rPr>
              <w:lang w:val="en-US"/>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F98F4">
                                <w:pPr>
                                  <w:pStyle w:val="23"/>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23F98F4">
                          <w:pPr>
                            <w:pStyle w:val="23"/>
                          </w:pPr>
                          <w:r>
                            <w:fldChar w:fldCharType="begin"/>
                          </w:r>
                          <w:r>
                            <w:instrText xml:space="preserve"> PAGE  \* MERGEFORMAT </w:instrText>
                          </w:r>
                          <w:r>
                            <w:fldChar w:fldCharType="separate"/>
                          </w:r>
                          <w:r>
                            <w:t>V</w:t>
                          </w:r>
                          <w:r>
                            <w:fldChar w:fldCharType="end"/>
                          </w:r>
                        </w:p>
                      </w:txbxContent>
                    </v:textbox>
                  </v:shape>
                </w:pict>
              </mc:Fallback>
            </mc:AlternateContent>
          </w:r>
          <w:r>
            <w:rPr>
              <w:rFonts w:hint="eastAsia"/>
              <w:lang w:val="en-US"/>
            </w:rPr>
            <w:t>中国农业大学本科生毕业论文（设计）</w:t>
          </w:r>
        </w:p>
      </w:tc>
      <w:tc>
        <w:tcPr>
          <w:tcW w:w="4502" w:type="dxa"/>
          <w:shd w:val="clear" w:color="auto" w:fill="auto"/>
        </w:tcPr>
        <w:p w14:paraId="11600179">
          <w:pPr>
            <w:pStyle w:val="60"/>
            <w:pBdr>
              <w:bottom w:val="none" w:color="auto" w:sz="0" w:space="0"/>
            </w:pBdr>
            <w:wordWrap w:val="0"/>
            <w:ind w:firstLine="0" w:firstLineChars="0"/>
            <w:rPr>
              <w:rFonts w:hint="default" w:eastAsia="宋体"/>
              <w:lang w:val="en-US" w:eastAsia="zh-CN"/>
            </w:rPr>
          </w:pPr>
          <w:r>
            <w:rPr>
              <w:rFonts w:hint="eastAsia"/>
              <w:lang w:val="en-US" w:eastAsia="zh-CN"/>
            </w:rPr>
            <w:t>第三章 研究设计</w:t>
          </w:r>
        </w:p>
      </w:tc>
    </w:tr>
  </w:tbl>
  <w:p w14:paraId="3FA1B50D">
    <w:pPr>
      <w:pStyle w:val="60"/>
      <w:ind w:firstLine="0" w:firstLineChars="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DCE355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6FCD702">
          <w:pPr>
            <w:pStyle w:val="60"/>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D8261C2">
          <w:pPr>
            <w:pStyle w:val="60"/>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第四章 结构方程模型（SEM）分析</w:t>
          </w:r>
          <w:r>
            <w:rPr>
              <w:lang w:val="en-US"/>
            </w:rPr>
            <w:fldChar w:fldCharType="end"/>
          </w:r>
          <w:r>
            <w:rPr>
              <w:rFonts w:hint="eastAsia"/>
              <w:lang w:val="en-US"/>
            </w:rPr>
            <w:t xml:space="preserve"> </w:t>
          </w:r>
        </w:p>
      </w:tc>
    </w:tr>
  </w:tbl>
  <w:p w14:paraId="3AA6BF65">
    <w:pPr>
      <w:pStyle w:val="60"/>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1D2B7"/>
    <w:multiLevelType w:val="multilevel"/>
    <w:tmpl w:val="AAA1D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F09373F"/>
    <w:multiLevelType w:val="multilevel"/>
    <w:tmpl w:val="2F0937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D1A2A8F"/>
    <w:multiLevelType w:val="multilevel"/>
    <w:tmpl w:val="4D1A2A8F"/>
    <w:lvl w:ilvl="0" w:tentative="0">
      <w:start w:val="1"/>
      <w:numFmt w:val="decimal"/>
      <w:pStyle w:val="82"/>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612B6CE2"/>
    <w:multiLevelType w:val="multilevel"/>
    <w:tmpl w:val="612B6CE2"/>
    <w:lvl w:ilvl="0" w:tentative="0">
      <w:start w:val="1"/>
      <w:numFmt w:val="decimal"/>
      <w:pStyle w:val="59"/>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4D71"/>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AD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572"/>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5A7E"/>
    <w:rsid w:val="009171AF"/>
    <w:rsid w:val="00920D3F"/>
    <w:rsid w:val="009211FD"/>
    <w:rsid w:val="00922E9A"/>
    <w:rsid w:val="00924352"/>
    <w:rsid w:val="00924D1E"/>
    <w:rsid w:val="0092645D"/>
    <w:rsid w:val="009270B0"/>
    <w:rsid w:val="00927701"/>
    <w:rsid w:val="009278CC"/>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664C"/>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3B9"/>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64C"/>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3EAD"/>
    <w:rsid w:val="00FF4CDD"/>
    <w:rsid w:val="00FF67EE"/>
    <w:rsid w:val="00FF6CE6"/>
    <w:rsid w:val="00FF6E63"/>
    <w:rsid w:val="00FF7FAF"/>
    <w:rsid w:val="00FF7FCC"/>
    <w:rsid w:val="01C74C7E"/>
    <w:rsid w:val="01F20245"/>
    <w:rsid w:val="02034DC1"/>
    <w:rsid w:val="02401837"/>
    <w:rsid w:val="02876DEA"/>
    <w:rsid w:val="02AB78A7"/>
    <w:rsid w:val="03981E4E"/>
    <w:rsid w:val="044E0E32"/>
    <w:rsid w:val="04842AA6"/>
    <w:rsid w:val="08251EAA"/>
    <w:rsid w:val="08D4233A"/>
    <w:rsid w:val="09837793"/>
    <w:rsid w:val="098B286B"/>
    <w:rsid w:val="099162E9"/>
    <w:rsid w:val="09AF7395"/>
    <w:rsid w:val="0A9F002C"/>
    <w:rsid w:val="0AD90EE7"/>
    <w:rsid w:val="0B70168E"/>
    <w:rsid w:val="0C0F3E47"/>
    <w:rsid w:val="0C93023B"/>
    <w:rsid w:val="0CA54948"/>
    <w:rsid w:val="0D4A5F0F"/>
    <w:rsid w:val="0F3B0613"/>
    <w:rsid w:val="0FB32A4B"/>
    <w:rsid w:val="10201C5F"/>
    <w:rsid w:val="10276B9D"/>
    <w:rsid w:val="102C4368"/>
    <w:rsid w:val="10AC13BA"/>
    <w:rsid w:val="117F6ACF"/>
    <w:rsid w:val="145B38E5"/>
    <w:rsid w:val="1496293B"/>
    <w:rsid w:val="14B45E2E"/>
    <w:rsid w:val="154D54D8"/>
    <w:rsid w:val="15774FC8"/>
    <w:rsid w:val="15DA15E8"/>
    <w:rsid w:val="15DC07AF"/>
    <w:rsid w:val="163A7C24"/>
    <w:rsid w:val="1675224E"/>
    <w:rsid w:val="16F720F6"/>
    <w:rsid w:val="17045380"/>
    <w:rsid w:val="17061749"/>
    <w:rsid w:val="1891360A"/>
    <w:rsid w:val="198A4742"/>
    <w:rsid w:val="1A8E1B30"/>
    <w:rsid w:val="1AA11D95"/>
    <w:rsid w:val="1ADA4D76"/>
    <w:rsid w:val="1B2F5837"/>
    <w:rsid w:val="1BCB40DD"/>
    <w:rsid w:val="1BE378A7"/>
    <w:rsid w:val="1CDF7587"/>
    <w:rsid w:val="1DA37302"/>
    <w:rsid w:val="1FA12402"/>
    <w:rsid w:val="20094DA6"/>
    <w:rsid w:val="2075475D"/>
    <w:rsid w:val="20A87003"/>
    <w:rsid w:val="23261645"/>
    <w:rsid w:val="24945F95"/>
    <w:rsid w:val="25171DD0"/>
    <w:rsid w:val="253A6130"/>
    <w:rsid w:val="280C027C"/>
    <w:rsid w:val="28100029"/>
    <w:rsid w:val="28924EE2"/>
    <w:rsid w:val="290F0966"/>
    <w:rsid w:val="29BE1D71"/>
    <w:rsid w:val="29F95A00"/>
    <w:rsid w:val="2A450969"/>
    <w:rsid w:val="2AB02424"/>
    <w:rsid w:val="2B6C0BD8"/>
    <w:rsid w:val="2C637E83"/>
    <w:rsid w:val="2D742E08"/>
    <w:rsid w:val="2D962E0C"/>
    <w:rsid w:val="2DF90797"/>
    <w:rsid w:val="2E3C335D"/>
    <w:rsid w:val="2E974A33"/>
    <w:rsid w:val="2F090286"/>
    <w:rsid w:val="2F300FB0"/>
    <w:rsid w:val="31835D6F"/>
    <w:rsid w:val="32BB104C"/>
    <w:rsid w:val="33D37937"/>
    <w:rsid w:val="33D47543"/>
    <w:rsid w:val="34C77CC1"/>
    <w:rsid w:val="35537D6D"/>
    <w:rsid w:val="357D6EEC"/>
    <w:rsid w:val="37557806"/>
    <w:rsid w:val="3A920D71"/>
    <w:rsid w:val="3B1B1812"/>
    <w:rsid w:val="3B424DEA"/>
    <w:rsid w:val="3B8B1A48"/>
    <w:rsid w:val="3C340A01"/>
    <w:rsid w:val="3C3A3EEF"/>
    <w:rsid w:val="3E6937D7"/>
    <w:rsid w:val="3E72445E"/>
    <w:rsid w:val="3F3770B6"/>
    <w:rsid w:val="41045547"/>
    <w:rsid w:val="417B255F"/>
    <w:rsid w:val="41EA0DC1"/>
    <w:rsid w:val="426D634C"/>
    <w:rsid w:val="42F66C3F"/>
    <w:rsid w:val="4300420E"/>
    <w:rsid w:val="44B527C1"/>
    <w:rsid w:val="455832B8"/>
    <w:rsid w:val="45B93053"/>
    <w:rsid w:val="45BD778D"/>
    <w:rsid w:val="46E62229"/>
    <w:rsid w:val="48556927"/>
    <w:rsid w:val="48CC36A0"/>
    <w:rsid w:val="48EC6ACA"/>
    <w:rsid w:val="49047793"/>
    <w:rsid w:val="4A086C1A"/>
    <w:rsid w:val="4BDE5BC4"/>
    <w:rsid w:val="4C183ED5"/>
    <w:rsid w:val="4D627903"/>
    <w:rsid w:val="4D870085"/>
    <w:rsid w:val="4DF705E5"/>
    <w:rsid w:val="4E082992"/>
    <w:rsid w:val="4F86388D"/>
    <w:rsid w:val="51342049"/>
    <w:rsid w:val="514A5D72"/>
    <w:rsid w:val="517E5D9F"/>
    <w:rsid w:val="51E27A91"/>
    <w:rsid w:val="530E3C91"/>
    <w:rsid w:val="531D0356"/>
    <w:rsid w:val="53E85DA8"/>
    <w:rsid w:val="540A6435"/>
    <w:rsid w:val="54E63D3C"/>
    <w:rsid w:val="556C6010"/>
    <w:rsid w:val="568969AA"/>
    <w:rsid w:val="569E48CE"/>
    <w:rsid w:val="56A56EB5"/>
    <w:rsid w:val="580922D5"/>
    <w:rsid w:val="5C835F40"/>
    <w:rsid w:val="5DF2513F"/>
    <w:rsid w:val="5F2255B1"/>
    <w:rsid w:val="5FAA6092"/>
    <w:rsid w:val="60CD56A7"/>
    <w:rsid w:val="61F758F1"/>
    <w:rsid w:val="621007EC"/>
    <w:rsid w:val="62CB1A6A"/>
    <w:rsid w:val="63247AA4"/>
    <w:rsid w:val="636F06D2"/>
    <w:rsid w:val="63E87AF2"/>
    <w:rsid w:val="647B08D4"/>
    <w:rsid w:val="64A3431C"/>
    <w:rsid w:val="66835C3F"/>
    <w:rsid w:val="67064295"/>
    <w:rsid w:val="67B33F51"/>
    <w:rsid w:val="68000903"/>
    <w:rsid w:val="680A6658"/>
    <w:rsid w:val="684E7D50"/>
    <w:rsid w:val="688F051A"/>
    <w:rsid w:val="6AC47A1F"/>
    <w:rsid w:val="6E0F1884"/>
    <w:rsid w:val="6E934195"/>
    <w:rsid w:val="701F7BC1"/>
    <w:rsid w:val="70565D8E"/>
    <w:rsid w:val="714F351E"/>
    <w:rsid w:val="715A4658"/>
    <w:rsid w:val="71D7629D"/>
    <w:rsid w:val="726B3F3A"/>
    <w:rsid w:val="726D18BD"/>
    <w:rsid w:val="75590EFA"/>
    <w:rsid w:val="758C7A19"/>
    <w:rsid w:val="763A1D29"/>
    <w:rsid w:val="76733FE4"/>
    <w:rsid w:val="788672E2"/>
    <w:rsid w:val="795B233A"/>
    <w:rsid w:val="79D33711"/>
    <w:rsid w:val="7A0B3779"/>
    <w:rsid w:val="7A783D63"/>
    <w:rsid w:val="7ACE3EEF"/>
    <w:rsid w:val="7ADB139D"/>
    <w:rsid w:val="7B061A6F"/>
    <w:rsid w:val="7C047AE7"/>
    <w:rsid w:val="7C224DAA"/>
    <w:rsid w:val="7D0940D7"/>
    <w:rsid w:val="7D8B1F85"/>
    <w:rsid w:val="7DCF46FD"/>
    <w:rsid w:val="7EB95163"/>
    <w:rsid w:val="7FA1661A"/>
    <w:rsid w:val="7FB73AE2"/>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3"/>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4"/>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6"/>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7"/>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8"/>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9"/>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50"/>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51"/>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2"/>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5"/>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2"/>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9"/>
    <w:semiHidden/>
    <w:unhideWhenUsed/>
    <w:qFormat/>
    <w:uiPriority w:val="99"/>
    <w:pPr>
      <w:jc w:val="left"/>
    </w:pPr>
  </w:style>
  <w:style w:type="paragraph" w:styleId="15">
    <w:name w:val="Body Text Indent"/>
    <w:basedOn w:val="1"/>
    <w:link w:val="53"/>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5"/>
    <w:semiHidden/>
    <w:qFormat/>
    <w:uiPriority w:val="0"/>
    <w:rPr>
      <w:rFonts w:ascii="宋体" w:hAnsi="Courier New"/>
      <w:szCs w:val="21"/>
    </w:rPr>
  </w:style>
  <w:style w:type="paragraph" w:styleId="18">
    <w:name w:val="Date"/>
    <w:basedOn w:val="1"/>
    <w:next w:val="1"/>
    <w:link w:val="54"/>
    <w:unhideWhenUsed/>
    <w:qFormat/>
    <w:uiPriority w:val="99"/>
    <w:pPr>
      <w:ind w:left="100" w:leftChars="2500"/>
    </w:pPr>
    <w:rPr>
      <w:lang w:val="zh-CN"/>
    </w:rPr>
  </w:style>
  <w:style w:type="paragraph" w:styleId="19">
    <w:name w:val="Body Text Indent 2"/>
    <w:basedOn w:val="1"/>
    <w:link w:val="94"/>
    <w:qFormat/>
    <w:uiPriority w:val="0"/>
    <w:pPr>
      <w:spacing w:line="240" w:lineRule="auto"/>
      <w:ind w:firstLine="420"/>
    </w:pPr>
  </w:style>
  <w:style w:type="paragraph" w:styleId="20">
    <w:name w:val="endnote text"/>
    <w:basedOn w:val="1"/>
    <w:link w:val="88"/>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5"/>
    <w:unhideWhenUsed/>
    <w:qFormat/>
    <w:uiPriority w:val="99"/>
    <w:pPr>
      <w:spacing w:line="240" w:lineRule="auto"/>
    </w:pPr>
    <w:rPr>
      <w:sz w:val="18"/>
      <w:szCs w:val="18"/>
    </w:rPr>
  </w:style>
  <w:style w:type="paragraph" w:styleId="22">
    <w:name w:val="footer"/>
    <w:basedOn w:val="1"/>
    <w:link w:val="56"/>
    <w:qFormat/>
    <w:uiPriority w:val="99"/>
    <w:pPr>
      <w:tabs>
        <w:tab w:val="center" w:pos="4153"/>
        <w:tab w:val="right" w:pos="8306"/>
      </w:tabs>
      <w:snapToGrid w:val="0"/>
      <w:jc w:val="left"/>
    </w:pPr>
    <w:rPr>
      <w:sz w:val="18"/>
      <w:szCs w:val="18"/>
      <w:lang w:val="zh-CN"/>
    </w:rPr>
  </w:style>
  <w:style w:type="paragraph" w:styleId="23">
    <w:name w:val="header"/>
    <w:basedOn w:val="1"/>
    <w:link w:val="58"/>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2"/>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7"/>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80"/>
    <w:semiHidden/>
    <w:unhideWhenUsed/>
    <w:qFormat/>
    <w:uiPriority w:val="99"/>
    <w:rPr>
      <w:b/>
      <w:bCs/>
    </w:rPr>
  </w:style>
  <w:style w:type="paragraph" w:styleId="31">
    <w:name w:val="Body Text First Indent"/>
    <w:basedOn w:val="5"/>
    <w:link w:val="96"/>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7"/>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6">
    <w:name w:val="Strong"/>
    <w:basedOn w:val="35"/>
    <w:qFormat/>
    <w:uiPriority w:val="22"/>
    <w:rPr>
      <w:b/>
    </w:rPr>
  </w:style>
  <w:style w:type="character" w:styleId="37">
    <w:name w:val="page number"/>
    <w:basedOn w:val="35"/>
    <w:qFormat/>
    <w:uiPriority w:val="0"/>
  </w:style>
  <w:style w:type="character" w:styleId="38">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9">
    <w:name w:val="Emphasis"/>
    <w:basedOn w:val="35"/>
    <w:qFormat/>
    <w:uiPriority w:val="20"/>
    <w:rPr>
      <w:i/>
    </w:rPr>
  </w:style>
  <w:style w:type="character" w:styleId="40">
    <w:name w:val="Hyperlink"/>
    <w:unhideWhenUsed/>
    <w:qFormat/>
    <w:uiPriority w:val="99"/>
    <w:rPr>
      <w:color w:val="0000FF"/>
      <w:u w:val="single"/>
    </w:rPr>
  </w:style>
  <w:style w:type="character" w:styleId="41">
    <w:name w:val="annotation reference"/>
    <w:basedOn w:val="35"/>
    <w:unhideWhenUsed/>
    <w:qFormat/>
    <w:uiPriority w:val="99"/>
    <w:rPr>
      <w:sz w:val="21"/>
      <w:szCs w:val="21"/>
    </w:rPr>
  </w:style>
  <w:style w:type="character" w:styleId="42">
    <w:name w:val="footnote reference"/>
    <w:basedOn w:val="35"/>
    <w:semiHidden/>
    <w:unhideWhenUsed/>
    <w:qFormat/>
    <w:uiPriority w:val="99"/>
    <w:rPr>
      <w:vertAlign w:val="superscript"/>
    </w:rPr>
  </w:style>
  <w:style w:type="character" w:customStyle="1" w:styleId="43">
    <w:name w:val="标题 1 Char"/>
    <w:link w:val="2"/>
    <w:qFormat/>
    <w:uiPriority w:val="9"/>
    <w:rPr>
      <w:rFonts w:eastAsia="黑体"/>
      <w:b/>
      <w:kern w:val="2"/>
      <w:sz w:val="32"/>
      <w:szCs w:val="24"/>
      <w:lang w:val="zh-CN"/>
    </w:rPr>
  </w:style>
  <w:style w:type="character" w:customStyle="1" w:styleId="44">
    <w:name w:val="标题 2 Char"/>
    <w:link w:val="3"/>
    <w:qFormat/>
    <w:uiPriority w:val="9"/>
    <w:rPr>
      <w:rFonts w:eastAsia="黑体"/>
      <w:bCs/>
      <w:kern w:val="2"/>
      <w:sz w:val="28"/>
      <w:szCs w:val="32"/>
      <w:lang w:val="zh-CN"/>
    </w:rPr>
  </w:style>
  <w:style w:type="character" w:customStyle="1" w:styleId="45">
    <w:name w:val="正文文本 Char"/>
    <w:link w:val="5"/>
    <w:semiHidden/>
    <w:qFormat/>
    <w:uiPriority w:val="0"/>
    <w:rPr>
      <w:kern w:val="2"/>
      <w:sz w:val="18"/>
    </w:rPr>
  </w:style>
  <w:style w:type="character" w:customStyle="1" w:styleId="46">
    <w:name w:val="标题 3 Char"/>
    <w:link w:val="4"/>
    <w:qFormat/>
    <w:uiPriority w:val="9"/>
    <w:rPr>
      <w:rFonts w:ascii="黑体" w:hAnsi="黑体" w:eastAsia="黑体"/>
      <w:kern w:val="2"/>
      <w:sz w:val="24"/>
      <w:lang w:val="zh-CN" w:eastAsia="zh-CN"/>
    </w:rPr>
  </w:style>
  <w:style w:type="character" w:customStyle="1" w:styleId="47">
    <w:name w:val="标题 4 Char"/>
    <w:link w:val="6"/>
    <w:qFormat/>
    <w:uiPriority w:val="9"/>
    <w:rPr>
      <w:rFonts w:ascii="Arial" w:hAnsi="Arial" w:eastAsia="黑体"/>
      <w:kern w:val="2"/>
      <w:sz w:val="24"/>
      <w:lang w:val="zh-CN"/>
    </w:rPr>
  </w:style>
  <w:style w:type="character" w:customStyle="1" w:styleId="48">
    <w:name w:val="标题 5 Char"/>
    <w:link w:val="7"/>
    <w:qFormat/>
    <w:uiPriority w:val="0"/>
    <w:rPr>
      <w:kern w:val="2"/>
      <w:sz w:val="21"/>
      <w:lang w:val="zh-CN"/>
    </w:rPr>
  </w:style>
  <w:style w:type="character" w:customStyle="1" w:styleId="49">
    <w:name w:val="标题 6 Char"/>
    <w:link w:val="8"/>
    <w:qFormat/>
    <w:uiPriority w:val="0"/>
    <w:rPr>
      <w:kern w:val="2"/>
      <w:sz w:val="21"/>
      <w:lang w:val="zh-CN"/>
    </w:rPr>
  </w:style>
  <w:style w:type="character" w:customStyle="1" w:styleId="50">
    <w:name w:val="标题 7 Char"/>
    <w:link w:val="9"/>
    <w:qFormat/>
    <w:uiPriority w:val="0"/>
    <w:rPr>
      <w:kern w:val="2"/>
      <w:sz w:val="21"/>
      <w:lang w:val="zh-CN"/>
    </w:rPr>
  </w:style>
  <w:style w:type="character" w:customStyle="1" w:styleId="51">
    <w:name w:val="标题 8 Char"/>
    <w:link w:val="10"/>
    <w:qFormat/>
    <w:uiPriority w:val="0"/>
    <w:rPr>
      <w:rFonts w:ascii="Arial" w:hAnsi="Arial" w:eastAsia="黑体"/>
      <w:kern w:val="2"/>
      <w:sz w:val="24"/>
    </w:rPr>
  </w:style>
  <w:style w:type="character" w:customStyle="1" w:styleId="52">
    <w:name w:val="标题 9 Char"/>
    <w:link w:val="11"/>
    <w:qFormat/>
    <w:uiPriority w:val="0"/>
    <w:rPr>
      <w:rFonts w:ascii="Arial" w:hAnsi="Arial" w:eastAsia="黑体"/>
      <w:kern w:val="2"/>
      <w:sz w:val="18"/>
    </w:rPr>
  </w:style>
  <w:style w:type="character" w:customStyle="1" w:styleId="53">
    <w:name w:val="正文文本缩进 Char"/>
    <w:link w:val="15"/>
    <w:qFormat/>
    <w:uiPriority w:val="99"/>
    <w:rPr>
      <w:kern w:val="2"/>
      <w:sz w:val="21"/>
      <w:szCs w:val="24"/>
    </w:rPr>
  </w:style>
  <w:style w:type="character" w:customStyle="1" w:styleId="54">
    <w:name w:val="日期 Char"/>
    <w:link w:val="18"/>
    <w:qFormat/>
    <w:uiPriority w:val="99"/>
    <w:rPr>
      <w:kern w:val="2"/>
      <w:sz w:val="21"/>
      <w:szCs w:val="24"/>
    </w:rPr>
  </w:style>
  <w:style w:type="character" w:customStyle="1" w:styleId="55">
    <w:name w:val="批注框文本 Char"/>
    <w:basedOn w:val="35"/>
    <w:link w:val="21"/>
    <w:qFormat/>
    <w:uiPriority w:val="99"/>
    <w:rPr>
      <w:kern w:val="2"/>
      <w:sz w:val="18"/>
      <w:szCs w:val="18"/>
    </w:rPr>
  </w:style>
  <w:style w:type="character" w:customStyle="1" w:styleId="56">
    <w:name w:val="页脚 Char"/>
    <w:link w:val="22"/>
    <w:qFormat/>
    <w:uiPriority w:val="99"/>
    <w:rPr>
      <w:kern w:val="2"/>
      <w:sz w:val="18"/>
      <w:szCs w:val="18"/>
    </w:rPr>
  </w:style>
  <w:style w:type="character" w:customStyle="1" w:styleId="57">
    <w:name w:val="正文首行缩进 2 Char"/>
    <w:basedOn w:val="53"/>
    <w:link w:val="32"/>
    <w:qFormat/>
    <w:uiPriority w:val="0"/>
    <w:rPr>
      <w:kern w:val="2"/>
      <w:sz w:val="21"/>
      <w:szCs w:val="24"/>
    </w:rPr>
  </w:style>
  <w:style w:type="character" w:customStyle="1" w:styleId="58">
    <w:name w:val="页眉 Char"/>
    <w:link w:val="23"/>
    <w:qFormat/>
    <w:uiPriority w:val="99"/>
    <w:rPr>
      <w:kern w:val="2"/>
      <w:sz w:val="18"/>
      <w:szCs w:val="18"/>
    </w:rPr>
  </w:style>
  <w:style w:type="paragraph" w:customStyle="1" w:styleId="59">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60">
    <w:name w:val="wang论文"/>
    <w:basedOn w:val="23"/>
    <w:link w:val="61"/>
    <w:qFormat/>
    <w:uiPriority w:val="0"/>
    <w:pPr>
      <w:pBdr>
        <w:bottom w:val="thinThickSmallGap" w:color="auto" w:sz="24" w:space="1"/>
      </w:pBdr>
      <w:ind w:firstLine="360"/>
      <w:jc w:val="right"/>
    </w:pPr>
  </w:style>
  <w:style w:type="character" w:customStyle="1" w:styleId="61">
    <w:name w:val="wang论文 Char"/>
    <w:basedOn w:val="58"/>
    <w:link w:val="60"/>
    <w:qFormat/>
    <w:uiPriority w:val="0"/>
    <w:rPr>
      <w:kern w:val="2"/>
      <w:sz w:val="18"/>
      <w:szCs w:val="18"/>
    </w:rPr>
  </w:style>
  <w:style w:type="table" w:customStyle="1" w:styleId="62">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3">
    <w:name w:val="列出段落1"/>
    <w:basedOn w:val="1"/>
    <w:qFormat/>
    <w:uiPriority w:val="34"/>
    <w:pPr>
      <w:spacing w:line="240" w:lineRule="auto"/>
      <w:ind w:firstLine="420"/>
    </w:pPr>
    <w:rPr>
      <w:rFonts w:ascii="Calibri" w:hAnsi="Calibri"/>
      <w:szCs w:val="22"/>
    </w:rPr>
  </w:style>
  <w:style w:type="paragraph" w:customStyle="1" w:styleId="64">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5">
    <w:name w:val="MTDisplayEquation"/>
    <w:basedOn w:val="64"/>
    <w:next w:val="1"/>
    <w:qFormat/>
    <w:uiPriority w:val="0"/>
    <w:pPr>
      <w:tabs>
        <w:tab w:val="center" w:pos="4400"/>
        <w:tab w:val="right" w:pos="8780"/>
      </w:tabs>
      <w:ind w:firstLine="420" w:firstLineChars="200"/>
    </w:pPr>
  </w:style>
  <w:style w:type="paragraph" w:customStyle="1" w:styleId="66">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7">
    <w:name w:val="样式 首行缩进:  2 字符"/>
    <w:basedOn w:val="1"/>
    <w:qFormat/>
    <w:uiPriority w:val="0"/>
    <w:pPr>
      <w:tabs>
        <w:tab w:val="left" w:pos="4680"/>
      </w:tabs>
      <w:ind w:firstLine="560"/>
      <w:jc w:val="center"/>
    </w:pPr>
    <w:rPr>
      <w:rFonts w:cs="宋体"/>
      <w:szCs w:val="20"/>
    </w:rPr>
  </w:style>
  <w:style w:type="paragraph" w:customStyle="1" w:styleId="68">
    <w:name w:val="列出段落11"/>
    <w:basedOn w:val="1"/>
    <w:qFormat/>
    <w:uiPriority w:val="99"/>
    <w:pPr>
      <w:spacing w:line="240" w:lineRule="auto"/>
      <w:ind w:firstLine="420"/>
    </w:pPr>
    <w:rPr>
      <w:rFonts w:ascii="Calibri" w:hAnsi="Calibri"/>
      <w:szCs w:val="22"/>
    </w:rPr>
  </w:style>
  <w:style w:type="paragraph" w:customStyle="1" w:styleId="69">
    <w:name w:val="文档正文"/>
    <w:basedOn w:val="1"/>
    <w:link w:val="70"/>
    <w:qFormat/>
    <w:uiPriority w:val="0"/>
    <w:pPr>
      <w:snapToGrid w:val="0"/>
      <w:spacing w:line="360" w:lineRule="auto"/>
      <w:ind w:firstLine="480"/>
    </w:pPr>
    <w:rPr>
      <w:rFonts w:cs="宋体"/>
      <w:snapToGrid w:val="0"/>
      <w:szCs w:val="20"/>
    </w:rPr>
  </w:style>
  <w:style w:type="character" w:customStyle="1" w:styleId="70">
    <w:name w:val="文档正文 Char"/>
    <w:link w:val="69"/>
    <w:qFormat/>
    <w:uiPriority w:val="0"/>
    <w:rPr>
      <w:rFonts w:cs="宋体"/>
      <w:snapToGrid w:val="0"/>
      <w:kern w:val="2"/>
      <w:sz w:val="24"/>
    </w:rPr>
  </w:style>
  <w:style w:type="table" w:customStyle="1" w:styleId="71">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2">
    <w:name w:val="脚注文本 Char"/>
    <w:basedOn w:val="35"/>
    <w:link w:val="25"/>
    <w:qFormat/>
    <w:uiPriority w:val="99"/>
    <w:rPr>
      <w:rFonts w:asciiTheme="minorHAnsi" w:hAnsiTheme="minorHAnsi" w:eastAsiaTheme="minorEastAsia" w:cstheme="minorBidi"/>
      <w:kern w:val="2"/>
      <w:sz w:val="18"/>
      <w:szCs w:val="18"/>
    </w:rPr>
  </w:style>
  <w:style w:type="table" w:customStyle="1" w:styleId="73">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4">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5">
    <w:name w:val="List Paragraph"/>
    <w:basedOn w:val="1"/>
    <w:qFormat/>
    <w:uiPriority w:val="34"/>
    <w:pPr>
      <w:ind w:firstLine="420"/>
    </w:pPr>
  </w:style>
  <w:style w:type="character" w:customStyle="1" w:styleId="76">
    <w:name w:val="fontstyle01"/>
    <w:basedOn w:val="35"/>
    <w:qFormat/>
    <w:uiPriority w:val="0"/>
    <w:rPr>
      <w:rFonts w:hint="default" w:ascii="TimesNewRomanPSMT" w:hAnsi="TimesNewRomanPSMT"/>
      <w:color w:val="000000"/>
      <w:sz w:val="18"/>
      <w:szCs w:val="18"/>
    </w:rPr>
  </w:style>
  <w:style w:type="character" w:customStyle="1" w:styleId="77">
    <w:name w:val="fontstyle21"/>
    <w:basedOn w:val="35"/>
    <w:qFormat/>
    <w:uiPriority w:val="0"/>
    <w:rPr>
      <w:rFonts w:hint="eastAsia" w:ascii="宋体" w:hAnsi="宋体" w:eastAsia="宋体"/>
      <w:color w:val="000000"/>
      <w:sz w:val="18"/>
      <w:szCs w:val="18"/>
    </w:rPr>
  </w:style>
  <w:style w:type="character" w:customStyle="1" w:styleId="78">
    <w:name w:val="fontstyle31"/>
    <w:basedOn w:val="35"/>
    <w:qFormat/>
    <w:uiPriority w:val="0"/>
    <w:rPr>
      <w:rFonts w:hint="default" w:ascii="TimesNewRomanPS-ItalicMT" w:hAnsi="TimesNewRomanPS-ItalicMT"/>
      <w:i/>
      <w:iCs/>
      <w:color w:val="000000"/>
      <w:sz w:val="18"/>
      <w:szCs w:val="18"/>
    </w:rPr>
  </w:style>
  <w:style w:type="character" w:customStyle="1" w:styleId="79">
    <w:name w:val="批注文字 Char"/>
    <w:basedOn w:val="35"/>
    <w:link w:val="14"/>
    <w:semiHidden/>
    <w:qFormat/>
    <w:uiPriority w:val="99"/>
    <w:rPr>
      <w:kern w:val="2"/>
      <w:sz w:val="21"/>
      <w:szCs w:val="24"/>
    </w:rPr>
  </w:style>
  <w:style w:type="character" w:customStyle="1" w:styleId="80">
    <w:name w:val="批注主题 Char"/>
    <w:basedOn w:val="79"/>
    <w:link w:val="30"/>
    <w:semiHidden/>
    <w:qFormat/>
    <w:uiPriority w:val="99"/>
    <w:rPr>
      <w:b/>
      <w:bCs/>
      <w:kern w:val="2"/>
      <w:sz w:val="21"/>
      <w:szCs w:val="24"/>
    </w:rPr>
  </w:style>
  <w:style w:type="character" w:styleId="81">
    <w:name w:val="Placeholder Text"/>
    <w:basedOn w:val="35"/>
    <w:unhideWhenUsed/>
    <w:qFormat/>
    <w:uiPriority w:val="99"/>
    <w:rPr>
      <w:color w:val="808080"/>
    </w:rPr>
  </w:style>
  <w:style w:type="paragraph" w:customStyle="1" w:styleId="82">
    <w:name w:val="参考文献"/>
    <w:basedOn w:val="69"/>
    <w:qFormat/>
    <w:uiPriority w:val="0"/>
    <w:pPr>
      <w:numPr>
        <w:ilvl w:val="0"/>
        <w:numId w:val="2"/>
      </w:numPr>
      <w:tabs>
        <w:tab w:val="left" w:pos="518"/>
      </w:tabs>
      <w:ind w:firstLine="0" w:firstLineChars="0"/>
    </w:pPr>
    <w:rPr>
      <w:rFonts w:cs="Times New Roman"/>
      <w:kern w:val="0"/>
    </w:rPr>
  </w:style>
  <w:style w:type="paragraph" w:customStyle="1" w:styleId="83">
    <w:name w:val="公式"/>
    <w:basedOn w:val="1"/>
    <w:qFormat/>
    <w:uiPriority w:val="0"/>
    <w:pPr>
      <w:tabs>
        <w:tab w:val="center" w:pos="4200"/>
        <w:tab w:val="right" w:pos="8610"/>
      </w:tabs>
      <w:spacing w:line="360" w:lineRule="atLeast"/>
      <w:ind w:firstLine="0" w:firstLineChars="0"/>
    </w:pPr>
    <w:rPr>
      <w:szCs w:val="22"/>
    </w:rPr>
  </w:style>
  <w:style w:type="paragraph" w:customStyle="1" w:styleId="84">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5">
    <w:name w:val="不明显强调1"/>
    <w:qFormat/>
    <w:uiPriority w:val="19"/>
    <w:rPr>
      <w:i/>
      <w:iCs/>
    </w:rPr>
  </w:style>
  <w:style w:type="character" w:customStyle="1" w:styleId="86">
    <w:name w:val="HTML 预设格式 Char"/>
    <w:basedOn w:val="35"/>
    <w:link w:val="27"/>
    <w:semiHidden/>
    <w:qFormat/>
    <w:uiPriority w:val="99"/>
    <w:rPr>
      <w:rFonts w:ascii="宋体" w:hAnsi="宋体" w:cs="宋体"/>
      <w:sz w:val="24"/>
      <w:szCs w:val="24"/>
    </w:rPr>
  </w:style>
  <w:style w:type="character" w:customStyle="1" w:styleId="87">
    <w:name w:val="HTML 预设格式 Char1"/>
    <w:basedOn w:val="35"/>
    <w:semiHidden/>
    <w:qFormat/>
    <w:uiPriority w:val="99"/>
    <w:rPr>
      <w:rFonts w:ascii="Courier New" w:hAnsi="Courier New" w:cs="Courier New"/>
      <w:kern w:val="2"/>
    </w:rPr>
  </w:style>
  <w:style w:type="character" w:customStyle="1" w:styleId="88">
    <w:name w:val="尾注文本 Char"/>
    <w:basedOn w:val="35"/>
    <w:link w:val="20"/>
    <w:semiHidden/>
    <w:qFormat/>
    <w:uiPriority w:val="99"/>
  </w:style>
  <w:style w:type="character" w:customStyle="1" w:styleId="89">
    <w:name w:val="尾注文本 Char1"/>
    <w:basedOn w:val="35"/>
    <w:semiHidden/>
    <w:qFormat/>
    <w:uiPriority w:val="99"/>
    <w:rPr>
      <w:kern w:val="2"/>
      <w:sz w:val="21"/>
      <w:szCs w:val="24"/>
    </w:rPr>
  </w:style>
  <w:style w:type="character" w:customStyle="1" w:styleId="90">
    <w:name w:val="apple-style-span"/>
    <w:basedOn w:val="35"/>
    <w:qFormat/>
    <w:uiPriority w:val="0"/>
  </w:style>
  <w:style w:type="paragraph" w:customStyle="1" w:styleId="91">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2">
    <w:name w:val="文档结构图 Char"/>
    <w:basedOn w:val="35"/>
    <w:link w:val="13"/>
    <w:semiHidden/>
    <w:qFormat/>
    <w:uiPriority w:val="99"/>
    <w:rPr>
      <w:rFonts w:ascii="宋体"/>
      <w:sz w:val="18"/>
      <w:szCs w:val="18"/>
    </w:rPr>
  </w:style>
  <w:style w:type="character" w:customStyle="1" w:styleId="93">
    <w:name w:val="文档结构图 Char1"/>
    <w:basedOn w:val="35"/>
    <w:semiHidden/>
    <w:qFormat/>
    <w:uiPriority w:val="99"/>
    <w:rPr>
      <w:rFonts w:ascii="Microsoft YaHei UI" w:eastAsia="Microsoft YaHei UI"/>
      <w:kern w:val="2"/>
      <w:sz w:val="18"/>
      <w:szCs w:val="18"/>
    </w:rPr>
  </w:style>
  <w:style w:type="character" w:customStyle="1" w:styleId="94">
    <w:name w:val="正文文本缩进 2 Char"/>
    <w:basedOn w:val="35"/>
    <w:link w:val="19"/>
    <w:qFormat/>
    <w:uiPriority w:val="0"/>
    <w:rPr>
      <w:kern w:val="2"/>
      <w:sz w:val="21"/>
      <w:szCs w:val="24"/>
    </w:rPr>
  </w:style>
  <w:style w:type="character" w:customStyle="1" w:styleId="95">
    <w:name w:val="纯文本 Char"/>
    <w:basedOn w:val="35"/>
    <w:link w:val="17"/>
    <w:semiHidden/>
    <w:qFormat/>
    <w:uiPriority w:val="0"/>
    <w:rPr>
      <w:rFonts w:ascii="宋体" w:hAnsi="Courier New"/>
      <w:kern w:val="2"/>
      <w:sz w:val="21"/>
      <w:szCs w:val="21"/>
    </w:rPr>
  </w:style>
  <w:style w:type="character" w:customStyle="1" w:styleId="96">
    <w:name w:val="正文首行缩进 Char"/>
    <w:basedOn w:val="45"/>
    <w:link w:val="31"/>
    <w:semiHidden/>
    <w:qFormat/>
    <w:uiPriority w:val="99"/>
    <w:rPr>
      <w:kern w:val="2"/>
      <w:sz w:val="21"/>
      <w:szCs w:val="24"/>
    </w:rPr>
  </w:style>
  <w:style w:type="character" w:customStyle="1" w:styleId="97">
    <w:name w:val="标题 Char"/>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png"/><Relationship Id="rId30" Type="http://schemas.openxmlformats.org/officeDocument/2006/relationships/image" Target="http://news.cau.edu.cn/upload/2005/caunews_20050711181514.jpg" TargetMode="External"/><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0.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44</Pages>
  <Words>10075</Words>
  <Characters>12772</Characters>
  <Lines>91</Lines>
  <Paragraphs>25</Paragraphs>
  <TotalTime>800</TotalTime>
  <ScaleCrop>false</ScaleCrop>
  <LinksUpToDate>false</LinksUpToDate>
  <CharactersWithSpaces>13237</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2020-01-02T08:08:00Z</dcterms:created>
  <dc:creator>yangdy</dc:creator>
  <cp:lastModifiedBy>企业用户_1202433498</cp:lastModifiedBy>
  <cp:lastPrinted>2018-09-10T03:10:00Z</cp:lastPrinted>
  <dcterms:modified xsi:type="dcterms:W3CDTF">2026-04-25T13:49:13Z</dcterms:modified>
  <dc:title>中国农业大学学位论文格式、书写要求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RubyTemplateID" linkTarget="0">
    <vt:lpwstr>6</vt:lpwstr>
  </property>
  <property fmtid="{D5CDD505-2E9C-101B-9397-08002B2CF9AE}" pid="4" name="KSOTemplateDocerSaveRecord">
    <vt:lpwstr>eyJoZGlkIjoiYmJlYTdiNTFjYjcwN2Q1NTFmNTNiMDgyZDE2YmVhMzEiLCJ1c2VySWQiOiIxNTc1MjA1NzYzIn0=</vt:lpwstr>
  </property>
  <property fmtid="{D5CDD505-2E9C-101B-9397-08002B2CF9AE}" pid="5" name="ICV">
    <vt:lpwstr>A8161ACBF5D049A891BA29305581F93A_12</vt:lpwstr>
  </property>
</Properties>
</file>