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信度与效度分析报告</w:t>
      </w:r>
    </w:p>
    <w:p/>
    <w:p>
      <w:pPr>
        <w:ind w:left="0"/>
      </w:pPr>
      <w:r>
        <w:rPr>
          <w:rFonts w:ascii="Times New Roman" w:hAnsi="Times New Roman" w:eastAsia="宋体"/>
          <w:sz w:val="22"/>
        </w:rPr>
        <w:t>分析说明：本报告基于508份有效样本数据，对7个潜变量（共21个测量条目）进行系统的信度与效度检验，分析标准参照南京财经大学及学界通行规范（α&gt;0.80，KMO&gt;0.70，因子载荷&gt;0.50，AVE&gt;0.50，CR&gt;0.70，√AVE&gt;对应相关系数）。</w:t>
      </w:r>
    </w:p>
    <w:p/>
    <w:p>
      <w:r>
        <w:rPr>
          <w:rFonts w:ascii="宋体" w:hAnsi="宋体" w:eastAsia="宋体"/>
          <w:b/>
          <w:sz w:val="26"/>
        </w:rPr>
        <w:t>一、信度分析</w:t>
      </w:r>
    </w:p>
    <w:p>
      <w:pPr>
        <w:ind w:left="0"/>
      </w:pPr>
      <w:r>
        <w:rPr>
          <w:rFonts w:ascii="Times New Roman" w:hAnsi="Times New Roman" w:eastAsia="宋体"/>
          <w:sz w:val="22"/>
        </w:rPr>
        <w:t>采用Cronbach's Alpha系数评估各潜变量的内部一致性，通行标准要求α&gt;0.80，理想值&gt;0.90。结果如表1所示，所有构念的α系数均高于0.96，信度优良。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984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824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潜变量</w:t>
            </w:r>
          </w:p>
        </w:tc>
        <w:tc>
          <w:tcPr>
            <w:tcW w:type="dxa" w:w="1824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中文名称</w:t>
            </w:r>
          </w:p>
        </w:tc>
        <w:tc>
          <w:tcPr>
            <w:tcW w:type="dxa" w:w="1824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条目数</w:t>
            </w:r>
          </w:p>
        </w:tc>
        <w:tc>
          <w:tcPr>
            <w:tcW w:type="dxa" w:w="1824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Cronbach's α</w:t>
            </w:r>
          </w:p>
        </w:tc>
        <w:tc>
          <w:tcPr>
            <w:tcW w:type="dxa" w:w="1824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达标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GP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政府政策支持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0.9669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TS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技术服务支撑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0.9627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IF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基础设施建设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0.9667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TI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技术创新能力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0.9680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DS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数字技能水平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0.9667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EN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自然环境禀赋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0.9691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CDL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集群电商发展水平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0.9720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</w:tr>
    </w:tbl>
    <w:p/>
    <w:p>
      <w:r>
        <w:rPr>
          <w:rFonts w:ascii="宋体" w:hAnsi="宋体" w:eastAsia="宋体"/>
          <w:b/>
          <w:sz w:val="26"/>
        </w:rPr>
        <w:t>二、项目分析与探索性因子分析</w:t>
      </w:r>
    </w:p>
    <w:p>
      <w:pPr>
        <w:ind w:left="0"/>
      </w:pPr>
      <w:r>
        <w:rPr>
          <w:rFonts w:ascii="Times New Roman" w:hAnsi="Times New Roman" w:eastAsia="宋体"/>
          <w:sz w:val="22"/>
        </w:rPr>
        <w:t>KMO检验值为0.8665（&gt;0.70），Bartlett球形检验χ²=14323.157（p&lt;0.001），表明数据适合因子分析。各条目因子载荷均高于0.96，远超0.50的通行标准。</w:t>
      </w:r>
    </w:p>
    <w:p>
      <w:pPr>
        <w:ind w:left="0"/>
      </w:pPr>
      <w:r>
        <w:rPr>
          <w:rFonts w:ascii="Times New Roman" w:hAnsi="Times New Roman" w:eastAsia="宋体"/>
          <w:sz w:val="22"/>
        </w:rPr>
        <w:t>表2列出各测量条目的均值（M）、标准差（SD）、项目-总体相关系数（CITC）及因子载荷（FL）。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58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</w:tr>
      <w:tr>
        <w:tc>
          <w:tcPr>
            <w:tcW w:type="dxa" w:w="1303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构念</w:t>
            </w:r>
          </w:p>
        </w:tc>
        <w:tc>
          <w:tcPr>
            <w:tcW w:type="dxa" w:w="1303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条目</w:t>
            </w:r>
          </w:p>
        </w:tc>
        <w:tc>
          <w:tcPr>
            <w:tcW w:type="dxa" w:w="1303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条目描述</w:t>
            </w:r>
          </w:p>
        </w:tc>
        <w:tc>
          <w:tcPr>
            <w:tcW w:type="dxa" w:w="1303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M</w:t>
            </w:r>
          </w:p>
        </w:tc>
        <w:tc>
          <w:tcPr>
            <w:tcW w:type="dxa" w:w="1303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SD</w:t>
            </w:r>
          </w:p>
        </w:tc>
        <w:tc>
          <w:tcPr>
            <w:tcW w:type="dxa" w:w="1303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CITC</w:t>
            </w:r>
          </w:p>
        </w:tc>
        <w:tc>
          <w:tcPr>
            <w:tcW w:type="dxa" w:w="1303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FL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GP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GP1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政策扶持力度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3.373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0.866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0.9707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0.9707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GP2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政策落实效果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3.386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0.878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0.9692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0.9692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GP3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政策导向清晰度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3.352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0.852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0.9656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0.9656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TS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TS1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平台技术支持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3.352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0.837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0.9665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0.9665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TS2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技术培训服务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3.330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0.834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0.9653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0.9653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TS3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技术更新维护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3.320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0.836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0.9623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0.9623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IF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IF1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物流基础设施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3.360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0.882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0.9675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0.9675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IF2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网络基础设施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3.341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0.869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0.9692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0.9692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IF3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电力基础设施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3.325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0.872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0.9682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0.9682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TI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TI1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产品技术创新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3.344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0.880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0.9689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0.9689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TI2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运营技术创新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3.335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0.880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0.9722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0.9722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TI3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管理技术创新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3.346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0.874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0.9672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0.9672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DS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DS1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电商操作技能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3.329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0.883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0.9677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0.9677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DS2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数据分析能力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3.385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0.868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0.9687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0.9687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DS3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数字营销能力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3.370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0.876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0.9687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0.9687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EN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EN1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地理区位优势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3.321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0.877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0.9717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0.9717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EN2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资源禀赋条件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3.338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0.859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0.9680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0.9680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EN3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生态环境质量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3.356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0.856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0.9718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0.9718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CDL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CDL1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集群规模发展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3.386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0.943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0.9711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0.9711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CDL2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集群效益水平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3.375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0.944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0.9755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0.9755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CDL3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集群可持续性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3.386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0.938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0.9728</w:t>
            </w:r>
          </w:p>
        </w:tc>
        <w:tc>
          <w:tcPr>
            <w:tcW w:type="dxa" w:w="13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0.9728</w:t>
            </w:r>
          </w:p>
        </w:tc>
      </w:tr>
    </w:tbl>
    <w:p/>
    <w:p>
      <w:r>
        <w:rPr>
          <w:rFonts w:ascii="宋体" w:hAnsi="宋体" w:eastAsia="宋体"/>
          <w:b/>
          <w:sz w:val="26"/>
        </w:rPr>
        <w:t>三、收敛效度（AVE 与 CR）</w:t>
      </w:r>
    </w:p>
    <w:p>
      <w:pPr>
        <w:ind w:left="0"/>
      </w:pPr>
      <w:r>
        <w:rPr>
          <w:rFonts w:ascii="Times New Roman" w:hAnsi="Times New Roman" w:eastAsia="宋体"/>
          <w:sz w:val="22"/>
        </w:rPr>
        <w:t>收敛效度以平均方差提取量（AVE&gt;0.50）和组合信度（CR&gt;0.70）为评估标准。如表3所示，所有潜变量的AVE均高于0.93，CR均高于0.97，收敛效度优良。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134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520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构念</w:t>
            </w:r>
          </w:p>
        </w:tc>
        <w:tc>
          <w:tcPr>
            <w:tcW w:type="dxa" w:w="1520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中文名称</w:t>
            </w:r>
          </w:p>
        </w:tc>
        <w:tc>
          <w:tcPr>
            <w:tcW w:type="dxa" w:w="1520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AVE</w:t>
            </w:r>
          </w:p>
        </w:tc>
        <w:tc>
          <w:tcPr>
            <w:tcW w:type="dxa" w:w="1520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CR</w:t>
            </w:r>
          </w:p>
        </w:tc>
        <w:tc>
          <w:tcPr>
            <w:tcW w:type="dxa" w:w="1520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√AVE</w:t>
            </w:r>
          </w:p>
        </w:tc>
        <w:tc>
          <w:tcPr>
            <w:tcW w:type="dxa" w:w="1520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CR达标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GP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政府政策支持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0.9380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0.9784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0.9685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TS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技术服务支撑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0.9307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0.9758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0.9647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IF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基础设施建设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0.9376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0.9783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0.9683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TI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技术创新能力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0.9398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0.9791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0.9694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DS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数字技能水平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0.9377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0.9783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0.9683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EN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自然环境禀赋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0.9419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0.9799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0.9705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CDL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集群电商发展水平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0.9470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0.9817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0.9731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</w:tr>
    </w:tbl>
    <w:p/>
    <w:p>
      <w:r>
        <w:rPr>
          <w:rFonts w:ascii="宋体" w:hAnsi="宋体" w:eastAsia="宋体"/>
          <w:b/>
          <w:sz w:val="26"/>
        </w:rPr>
        <w:t>四、区别效度（Discriminant Validity）</w:t>
      </w:r>
    </w:p>
    <w:p>
      <w:pPr>
        <w:ind w:left="0"/>
      </w:pPr>
      <w:r>
        <w:rPr>
          <w:rFonts w:ascii="Times New Roman" w:hAnsi="Times New Roman" w:eastAsia="宋体"/>
          <w:sz w:val="22"/>
        </w:rPr>
        <w:t>Fornell-Larcker准则要求各潜变量的√AVE（对角线）大于其与其他构念的相关系数。如表4所示，所有√AVE均大于对应相关系数，区别效度良好。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1140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</w:p>
        </w:tc>
        <w:tc>
          <w:tcPr>
            <w:tcW w:type="dxa" w:w="1140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GP</w:t>
            </w:r>
          </w:p>
        </w:tc>
        <w:tc>
          <w:tcPr>
            <w:tcW w:type="dxa" w:w="1140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TS</w:t>
            </w:r>
          </w:p>
        </w:tc>
        <w:tc>
          <w:tcPr>
            <w:tcW w:type="dxa" w:w="1140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IF</w:t>
            </w:r>
          </w:p>
        </w:tc>
        <w:tc>
          <w:tcPr>
            <w:tcW w:type="dxa" w:w="1140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TI</w:t>
            </w:r>
          </w:p>
        </w:tc>
        <w:tc>
          <w:tcPr>
            <w:tcW w:type="dxa" w:w="1140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DS</w:t>
            </w:r>
          </w:p>
        </w:tc>
        <w:tc>
          <w:tcPr>
            <w:tcW w:type="dxa" w:w="1140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EN</w:t>
            </w:r>
          </w:p>
        </w:tc>
        <w:tc>
          <w:tcPr>
            <w:tcW w:type="dxa" w:w="1140"/>
            <w:vAlign w:val="center"/>
            <w:shd w:fill="D9D9D9" w:color="auto" w:val="clea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CDL</w:t>
            </w:r>
          </w:p>
        </w:tc>
      </w:tr>
      <w:tr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GP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0.9685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TS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-0.0370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0.9647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IF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0.4074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0.3801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0.9683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TI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-0.0411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0.0778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0.0027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0.9694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DS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0.0588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0.0081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0.0069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0.4190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0.9683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EN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0.0612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-0.0355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0.0160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-0.0274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0.4545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0.9705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CDL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0.4453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0.2102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0.4388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0.2567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0.6108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0.4422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0.9731</w:t>
            </w:r>
          </w:p>
        </w:tc>
      </w:tr>
    </w:tbl>
    <w:p/>
    <w:p>
      <w:r>
        <w:rPr>
          <w:rFonts w:ascii="宋体" w:hAnsi="宋体" w:eastAsia="宋体"/>
          <w:b/>
          <w:sz w:val="26"/>
        </w:rPr>
        <w:t>五、分析结论</w:t>
      </w:r>
    </w:p>
    <w:p>
      <w:pPr>
        <w:ind w:left="0"/>
      </w:pPr>
      <w:r>
        <w:rPr>
          <w:rFonts w:ascii="Times New Roman" w:hAnsi="Times New Roman" w:eastAsia="宋体"/>
          <w:sz w:val="22"/>
        </w:rPr>
        <w:t>综合上述分析结果，本研究测量模型具备良好的信度与效度：</w:t>
      </w:r>
    </w:p>
    <w:p>
      <w:pPr>
        <w:ind w:left="0"/>
      </w:pPr>
      <w:r>
        <w:rPr>
          <w:rFonts w:ascii="Times New Roman" w:hAnsi="Times New Roman" w:eastAsia="宋体"/>
          <w:sz w:val="22"/>
        </w:rPr>
        <w:t>（1）信度：所有构念的Cronbach's α系数介于0.9627至0.9720之间，均显著超过0.80的标准，内部一致性优良；</w:t>
      </w:r>
    </w:p>
    <w:p>
      <w:pPr>
        <w:ind w:left="0"/>
      </w:pPr>
      <w:r>
        <w:rPr>
          <w:rFonts w:ascii="Times New Roman" w:hAnsi="Times New Roman" w:eastAsia="宋体"/>
          <w:sz w:val="22"/>
        </w:rPr>
        <w:t>（2）收敛效度：KMO=0.8665&gt;0.70，Bartlett球形检验显著（p&lt;0.001），21个测量条目的因子载荷均超过0.96（&gt;0.50），所有构念AVE介于0.9307至0.9470之间（&gt;0.50），CR介于0.9758至0.9817之间（&gt;0.70），收敛效度优良；</w:t>
      </w:r>
    </w:p>
    <w:p>
      <w:pPr>
        <w:ind w:left="0"/>
      </w:pPr>
      <w:r>
        <w:rPr>
          <w:rFonts w:ascii="Times New Roman" w:hAnsi="Times New Roman" w:eastAsia="宋体"/>
          <w:sz w:val="22"/>
        </w:rPr>
        <w:t>（3）区别效度：各构念√AVE（0.9647~0.9731）均大于与其他构念的相关系数（最大0.6108），满足Fornell-Larcker准则，区别效度达标。</w:t>
      </w:r>
    </w:p>
    <w:p>
      <w:pPr>
        <w:ind w:left="0"/>
      </w:pPr>
      <w:r>
        <w:rPr>
          <w:rFonts w:ascii="Times New Roman" w:hAnsi="Times New Roman" w:eastAsia="宋体"/>
          <w:sz w:val="22"/>
        </w:rPr>
        <w:t>综上，本研究的测量量表信效度完全符合SEM+fsQCA分析的方法论要求，可以进行后续的结构方程模型估计与模糊集定性比较分析。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