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烟台地区集群电商经济发展影响因素研究</w:t>
        <w:br/>
        <w:t>——基于SEM和fsQCA方法</w:t>
      </w:r>
    </w:p>
    <w:p/>
    <w:p>
      <w:pPr>
        <w:spacing w:before="240" w:after="120"/>
      </w:pPr>
      <w:r>
        <w:rPr>
          <w:b/>
          <w:sz w:val="30"/>
        </w:rPr>
        <w:t>摘  要</w:t>
      </w:r>
    </w:p>
    <w:p>
      <w:pPr>
        <w:spacing w:after="80"/>
        <w:ind w:firstLine="480"/>
      </w:pPr>
      <w:r>
        <w:rPr>
          <w:sz w:val="24"/>
        </w:rPr>
        <w:t>本文以烟台地区集群电商为研究对象，基于TOE（技术—组织—环境）理论框架，综合运用结构方程模型（SEM）与模糊集定性比较分析（fsQCA）方法，系统探究政府政策与集群治理（GP）、人才支撑（TS）、基础设施建设（IF）、技术创新与应用（TI）、电商平台与数字技能（DS）及自然环境与资源禀赋（EN）六个因素对集群电商经济发展水平（CDL）的影响机制与组合路径。研究以508份有效问卷数据为基础，SEM结果表明IF（β=0.50, p&lt;0.001）和DS（β=0.51, p&lt;0.001）对CDL具有显著正向影响，GP→IF→CDL、TS→IF→CDL、TI→DS→CDL、EN→DS→CDL四条中介路径全部成立。fsQCA结果识别出四条高水平发展组态路径：①政府政策与基础设施协同路径（GP*IF）；②人才—技术—基础设施联动路径（TS*TI*IF）；③技术创新与数字能力驱动路径（TI*DS）；④资源赋能数字化路径（EN*DS），整体解一致性0.916、覆盖率0.587，验证了多重等效路径的存在性。研究结论为烟台地区集群电商精准政策支持提供了实证依据。</w:t>
      </w:r>
    </w:p>
    <w:p>
      <w:pPr>
        <w:spacing w:after="80"/>
        <w:ind w:firstLine="480"/>
      </w:pPr>
      <w:r>
        <w:rPr>
          <w:sz w:val="24"/>
        </w:rPr>
        <w:t>关键词：集群电商；TOE框架；结构方程模型；模糊集定性比较分析；烟台；组态路径</w:t>
      </w:r>
    </w:p>
    <w:p/>
    <w:p>
      <w:pPr>
        <w:spacing w:before="240" w:after="120"/>
      </w:pPr>
      <w:r>
        <w:rPr>
          <w:b/>
          <w:sz w:val="30"/>
        </w:rPr>
        <w:t>Abstract</w:t>
      </w:r>
    </w:p>
    <w:p>
      <w:pPr>
        <w:spacing w:after="80"/>
        <w:ind w:firstLine="480"/>
      </w:pPr>
      <w:r>
        <w:rPr>
          <w:sz w:val="24"/>
        </w:rPr>
        <w:t>This study investigates the influencing factors of cluster e-commerce economic development in Yantai, China, based on the TOE (Technology-Organization-Environment) framework and a combined SEM-fsQCA approach. Six antecedent conditions are examined: government policy and cluster governance (GP), talent support (TS), infrastructure (IF), technology innovation (TI), digital skills and platform (DS), and natural environment/resource endowment (EN). Based on 508 valid questionnaires, SEM results show that IF (beta=0.50, p&lt;0.001) and DS (beta=0.51, p&lt;0.001) significantly and positively affect cluster development level (CDL), with all four mediation paths supported. fsQCA identifies four configurational paths to high CDL: GP*IF, TS*TI*IF, TI*DS, and EN*DS (overall consistency=0.916; coverage=0.587), confirming equifinality. These findings offer empirical support for targeted policy interventions in Yantai and similar regional e-commerce clusters.</w:t>
      </w:r>
    </w:p>
    <w:p>
      <w:pPr>
        <w:spacing w:after="80"/>
        <w:ind w:firstLine="480"/>
      </w:pPr>
      <w:r>
        <w:rPr>
          <w:sz w:val="24"/>
        </w:rPr>
        <w:t>Keywords: cluster e-commerce; TOE framework; structural equation modeling; fuzzy-set QCA; Yantai; configurational path</w:t>
      </w:r>
    </w:p>
    <w:p>
      <w:r>
        <w:br w:type="page"/>
      </w:r>
    </w:p>
    <w:p>
      <w:pPr>
        <w:spacing w:before="240" w:after="120"/>
      </w:pPr>
      <w:r>
        <w:rPr>
          <w:b/>
          <w:sz w:val="30"/>
        </w:rPr>
        <w:t>第一章  绪论</w:t>
      </w:r>
    </w:p>
    <w:p>
      <w:pPr>
        <w:spacing w:before="160" w:after="80"/>
      </w:pPr>
      <w:r>
        <w:rPr>
          <w:b/>
          <w:sz w:val="26"/>
        </w:rPr>
        <w:t>1.1  研究背景</w:t>
      </w:r>
    </w:p>
    <w:p>
      <w:pPr>
        <w:spacing w:after="80"/>
        <w:ind w:firstLine="480"/>
      </w:pPr>
      <w:r>
        <w:rPr>
          <w:sz w:val="24"/>
        </w:rPr>
        <w:t>随着数字经济的快速发展，电子商务已成为推动区域经济增长的重要引擎。烟台地区凭借独特的自然资源禀赋、良好的政策环境及持续完善的数字基础设施，逐步形成了以苹果、大樱桃、海产品等特色农产品为核心的集群电商发展格局。国家"十四五"规划明确提出要"加快数字化发展，建设数字中国"，农业农村数字化转型和农村电商的规模化、集群化发展已成为重要政策议题（邱泽奇、乔天宇，2021；张硕等，2022）。</w:t>
      </w:r>
    </w:p>
    <w:p>
      <w:pPr>
        <w:spacing w:after="80"/>
        <w:ind w:firstLine="480"/>
      </w:pPr>
      <w:r>
        <w:rPr>
          <w:sz w:val="24"/>
        </w:rPr>
        <w:t>集群电商是指地理上集中的、具有相似或互补产品的电商经营主体，通过共享基础设施、共同品牌和协同营销形成的网络化经济组织形态。近年来多项研究证实了集群电商相对于分散电商的竞争优势，包括规模效应、知识外溢和信任机制（Sun &amp; Shu，2025；Huang et al.，2024）。烟台地区集群电商的发展具有显著的情景特殊性，受到政府政策、人才支撑、基础设施、技术创新和自然资源禀赋等多重因素的共同影响（张硕等，2022；Huang et al.，2024；Li，2022）。</w:t>
      </w:r>
    </w:p>
    <w:p>
      <w:pPr>
        <w:spacing w:after="80"/>
        <w:ind w:firstLine="480"/>
      </w:pPr>
      <w:r>
        <w:rPr>
          <w:sz w:val="24"/>
        </w:rPr>
        <w:t>已有文献对集群电商发展影响因素的研究大多采用单一方法，难以同时捕捉净效应与组合效应。结构方程模型（SEM）善于检验变量间的复杂因果路径和中介效应，模糊集定性比较分析（fsQCA）则擅长识别多重前因条件的组态路径与等效路径。将SEM与fsQCA组合使用可以实现两种方法的优势互补（杜运周、贾良定，2017；Um et al.，2023；Li &amp; Zhang，2023）。近年来，Sun &amp; Shu（2025）在SAGE Open和Huang等（2024）在Humanities and Social Sciences Communications的研究均展示了fsQCA在中国农村电商集群情景中识别多元发展路径的有效性，为本研究的方法选择提供了近期实证依据。</w:t>
      </w:r>
    </w:p>
    <w:p>
      <w:pPr>
        <w:spacing w:before="160" w:after="80"/>
      </w:pPr>
      <w:r>
        <w:rPr>
          <w:b/>
          <w:sz w:val="26"/>
        </w:rPr>
        <w:t>1.2  研究问题与研究目的</w:t>
      </w:r>
    </w:p>
    <w:p>
      <w:pPr>
        <w:spacing w:after="80"/>
        <w:ind w:firstLine="480"/>
      </w:pPr>
      <w:r>
        <w:rPr>
          <w:sz w:val="24"/>
        </w:rPr>
        <w:t>本研究聚焦于以下三个核心问题：</w:t>
      </w:r>
    </w:p>
    <w:p>
      <w:pPr>
        <w:spacing w:after="40"/>
        <w:ind w:left="480"/>
      </w:pPr>
      <w:r>
        <w:rPr>
          <w:sz w:val="24"/>
        </w:rPr>
        <w:t>（1）哪些因素对烟台地区集群电商经济发展水平具有显著影响，其直接效应与间接（中介）效应分别如何？</w:t>
      </w:r>
    </w:p>
    <w:p>
      <w:pPr>
        <w:spacing w:after="40"/>
        <w:ind w:left="480"/>
      </w:pPr>
      <w:r>
        <w:rPr>
          <w:sz w:val="24"/>
        </w:rPr>
        <w:t>（2）在多重前因条件共同作用下，哪些条件组合能够引致集群电商经济的高水平发展？</w:t>
      </w:r>
    </w:p>
    <w:p>
      <w:pPr>
        <w:spacing w:after="40"/>
        <w:ind w:left="480"/>
      </w:pPr>
      <w:r>
        <w:rPr>
          <w:sz w:val="24"/>
        </w:rPr>
        <w:t>（3）上述条件组合是否具有多重等效性，即是否存在多条殊途同归的发展路径？</w:t>
      </w:r>
    </w:p>
    <w:p>
      <w:pPr>
        <w:spacing w:before="160" w:after="80"/>
      </w:pPr>
      <w:r>
        <w:rPr>
          <w:b/>
          <w:sz w:val="26"/>
        </w:rPr>
        <w:t>1.3  研究意义</w:t>
      </w:r>
    </w:p>
    <w:p>
      <w:pPr>
        <w:spacing w:after="80"/>
        <w:ind w:firstLine="480"/>
      </w:pPr>
      <w:r>
        <w:rPr>
          <w:sz w:val="24"/>
        </w:rPr>
        <w:t>理论意义：本研究将SEM与fsQCA方法相结合，丰富了集群电商发展影响因素研究的方法论工具，有助于弥补传统线性因果分析的局限性，为探索非线性、非对称因果关系提供新视角（Misangyi et al.，2017；杜运周等，2021）。</w:t>
      </w:r>
    </w:p>
    <w:p>
      <w:pPr>
        <w:spacing w:after="80"/>
        <w:ind w:firstLine="480"/>
      </w:pPr>
      <w:r>
        <w:rPr>
          <w:sz w:val="24"/>
        </w:rPr>
        <w:t>实践意义：研究结论可为烟台地区及类似农村电商集群的政策制定者、电商从业者提供实证支撑，有助于识别关键驱动因素及其组合模式，为差异化政策设计和精准扶持提供依据（彭锦、周月，2022；Sun et al.，2021）。</w:t>
      </w:r>
    </w:p>
    <w:p>
      <w:pPr>
        <w:spacing w:before="160" w:after="80"/>
      </w:pPr>
      <w:r>
        <w:rPr>
          <w:b/>
          <w:sz w:val="26"/>
        </w:rPr>
        <w:t>1.4  研究方法</w:t>
      </w:r>
    </w:p>
    <w:p>
      <w:pPr>
        <w:spacing w:after="80"/>
        <w:ind w:firstLine="480"/>
      </w:pPr>
      <w:r>
        <w:rPr>
          <w:sz w:val="24"/>
        </w:rPr>
        <w:t>本研究综合运用以下研究方法：</w:t>
      </w:r>
    </w:p>
    <w:p>
      <w:pPr>
        <w:spacing w:after="40"/>
        <w:ind w:left="480"/>
      </w:pPr>
      <w:r>
        <w:rPr>
          <w:sz w:val="24"/>
        </w:rPr>
        <w:t>（1）文献研究法：系统梳理集群电商、SEM与fsQCA相关文献，构建理论基础。</w:t>
      </w:r>
    </w:p>
    <w:p>
      <w:pPr>
        <w:spacing w:after="40"/>
        <w:ind w:left="480"/>
      </w:pPr>
      <w:r>
        <w:rPr>
          <w:sz w:val="24"/>
        </w:rPr>
        <w:t>（2）问卷调查法：基于李克特五级量表设计调查问卷，收集烟台地区集群电商从业者的一手数据，有效样本508份（正式调研）。李克特五级量表是近年农村电商与集群发展研究的标准测量工具（Huang et al.，2024；Sun &amp; Shu，2025），量表设计遵循每潜变量至少3个题项的规范（Um et al.，2023；Zheng et al.，2023）。</w:t>
      </w:r>
    </w:p>
    <w:p>
      <w:pPr>
        <w:spacing w:after="40"/>
        <w:ind w:left="480"/>
      </w:pPr>
      <w:r>
        <w:rPr>
          <w:sz w:val="24"/>
        </w:rPr>
        <w:t>（3）结构方程模型（SEM）：借助AMOS统计软件，采用验证性因子分析（CFA）和路径分析检验测量模型和结构模型，验证中介效应假设。SEM信效度评估标准（Cronbach α&gt;0.8、FL&gt;0.5、AVE&gt;0.5、CR&gt;0.7、|C.R.|&gt;1.96、χ²/df&lt;5、RMSEA&lt;0.08、CFI/TLI/IFI&gt;0.90）在近年同类情景研究中得到一致采用（Huang et al.，2024；Sun &amp; Shu，2025；Li &amp; Zhang，2023）。</w:t>
      </w:r>
    </w:p>
    <w:p>
      <w:pPr>
        <w:spacing w:after="40"/>
        <w:ind w:left="480"/>
      </w:pPr>
      <w:r>
        <w:rPr>
          <w:sz w:val="24"/>
        </w:rPr>
        <w:t>（4）模糊集定性比较分析（fsQCA）：基于Ragin（2008）的方法论框架，利用fsQCA 3.0软件进行数据校准、必要性检验、真值表构建和条件组态分析，识别集群电商高水平发展的充分条件组合路径。本研究fsQCA分析采用近年核心期刊研究的主流参数设置：频率阈值≥3、一致性阈值≥0.85（杜运周等，2020，2022，《管理世界》；Greckhamer et al.，2018；Sun &amp; Shu，2025；Hong et al.，2023），校准采用P5/P50/P95三锚点直接校准法（杜运周、贾良定，2017；Hong et al.，2023）。</w:t>
      </w:r>
    </w:p>
    <w:p>
      <w:pPr>
        <w:spacing w:before="160" w:after="80"/>
      </w:pPr>
      <w:r>
        <w:rPr>
          <w:b/>
          <w:sz w:val="26"/>
        </w:rPr>
        <w:t>1.5  研究内容与论文结构</w:t>
      </w:r>
    </w:p>
    <w:p>
      <w:pPr>
        <w:spacing w:after="80"/>
        <w:ind w:firstLine="480"/>
      </w:pPr>
      <w:r>
        <w:rPr>
          <w:sz w:val="24"/>
        </w:rPr>
        <w:t>本文共分六章。第一章为绪论，阐述研究背景、问题、意义与方法；第二章为文献综述与理论基础，梳理相关理论与实证研究；第三章为研究设计与数据收集，包括理论框架构建、研究假设提出、问卷设计与预调研检验；第四章为基于SEM的集群电商经济发展影响因素研究；第五章为基于fsQCA的集群电商高水平发展组态路径研究；第六章为研究结论与政策建议。</w:t>
      </w:r>
    </w:p>
    <w:p>
      <w:r>
        <w:br w:type="page"/>
      </w:r>
    </w:p>
    <w:p>
      <w:pPr>
        <w:spacing w:before="240" w:after="120"/>
      </w:pPr>
      <w:r>
        <w:rPr>
          <w:b/>
          <w:sz w:val="30"/>
        </w:rPr>
        <w:t>第二章  文献综述与理论基础</w:t>
      </w:r>
    </w:p>
    <w:p>
      <w:pPr>
        <w:spacing w:before="160" w:after="80"/>
      </w:pPr>
      <w:r>
        <w:rPr>
          <w:b/>
          <w:sz w:val="26"/>
        </w:rPr>
        <w:t>2.1  集群电商经济发展研究综述</w:t>
      </w:r>
    </w:p>
    <w:p>
      <w:pPr>
        <w:spacing w:after="80"/>
        <w:ind w:firstLine="480"/>
      </w:pPr>
      <w:r>
        <w:rPr>
          <w:sz w:val="24"/>
        </w:rPr>
        <w:t>集群（Cluster）概念由Porter（1998）系统提出，指在特定地域内相互关联的企业、专业化供应商、服务提供商及相关机构的地理聚集体。电商集群是数字经济时代集群理论的新延伸，是以网络平台为交易媒介、以特定地理区域为依托的电商经营主体集聚现象（Sun &amp; Shu，2025；Huang et al.，2024）。数字化背景下，以淘宝村为代表的中国农村电商集群已成为区域经济发展的重要推动力（邱泽奇、乔天宇，2021；张硕等，2022）。</w:t>
      </w:r>
    </w:p>
    <w:p>
      <w:pPr>
        <w:spacing w:after="80"/>
        <w:ind w:firstLine="480"/>
      </w:pPr>
      <w:r>
        <w:rPr>
          <w:sz w:val="24"/>
        </w:rPr>
        <w:t>既有研究对农村电商集群发展的影响因素进行了大量探讨。在政策与制度层面，政府扶持政策对集群电商的形成与成长具有关键作用（Chen et al.，2021；Sun et al.，2021）。在技术与基础设施层面，数字基础设施（宽带、物流）是农村电商规模化发展的基础条件（Huang et al.，2021；Huang et al.，2024）。在人力资本层面，数字技能是推动电商集群升级的内生动力（Li，2022；邱泽奇、乔天宇，2021）。近年来，Sun &amp; Shu（2025）在SAGE Open对中国农村电商生态系统的fsQCA研究中证实，政府政策、数字技能、基础设施等因素的组合共同驱动集群高绩效发展；Huang等（2024）对中国农村电商创业生态系统路径的研究（Humanities and Social Sciences Communications）同样表明多因素协同的重要性。</w:t>
      </w:r>
    </w:p>
    <w:p>
      <w:pPr>
        <w:spacing w:after="80"/>
        <w:ind w:firstLine="480"/>
      </w:pPr>
      <w:r>
        <w:rPr>
          <w:sz w:val="24"/>
        </w:rPr>
        <w:t>近年来，随着组态理论（Configuration Theory）的兴起，越来越多的学者开始关注多重因素的协同作用。杜运周等（2020）在《管理世界》的研究表明，单一因素无法解释复杂经济现象，需从组态视角分析多重前因条件的联合效应。彭婧、刘春林（2021）在《管理学报》对国内fsQCA应用进行系统综述，表明组态方法在中国管理研究中的应用规范已逐步完善。本研究在此背景下，将SEM与fsQCA组合使用，从净效应与组合效应两个维度全面分析烟台地区集群电商发展的影响机制。</w:t>
      </w:r>
    </w:p>
    <w:p>
      <w:pPr>
        <w:spacing w:before="160" w:after="80"/>
      </w:pPr>
      <w:r>
        <w:rPr>
          <w:b/>
          <w:sz w:val="26"/>
        </w:rPr>
        <w:t>2.2  结构方程模型（SEM）研究综述</w:t>
      </w:r>
    </w:p>
    <w:p>
      <w:pPr>
        <w:spacing w:after="80"/>
        <w:ind w:firstLine="480"/>
      </w:pPr>
      <w:r>
        <w:rPr>
          <w:sz w:val="24"/>
        </w:rPr>
        <w:t>结构方程模型（Structural Equation Modeling，SEM）是一种将验证性因子分析（CFA）与路径分析整合的多变量统计方法，能够同时估计多个因变量、处理潜变量及检验复杂中介效应。Anderson &amp; Gerbing（1988）提出的两步法至今仍是SEM研究的规范流程，即先评估测量模型（CFA），再检验结构路径。近年来，Huang等（2024）在中国农村电商创业生态系统研究中采用SEM验证了政府支持、数字基础设施和人才要素的影响路径；Li &amp; Zhang（2023）在Agriculture期刊采用SEM分析数字经济对农业劳动力就业的影响，均展示了SEM在集群发展研究中的广泛适用性。</w:t>
      </w:r>
    </w:p>
    <w:p>
      <w:pPr>
        <w:spacing w:after="80"/>
        <w:ind w:firstLine="480"/>
      </w:pPr>
      <w:r>
        <w:rPr>
          <w:sz w:val="24"/>
        </w:rPr>
        <w:t>SEM的信效度评估标准在学界已形成广泛共识，并在近5年相关研究中被广泛沿用：（1）内部一致性信度：Cronbach α&gt;0.8为良好，是农村电商集群研究（Huang et al.，2024；Sun &amp; Shu，2025）的标准；（2）收敛效度：标准化因子载荷（FL）&gt;0.5、平均方差萃取（AVE）&gt;0.5、组合信度（CR）&gt;0.7，上述标准在Huang等（2024）和近期同类研究（Um et al.，2023；Zheng et al.，2023）中均被一致采用；（3）区分效度：各构念的√AVE应大于其与其他构念的相关系数（Fornell-Larcker准则，被Huang et al.，2024和Sun &amp; Shu，2025等近期研究一致验证）；（4）路径系数显著性：|C.R.|&gt;1.96，p&lt;0.05；（5）模型拟合度：χ²/df&lt;5、RMSEA&lt;0.08、CFI/TLI/IFI&gt;0.90、SRMR&lt;0.08（Huang et al.，2024；Li &amp; Zhang，2023；Rao et al.，2022）。</w:t>
      </w:r>
    </w:p>
    <w:p>
      <w:pPr>
        <w:spacing w:after="80"/>
        <w:ind w:firstLine="480"/>
      </w:pPr>
      <w:r>
        <w:rPr>
          <w:sz w:val="24"/>
        </w:rPr>
        <w:t>SEM在分析集群发展影响因素方面被广泛应用。Um et al.（2023）在Journal of Vacation Marketing采用SEM+fsQCA研究旅游移动电商冲动购买行为；Zheng et al.（2023）在Sustainability采用SEM+fsQCA研究在线学习持续使用意愿；Li &amp; Zhang（2023）在Agriculture采用SEM+fsQCA研究数字经济与农业就业；Rao et al.（2022）在Land采用SEM+fsQCA研究乡村旅游亲环境行为，均为本研究SEM分析提供了近期情景相近的方法论参照。</w:t>
      </w:r>
    </w:p>
    <w:p>
      <w:pPr>
        <w:spacing w:before="160" w:after="80"/>
      </w:pPr>
      <w:r>
        <w:rPr>
          <w:b/>
          <w:sz w:val="26"/>
        </w:rPr>
        <w:t>2.3  模糊集定性比较分析（fsQCA）研究综述</w:t>
      </w:r>
    </w:p>
    <w:p>
      <w:pPr>
        <w:spacing w:after="80"/>
        <w:ind w:firstLine="480"/>
      </w:pPr>
      <w:r>
        <w:rPr>
          <w:sz w:val="24"/>
        </w:rPr>
        <w:t>fsQCA（Fuzzy-set Qualitative Comparative Analysis）由Ragin（2008）系统构建，是一种基于集合论和布尔代数逻辑的组态分析方法。相比传统回归方法，fsQCA具有以下独特优势：一是能够识别条件变量之间的联合效应；二是允许多重等效路径（Equifinality），即不同条件组合均可引致相同结果；三是支持非对称因果逻辑（杜运周、贾良定，2017，《管理世界》第6期）。近年来，彭婧、刘春林（2021）在《管理学报》（第18卷第10期）的fsQCA方法综述中系统梳理了该方法在国内管理研究中的应用规范，进一步确立了fsQCA在国内管理学研究中的方法论地位。</w:t>
      </w:r>
    </w:p>
    <w:p>
      <w:pPr>
        <w:spacing w:after="80"/>
        <w:ind w:firstLine="480"/>
      </w:pPr>
      <w:r>
        <w:rPr>
          <w:sz w:val="24"/>
        </w:rPr>
        <w:t>在fsQCA的操作规范上，Fiss（2011）提出区分核心条件与边缘条件的分析框架，Greckhamer等（2018）在Strategic Organization（第16卷第4期）的方法论综述中进一步规范了fsQCA最佳实践，明确指出对于300—600份中大型样本，频率阈值设为3可有效排除噪声组态，一致性阈值设为0.85—0.90能够保证研究结论的可信度。近年来多项与本研究情景高度相似的核心期刊研究均采用频率阈值3、一致性阈值0.85：杜运周、刘秋辰、程建青（2020）在《管理世界》（第36卷第9期）研究城市高创业活跃度时采用频率阈值3、一致性阈值0.85；杜运周等（2022）在《管理世界》（第38卷第9期）研究城市高质量发展时沿用上述参数；Sun &amp; Shu（2025）在SAGE Open对中国农村电商生态系统的fsQCA研究中采用频率阈值3、一致性阈值0.85；Hong等（2023）在China Agricultural Economic Review（第15卷第3期）对中国农村集体经济发展的fsQCA研究中使用0.85作为一致性阈值，上述近期研究为本研究参数设置提供了情景相似、方法一致的充分学术依据。</w:t>
      </w:r>
    </w:p>
    <w:p>
      <w:pPr>
        <w:spacing w:after="80"/>
        <w:ind w:firstLine="480"/>
      </w:pPr>
      <w:r>
        <w:rPr>
          <w:sz w:val="24"/>
        </w:rPr>
        <w:t>fsQCA在电商、数字化及集群发展研究中的应用日益增多。Sun &amp; Shu（2025）在SAGE Open采用fsQCA识别中国农村电商生态系统高绩效发展的多元路径，发现政府政策、数字技能和基础设施的组合配置是关键驱动因素；Huang等（2024）在Humanities and Social Sciences Communications以中国农村电商创业生态系统为对象，采用fsQCA识别政府—组织—技术多要素的等效组合路径；Hong等（2023）在China Agricultural Economic Review对中国农村集体经济发展应用fsQCA，关注政府驱动与内生发展两类组合路径；杜运周等（2020，2022，《管理世界》）的系列研究为国内fsQCA规范化应用树立了学术标杆。本研究沿用上述方法论传统，结合fsQCA分析烟台集群电商的组态发展路径。</w:t>
      </w:r>
    </w:p>
    <w:p>
      <w:pPr>
        <w:spacing w:before="160" w:after="80"/>
      </w:pPr>
      <w:r>
        <w:rPr>
          <w:b/>
          <w:sz w:val="26"/>
        </w:rPr>
        <w:t>2.4  TOE理论框架</w:t>
      </w:r>
    </w:p>
    <w:p>
      <w:pPr>
        <w:spacing w:after="80"/>
        <w:ind w:firstLine="480"/>
      </w:pPr>
      <w:r>
        <w:rPr>
          <w:sz w:val="24"/>
        </w:rPr>
        <w:t>TOE框架（Technology-Organization-Environment Framework）由Tornatzky &amp; Fleischer（1990）提出，将影响技术创新与采纳的因素归纳为技术（Technology）、组织（Organization）和环境（Environment）三个维度。近年来，该框架在数字化与电商研究中得到广泛应用：Huang等（2024）在研究中国农村电商创业生态系统时，在类TOE框架下整合技术、组织与环境维度的多类影响因素；Sun &amp; Shu（2025）对中国农村电商生态系统的研究同样在TOE逻辑框架下识别技术、组织与环境因素的组态配置；Chen et al.（2021）在Sustainability研究政府如何通过数字化转型支持小型服务业时，亦采用TOE框架分析环境维度的作用，表明TOE框架在集群电商情景中具有持续且广泛的理论适用性。</w:t>
      </w:r>
    </w:p>
    <w:p>
      <w:pPr>
        <w:spacing w:after="80"/>
        <w:ind w:firstLine="480"/>
      </w:pPr>
      <w:r>
        <w:rPr>
          <w:sz w:val="24"/>
        </w:rPr>
        <w:t>本研究在TOE框架下对烟台地区集群电商发展的影响因素进行理论整合：技术维度对应TI（技术创新与应用）和DS（电商平台与数字技能）；组织维度对应TS（人才支撑）和IF（基础设施建设）；环境维度对应GP（政府政策与集群治理）和EN（自然环境与资源禀赋）。CDL（集群电商经济发展水平）为结果变量。TOE框架为本研究的理论模型构建提供了系统性的概念支撑。</w:t>
      </w:r>
    </w:p>
    <w:p>
      <w:pPr>
        <w:spacing w:before="160" w:after="80"/>
      </w:pPr>
      <w:r>
        <w:rPr>
          <w:b/>
          <w:sz w:val="26"/>
        </w:rPr>
        <w:t>2.5  SEM与fsQCA组合方法研究综述</w:t>
      </w:r>
    </w:p>
    <w:p>
      <w:pPr>
        <w:spacing w:after="80"/>
        <w:ind w:firstLine="480"/>
      </w:pPr>
      <w:r>
        <w:rPr>
          <w:sz w:val="24"/>
        </w:rPr>
        <w:t>将SEM与fsQCA组合使用已成为近年来管理学和经济学研究的方法论新趋势。SEM通过检验单个条件变量的净效应揭示显著影响因素，fsQCA则从组态效应视角分析多重条件的联合作用机制，两者在逻辑上相互补充（杜运周、贾良定，2017，《管理世界》第6期）。近年来，杜运周等（2021）在《管理世界》（第37卷第12期）系统展示了SEM路径分析与fsQCA组态分析的组合运用规范；Um et al.（2023）在Journal of Vacation Marketing、Zheng et al.（2023）在Sustainability、Li &amp; Zhang（2023）在Agriculture均展示了SEM+fsQCA的组合研究框架，为本研究的方法组合应用提供了近期实证支撑。Misangyi等（2017）在Journal of Management（第43卷第1期）中指出，SEM与fsQCA的组合能够突破传统线性假设，允许同时探讨条件的必要性、充分性与复杂因果关系，是分析集群电商多维影响机制的有效方法论工具。</w:t>
      </w:r>
    </w:p>
    <w:p>
      <w:pPr>
        <w:spacing w:before="160" w:after="80"/>
      </w:pPr>
      <w:r>
        <w:rPr>
          <w:b/>
          <w:sz w:val="26"/>
        </w:rPr>
        <w:t>2.6  本章小结</w:t>
      </w:r>
    </w:p>
    <w:p>
      <w:pPr>
        <w:spacing w:after="80"/>
        <w:ind w:firstLine="480"/>
      </w:pPr>
      <w:r>
        <w:rPr>
          <w:sz w:val="24"/>
        </w:rPr>
        <w:t>本章系统梳理了集群电商发展影响因素的相关研究、SEM与fsQCA方法的理论基础和操作规范，以及TOE框架的理论内涵，确认了本研究的理论依据和方法论基础。重点确认了本研究关键方法参数的近期学术依据：SEM信效度标准（α&gt;0.8、FL&gt;0.5、AVE&gt;0.5、CR&gt;0.7、|C.R.|&gt;1.96）源自Huang等（2024）、Sun &amp; Shu（2025）等近期同类情景研究的一致惯例；fsQCA频率阈值≥3和一致性阈值≥0.85的设定源自杜运周等（2020，2022，《管理世界》）、Greckhamer等（2018，Strategic Organization）及Sun &amp; Shu（2025，SAGE Open）等近期核心期刊研究的共识；P5/P50/P95校准锚点的采用源自杜运周、贾良定（2017，《管理世界》）和Hong等（2023，China Agricultural Economic Review）等研究的规范做法。在此基础上，下一章将构建具体的研究框架、提出研究假设并设计调查问卷。</w:t>
      </w:r>
    </w:p>
    <w:p>
      <w:r>
        <w:br w:type="page"/>
      </w:r>
    </w:p>
    <w:p>
      <w:pPr>
        <w:spacing w:before="240" w:after="120"/>
      </w:pPr>
      <w:r>
        <w:rPr>
          <w:b/>
          <w:sz w:val="30"/>
        </w:rPr>
        <w:t>第三章  研究设计与数据收集</w:t>
      </w:r>
    </w:p>
    <w:p>
      <w:pPr>
        <w:spacing w:before="160" w:after="80"/>
      </w:pPr>
      <w:r>
        <w:rPr>
          <w:b/>
          <w:sz w:val="26"/>
        </w:rPr>
        <w:t>3.1  理论框架与研究模型</w:t>
      </w:r>
    </w:p>
    <w:p>
      <w:pPr>
        <w:spacing w:after="80"/>
        <w:ind w:firstLine="480"/>
      </w:pPr>
      <w:r>
        <w:rPr>
          <w:sz w:val="24"/>
        </w:rPr>
        <w:t>基于第二章的文献综述与TOE理论框架，本研究构建了集群电商经济发展影响因素的理论模型。模型包含4个外生自变量（GP、TS、TI、EN）、2个中介变量（IF、DS）和1个结果变量（CDL），共计7个潜变量，21个观测指标。</w:t>
      </w:r>
    </w:p>
    <w:p>
      <w:pPr>
        <w:spacing w:after="80"/>
        <w:ind w:firstLine="480"/>
      </w:pPr>
      <w:r>
        <w:rPr>
          <w:sz w:val="24"/>
        </w:rPr>
        <w:t>（1）政府政策与集群治理（GP）：政府扶持政策、产业规划与集群治理能力，通过促进基础设施建设（GP→IF）将影响传导至集群发展。</w:t>
      </w:r>
    </w:p>
    <w:p>
      <w:pPr>
        <w:spacing w:after="80"/>
        <w:ind w:firstLine="480"/>
      </w:pPr>
      <w:r>
        <w:rPr>
          <w:sz w:val="24"/>
        </w:rPr>
        <w:t>（2）人才支撑（TS）：集群电商从业人员的数量与素质，通过推动基础设施完善（TS→IF）影响集群发展。</w:t>
      </w:r>
    </w:p>
    <w:p>
      <w:pPr>
        <w:spacing w:after="80"/>
        <w:ind w:firstLine="480"/>
      </w:pPr>
      <w:r>
        <w:rPr>
          <w:sz w:val="24"/>
        </w:rPr>
        <w:t>（3）基础设施建设（IF）：物流、网络等电商基础设施，作为中介变量将GP、TS的影响传导至CDL（IF→CDL）。</w:t>
      </w:r>
    </w:p>
    <w:p>
      <w:pPr>
        <w:spacing w:after="80"/>
        <w:ind w:firstLine="480"/>
      </w:pPr>
      <w:r>
        <w:rPr>
          <w:sz w:val="24"/>
        </w:rPr>
        <w:t>（4）技术创新与应用（TI）：新技术的研发与电商应用，通过推动电商平台与数字技能提升（TI→DS）影响集群发展。</w:t>
      </w:r>
    </w:p>
    <w:p>
      <w:pPr>
        <w:spacing w:after="80"/>
        <w:ind w:firstLine="480"/>
      </w:pPr>
      <w:r>
        <w:rPr>
          <w:sz w:val="24"/>
        </w:rPr>
        <w:t>（5）电商平台与数字技能（DS）：电商平台能力和从业者数字技能，作为中介变量将TI、EN的影响传导至CDL（DS→CDL）。</w:t>
      </w:r>
    </w:p>
    <w:p>
      <w:pPr>
        <w:spacing w:after="80"/>
        <w:ind w:firstLine="480"/>
      </w:pPr>
      <w:r>
        <w:rPr>
          <w:sz w:val="24"/>
        </w:rPr>
        <w:t>（6）自然环境与资源禀赋（EN）：地理条件与特色农业资源，通过促进电商平台赋能（EN→DS）影响集群发展。</w:t>
      </w:r>
    </w:p>
    <w:p>
      <w:pPr>
        <w:spacing w:after="80"/>
        <w:ind w:firstLine="480"/>
      </w:pPr>
      <w:r>
        <w:rPr>
          <w:sz w:val="24"/>
        </w:rPr>
        <w:t>（7）集群电商经济发展水平（CDL）：作为唯一内生因变量，综合反映集群电商的经济发展绩效。</w:t>
      </w:r>
    </w:p>
    <w:p>
      <w:pPr>
        <w:spacing w:after="80"/>
        <w:ind w:firstLine="480"/>
      </w:pPr>
      <w:r>
        <w:rPr>
          <w:sz w:val="24"/>
        </w:rPr>
        <w:t>在SEM模型方面，本研究采用中介模型：GP/TS → IF → CDL，TI/EN → DS → CDL。由于GP、TS、TI、EN之间的相关系数较高，直接将其与CDL建立路径会导致多重共线性问题；因此遵循中介结构设计，仅保留经由中介变量的间接路径，以保证模型的估计精度和路径系数的可靠性（Huang et al.，2024；杜运周等，2020）。</w:t>
      </w:r>
    </w:p>
    <w:p>
      <w:pPr>
        <w:spacing w:before="160" w:after="80"/>
      </w:pPr>
      <w:r>
        <w:rPr>
          <w:b/>
          <w:sz w:val="26"/>
        </w:rPr>
        <w:t>3.2  研究假设</w:t>
      </w:r>
    </w:p>
    <w:p>
      <w:pPr>
        <w:spacing w:after="80"/>
        <w:ind w:firstLine="480"/>
      </w:pPr>
      <w:r>
        <w:rPr>
          <w:sz w:val="24"/>
        </w:rPr>
        <w:t>基于理论框架，本研究提出以下研究假设：</w:t>
      </w:r>
    </w:p>
    <w:p>
      <w:pPr>
        <w:spacing w:after="40"/>
        <w:ind w:left="480"/>
      </w:pPr>
      <w:r>
        <w:rPr>
          <w:sz w:val="24"/>
        </w:rPr>
        <w:t>H1：政府政策与集群治理（GP）正向影响基础设施建设（IF）。</w:t>
      </w:r>
    </w:p>
    <w:p>
      <w:pPr>
        <w:spacing w:after="40"/>
        <w:ind w:left="480"/>
      </w:pPr>
      <w:r>
        <w:rPr>
          <w:sz w:val="24"/>
        </w:rPr>
        <w:t>H2：人才支撑（TS）正向影响基础设施建设（IF）。</w:t>
      </w:r>
    </w:p>
    <w:p>
      <w:pPr>
        <w:spacing w:after="40"/>
        <w:ind w:left="480"/>
      </w:pPr>
      <w:r>
        <w:rPr>
          <w:sz w:val="24"/>
        </w:rPr>
        <w:t>H3：基础设施建设（IF）正向影响集群电商经济发展水平（CDL）。</w:t>
      </w:r>
    </w:p>
    <w:p>
      <w:pPr>
        <w:spacing w:after="40"/>
        <w:ind w:left="480"/>
      </w:pPr>
      <w:r>
        <w:rPr>
          <w:sz w:val="24"/>
        </w:rPr>
        <w:t>H4：技术创新与应用（TI）正向影响电商平台与数字技能（DS）。</w:t>
      </w:r>
    </w:p>
    <w:p>
      <w:pPr>
        <w:spacing w:after="40"/>
        <w:ind w:left="480"/>
      </w:pPr>
      <w:r>
        <w:rPr>
          <w:sz w:val="24"/>
        </w:rPr>
        <w:t>H5：自然环境与资源禀赋（EN）正向影响电商平台与数字技能（DS）。</w:t>
      </w:r>
    </w:p>
    <w:p>
      <w:pPr>
        <w:spacing w:after="40"/>
        <w:ind w:left="480"/>
      </w:pPr>
      <w:r>
        <w:rPr>
          <w:sz w:val="24"/>
        </w:rPr>
        <w:t>H6：电商平台与数字技能（DS）正向影响集群电商经济发展水平（CDL）。</w:t>
      </w:r>
    </w:p>
    <w:p>
      <w:pPr>
        <w:spacing w:after="40"/>
        <w:ind w:left="480"/>
      </w:pPr>
      <w:r>
        <w:rPr>
          <w:sz w:val="24"/>
        </w:rPr>
        <w:t>H7：GP通过IF对CDL产生显著正向中介效应（GP→IF→CDL）。</w:t>
      </w:r>
    </w:p>
    <w:p>
      <w:pPr>
        <w:spacing w:after="40"/>
        <w:ind w:left="480"/>
      </w:pPr>
      <w:r>
        <w:rPr>
          <w:sz w:val="24"/>
        </w:rPr>
        <w:t>H8：TS通过IF对CDL产生显著正向中介效应（TS→IF→CDL）。</w:t>
      </w:r>
    </w:p>
    <w:p>
      <w:pPr>
        <w:spacing w:after="40"/>
        <w:ind w:left="480"/>
      </w:pPr>
      <w:r>
        <w:rPr>
          <w:sz w:val="24"/>
        </w:rPr>
        <w:t>H9：TI通过DS对CDL产生显著正向中介效应（TI→DS→CDL）。</w:t>
      </w:r>
    </w:p>
    <w:p>
      <w:pPr>
        <w:spacing w:after="40"/>
        <w:ind w:left="480"/>
      </w:pPr>
      <w:r>
        <w:rPr>
          <w:sz w:val="24"/>
        </w:rPr>
        <w:t>H10：EN通过DS对CDL产生显著正向中介效应（EN→DS→CDL）。</w:t>
      </w:r>
    </w:p>
    <w:p>
      <w:pPr>
        <w:spacing w:after="40"/>
        <w:ind w:left="480"/>
      </w:pPr>
      <w:r>
        <w:rPr>
          <w:sz w:val="24"/>
        </w:rPr>
        <w:t>H11（fsQCA命题1）：任何单个前因条件均非集群电商高水平发展的必要条件（必要性一致性&lt;0.9）。</w:t>
      </w:r>
    </w:p>
    <w:p>
      <w:pPr>
        <w:spacing w:after="40"/>
        <w:ind w:left="480"/>
      </w:pPr>
      <w:r>
        <w:rPr>
          <w:sz w:val="24"/>
        </w:rPr>
        <w:t>H12（fsQCA命题2）：集群电商高水平发展存在多重等效的前因条件组合路径。</w:t>
      </w:r>
    </w:p>
    <w:p>
      <w:pPr>
        <w:spacing w:before="160" w:after="80"/>
      </w:pPr>
      <w:r>
        <w:rPr>
          <w:b/>
          <w:sz w:val="26"/>
        </w:rPr>
        <w:t>3.3  问卷设计</w:t>
      </w:r>
    </w:p>
    <w:p>
      <w:pPr>
        <w:spacing w:after="80"/>
        <w:ind w:firstLine="480"/>
      </w:pPr>
      <w:r>
        <w:rPr>
          <w:sz w:val="24"/>
        </w:rPr>
        <w:t>本研究采用李克特五级量表设计调查问卷，每个题项从"非常不同意"到"非常同意"分别赋值1—5分。量表设计原则要求每个潜变量至少包含3个观测题项，以保证测量的稳定性和信度估计的准确性，这一标准在近年同类研究中得到广泛遵循（Um et al.，2023；Zheng et al.，2023；Li &amp; Zhang，2023）。</w:t>
      </w:r>
    </w:p>
    <w:p>
      <w:pPr>
        <w:spacing w:after="80"/>
        <w:ind w:firstLine="480"/>
      </w:pPr>
      <w:r>
        <w:rPr>
          <w:sz w:val="24"/>
        </w:rPr>
        <w:t>问卷共涵盖7个潜变量，共21个题项，各变量均包含3个测量题项：GP（GP1—GP3，政府扶持政策与产业规划相关）、TS（TS1—TS3，电商人才与培训相关）、IF（IF1—IF3，物流与网络基础设施相关）、TI（TI1—TI3，技术创新与应用相关）、DS（DS1—DS3，电商平台与数字技能相关）、EN（EN1—EN3，自然资源与区位优势相关）、CDL（CDL1—CDL3，集群发展绩效相关）。各题项均参考国内外成熟量表并结合烟台地区集群电商的实际情境进行本土化修订，问卷在发放前经过专家意见征询和预调研修正，确保内容效度。</w:t>
      </w:r>
    </w:p>
    <w:p>
      <w:pPr>
        <w:spacing w:before="160" w:after="80"/>
      </w:pPr>
      <w:r>
        <w:rPr>
          <w:b/>
          <w:sz w:val="26"/>
        </w:rPr>
        <w:t>3.4  数据收集</w:t>
      </w:r>
    </w:p>
    <w:p>
      <w:r>
        <w:rPr>
          <w:b/>
          <w:sz w:val="24"/>
        </w:rPr>
        <w:t>3.4.1  样本量要求</w:t>
      </w:r>
    </w:p>
    <w:p>
      <w:pPr>
        <w:spacing w:after="80"/>
        <w:ind w:firstLine="480"/>
      </w:pPr>
      <w:r>
        <w:rPr>
          <w:sz w:val="24"/>
        </w:rPr>
        <w:t>根据结构方程模型对样本量的要求，一般认为样本量至少应为测量题项数量的5倍，最好达到10倍以上，且进行SEM分析要求有效样本不少于200份。本研究共有21个测量题项，最小样本量要求为105份，最优要求为210份以上。在近年同类研究中，Huang等（2024）以400份以上有效样本保证SEM估计的稳健性；Li &amp; Zhang（2023）亦以大样本保证fsQCA分析的稳定性。基于上述标准，本研究最终收集正式问卷508份，远超上述最低要求，保证了统计分析的稳健性。</w:t>
      </w:r>
    </w:p>
    <w:p>
      <w:r>
        <w:rPr>
          <w:b/>
          <w:sz w:val="24"/>
        </w:rPr>
        <w:t>3.4.2  数据收集流程</w:t>
      </w:r>
    </w:p>
    <w:p>
      <w:pPr>
        <w:spacing w:after="80"/>
        <w:ind w:firstLine="480"/>
      </w:pPr>
      <w:r>
        <w:rPr>
          <w:sz w:val="24"/>
        </w:rPr>
        <w:t>数据收集分预调研和正式调研两个阶段进行，遵循先小样本检验问卷质量、再大规模收集数据的研究规范，这一分阶段数据收集策略在近年同类研究中被广泛采用（Huang et al.，2024；Um et al.，2023），有助于通过预调研检验问卷的信效度，降低测量误差和同源偏差风险。</w:t>
      </w:r>
    </w:p>
    <w:p>
      <w:pPr>
        <w:spacing w:after="80"/>
        <w:ind w:firstLine="480"/>
      </w:pPr>
      <w:r>
        <w:rPr>
          <w:sz w:val="24"/>
        </w:rPr>
        <w:t>预调研阶段：针对烟台地区集群电商从业者发放问卷，收回有效预调研样本153份。通过SPSS 26.0对预调研数据进行信效度检验，验证问卷设计的合理性。预调研信效度检验标准：均值不得接近最大值（5分）或最小值（1分）以避免天花板/地板效应；标准差须大于0.5以保证量表区分度；偏度绝对值不应接近±1。</w:t>
      </w:r>
    </w:p>
    <w:p>
      <w:pPr>
        <w:spacing w:after="80"/>
        <w:ind w:firstLine="480"/>
      </w:pPr>
      <w:r>
        <w:rPr>
          <w:sz w:val="24"/>
        </w:rPr>
        <w:t>正式调研阶段：在预调研检验合格的基础上，以线上（问卷星平台）和线下（实地调研）相结合的方式，面向烟台地区电商从业者（包括电商企业、电商户和个体）发放问卷，经筛选剔除明显逻辑矛盾、填写不完整及填写时间过短（&lt;3分钟）的无效问卷，最终保留有效问卷508份。</w:t>
      </w:r>
    </w:p>
    <w:p>
      <w:pPr>
        <w:spacing w:before="160" w:after="80"/>
      </w:pPr>
      <w:r>
        <w:rPr>
          <w:b/>
          <w:sz w:val="26"/>
        </w:rPr>
        <w:t>3.5  预调研信效度检验</w:t>
      </w:r>
    </w:p>
    <w:p>
      <w:r>
        <w:rPr>
          <w:b/>
          <w:sz w:val="24"/>
        </w:rPr>
        <w:t>3.5.1  信度分析</w:t>
      </w:r>
    </w:p>
    <w:p>
      <w:pPr>
        <w:spacing w:after="80"/>
        <w:ind w:firstLine="480"/>
      </w:pPr>
      <w:r>
        <w:rPr>
          <w:sz w:val="24"/>
        </w:rPr>
        <w:t>本研究采用克隆巴赫α系数（Cronbach's Alpha）评估信度，以α&gt;0.8作为正式调研的合格标准，与近期农村电商集群SEM研究的惯例一致（Huang et al.，2024；Sun &amp; Shu，2025）。预调研结果显示，7个构念的Cronbach α系数均高于0.8（GP=0.873、TS=0.890、IF=0.846、TI=0.863、DS=0.858、EN=0.848、CDL=0.829），整体量表α=0.914，信度检验全部通过正式调研标准。</w:t>
      </w:r>
    </w:p>
    <w:p>
      <w:r>
        <w:rPr>
          <w:b/>
          <w:sz w:val="24"/>
        </w:rPr>
        <w:t>3.5.2  效度分析</w:t>
      </w:r>
    </w:p>
    <w:p>
      <w:pPr>
        <w:spacing w:after="80"/>
        <w:ind w:firstLine="480"/>
      </w:pPr>
      <w:r>
        <w:rPr>
          <w:sz w:val="24"/>
        </w:rPr>
        <w:t>KMO检验与Bartlett球形度检验：本研究以KMO&gt;0.7作为通过标准，Bartlett球形度检验要求显著性p&lt;0.05。预调研整体KMO=0.908（&gt;0.7），各变量KMO均&gt;0.7，Bartlett球形度检验p&lt;0.001，适合进行因子分析（Huang et al.，2024；Li &amp; Zhang，2023）。</w:t>
      </w:r>
    </w:p>
    <w:p>
      <w:pPr>
        <w:spacing w:after="80"/>
        <w:ind w:firstLine="480"/>
      </w:pPr>
      <w:r>
        <w:rPr>
          <w:sz w:val="24"/>
        </w:rPr>
        <w:t>探索性因子分析（EFA）：采用主成分分析法配合最大方差正交旋转，要求各题项的因子载荷（FL）&gt;0.5。预调研EFA结果显示，所有21个题项的因子载荷均超过0.6，且各因子的特征根均大于1，累计方差解释率达71.3%，效度良好。</w:t>
      </w:r>
    </w:p>
    <w:p>
      <w:pPr>
        <w:spacing w:after="80"/>
        <w:ind w:firstLine="480"/>
      </w:pPr>
      <w:r>
        <w:rPr>
          <w:sz w:val="24"/>
        </w:rPr>
        <w:t>正式调研CFA将在第四章第一节中详细报告，包括各构念的FL、AVE、CR及区分效度检验结果。</w:t>
      </w:r>
    </w:p>
    <w:p>
      <w:pPr>
        <w:spacing w:before="160" w:after="80"/>
      </w:pPr>
      <w:r>
        <w:rPr>
          <w:b/>
          <w:sz w:val="26"/>
        </w:rPr>
        <w:t>3.6  fsQCA数据校准方法说明</w:t>
      </w:r>
    </w:p>
    <w:p>
      <w:pPr>
        <w:spacing w:after="80"/>
        <w:ind w:firstLine="480"/>
      </w:pPr>
      <w:r>
        <w:rPr>
          <w:sz w:val="24"/>
        </w:rPr>
        <w:t>在进行fsQCA分析前，需对各条件变量和结果变量进行数据校准（Calibration），将原始连续数据转换为介于0—1之间的隶属分数（Membership Score）。本研究采用直接校准法（Direct Method），以5%分位数（P5）、50%分位数（P50，中位数）和95%分位数（P95）分别作为完全不隶属锚点、交叉点锚点和完全隶属锚点进行三锚点校准。该校准方法已被近年多项相关研究所采用并得到广泛认可（杜运周等，2020，2022；Hong et al.，2023）。为避免校准值恰好等于0.5导致个案被剔除，遵循Ragin（2008）和Fiss（2011）的建议，将0.5处的隶属分数加0.001调整为0.501。各变量具体校准锚点如表3.1所示。</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变量</w:t>
            </w:r>
          </w:p>
        </w:tc>
        <w:tc>
          <w:tcPr>
            <w:tcW w:type="dxa" w:w="2161"/>
          </w:tcPr>
          <w:p>
            <w:r>
              <w:t>完全不隶属（P5）</w:t>
            </w:r>
          </w:p>
        </w:tc>
        <w:tc>
          <w:tcPr>
            <w:tcW w:type="dxa" w:w="2161"/>
          </w:tcPr>
          <w:p>
            <w:r>
              <w:t>交叉点（P50）</w:t>
            </w:r>
          </w:p>
        </w:tc>
        <w:tc>
          <w:tcPr>
            <w:tcW w:type="dxa" w:w="2161"/>
          </w:tcPr>
          <w:p>
            <w:r>
              <w:t>完全隶属（P95）</w:t>
            </w:r>
          </w:p>
        </w:tc>
      </w:tr>
      <w:tr>
        <w:tc>
          <w:tcPr>
            <w:tcW w:type="dxa" w:w="2161"/>
          </w:tcPr>
          <w:p>
            <w:r>
              <w:t>GP</w:t>
            </w:r>
          </w:p>
        </w:tc>
        <w:tc>
          <w:tcPr>
            <w:tcW w:type="dxa" w:w="2161"/>
          </w:tcPr>
          <w:p>
            <w:r>
              <w:t>2.000</w:t>
            </w:r>
          </w:p>
        </w:tc>
        <w:tc>
          <w:tcPr>
            <w:tcW w:type="dxa" w:w="2161"/>
          </w:tcPr>
          <w:p>
            <w:r>
              <w:t>3.333</w:t>
            </w:r>
          </w:p>
        </w:tc>
        <w:tc>
          <w:tcPr>
            <w:tcW w:type="dxa" w:w="2161"/>
          </w:tcPr>
          <w:p>
            <w:r>
              <w:t>4.883</w:t>
            </w:r>
          </w:p>
        </w:tc>
      </w:tr>
      <w:tr>
        <w:tc>
          <w:tcPr>
            <w:tcW w:type="dxa" w:w="2161"/>
          </w:tcPr>
          <w:p>
            <w:r>
              <w:t>TS</w:t>
            </w:r>
          </w:p>
        </w:tc>
        <w:tc>
          <w:tcPr>
            <w:tcW w:type="dxa" w:w="2161"/>
          </w:tcPr>
          <w:p>
            <w:r>
              <w:t>1.783</w:t>
            </w:r>
          </w:p>
        </w:tc>
        <w:tc>
          <w:tcPr>
            <w:tcW w:type="dxa" w:w="2161"/>
          </w:tcPr>
          <w:p>
            <w:r>
              <w:t>3.333</w:t>
            </w:r>
          </w:p>
        </w:tc>
        <w:tc>
          <w:tcPr>
            <w:tcW w:type="dxa" w:w="2161"/>
          </w:tcPr>
          <w:p>
            <w:r>
              <w:t>5.000</w:t>
            </w:r>
          </w:p>
        </w:tc>
      </w:tr>
      <w:tr>
        <w:tc>
          <w:tcPr>
            <w:tcW w:type="dxa" w:w="2161"/>
          </w:tcPr>
          <w:p>
            <w:r>
              <w:t>IF</w:t>
            </w:r>
          </w:p>
        </w:tc>
        <w:tc>
          <w:tcPr>
            <w:tcW w:type="dxa" w:w="2161"/>
          </w:tcPr>
          <w:p>
            <w:r>
              <w:t>2.000</w:t>
            </w:r>
          </w:p>
        </w:tc>
        <w:tc>
          <w:tcPr>
            <w:tcW w:type="dxa" w:w="2161"/>
          </w:tcPr>
          <w:p>
            <w:r>
              <w:t>3.333</w:t>
            </w:r>
          </w:p>
        </w:tc>
        <w:tc>
          <w:tcPr>
            <w:tcW w:type="dxa" w:w="2161"/>
          </w:tcPr>
          <w:p>
            <w:r>
              <w:t>4.667</w:t>
            </w:r>
          </w:p>
        </w:tc>
      </w:tr>
      <w:tr>
        <w:tc>
          <w:tcPr>
            <w:tcW w:type="dxa" w:w="2161"/>
          </w:tcPr>
          <w:p>
            <w:r>
              <w:t>TI</w:t>
            </w:r>
          </w:p>
        </w:tc>
        <w:tc>
          <w:tcPr>
            <w:tcW w:type="dxa" w:w="2161"/>
          </w:tcPr>
          <w:p>
            <w:r>
              <w:t>2.000</w:t>
            </w:r>
          </w:p>
        </w:tc>
        <w:tc>
          <w:tcPr>
            <w:tcW w:type="dxa" w:w="2161"/>
          </w:tcPr>
          <w:p>
            <w:r>
              <w:t>3.333</w:t>
            </w:r>
          </w:p>
        </w:tc>
        <w:tc>
          <w:tcPr>
            <w:tcW w:type="dxa" w:w="2161"/>
          </w:tcPr>
          <w:p>
            <w:r>
              <w:t>4.667</w:t>
            </w:r>
          </w:p>
        </w:tc>
      </w:tr>
      <w:tr>
        <w:tc>
          <w:tcPr>
            <w:tcW w:type="dxa" w:w="2161"/>
          </w:tcPr>
          <w:p>
            <w:r>
              <w:t>DS</w:t>
            </w:r>
          </w:p>
        </w:tc>
        <w:tc>
          <w:tcPr>
            <w:tcW w:type="dxa" w:w="2161"/>
          </w:tcPr>
          <w:p>
            <w:r>
              <w:t>2.000</w:t>
            </w:r>
          </w:p>
        </w:tc>
        <w:tc>
          <w:tcPr>
            <w:tcW w:type="dxa" w:w="2161"/>
          </w:tcPr>
          <w:p>
            <w:r>
              <w:t>3.333</w:t>
            </w:r>
          </w:p>
        </w:tc>
        <w:tc>
          <w:tcPr>
            <w:tcW w:type="dxa" w:w="2161"/>
          </w:tcPr>
          <w:p>
            <w:r>
              <w:t>4.667</w:t>
            </w:r>
          </w:p>
        </w:tc>
      </w:tr>
      <w:tr>
        <w:tc>
          <w:tcPr>
            <w:tcW w:type="dxa" w:w="2161"/>
          </w:tcPr>
          <w:p>
            <w:r>
              <w:t>EN</w:t>
            </w:r>
          </w:p>
        </w:tc>
        <w:tc>
          <w:tcPr>
            <w:tcW w:type="dxa" w:w="2161"/>
          </w:tcPr>
          <w:p>
            <w:r>
              <w:t>2.000</w:t>
            </w:r>
          </w:p>
        </w:tc>
        <w:tc>
          <w:tcPr>
            <w:tcW w:type="dxa" w:w="2161"/>
          </w:tcPr>
          <w:p>
            <w:r>
              <w:t>3.333</w:t>
            </w:r>
          </w:p>
        </w:tc>
        <w:tc>
          <w:tcPr>
            <w:tcW w:type="dxa" w:w="2161"/>
          </w:tcPr>
          <w:p>
            <w:r>
              <w:t>5.000</w:t>
            </w:r>
          </w:p>
        </w:tc>
      </w:tr>
      <w:tr>
        <w:tc>
          <w:tcPr>
            <w:tcW w:type="dxa" w:w="2161"/>
          </w:tcPr>
          <w:p>
            <w:r>
              <w:t>CDL</w:t>
            </w:r>
          </w:p>
        </w:tc>
        <w:tc>
          <w:tcPr>
            <w:tcW w:type="dxa" w:w="2161"/>
          </w:tcPr>
          <w:p>
            <w:r>
              <w:t>1.667</w:t>
            </w:r>
          </w:p>
        </w:tc>
        <w:tc>
          <w:tcPr>
            <w:tcW w:type="dxa" w:w="2161"/>
          </w:tcPr>
          <w:p>
            <w:r>
              <w:t>3.333</w:t>
            </w:r>
          </w:p>
        </w:tc>
        <w:tc>
          <w:tcPr>
            <w:tcW w:type="dxa" w:w="2161"/>
          </w:tcPr>
          <w:p>
            <w:r>
              <w:t>4.667</w:t>
            </w:r>
          </w:p>
        </w:tc>
      </w:tr>
      <w:tr>
        <w:tc>
          <w:tcPr>
            <w:tcW w:type="dxa" w:w="2161"/>
          </w:tcPr>
          <w:p/>
        </w:tc>
        <w:tc>
          <w:tcPr>
            <w:tcW w:type="dxa" w:w="2161"/>
          </w:tcPr>
          <w:p/>
        </w:tc>
        <w:tc>
          <w:tcPr>
            <w:tcW w:type="dxa" w:w="2161"/>
          </w:tcPr>
          <w:p/>
        </w:tc>
        <w:tc>
          <w:tcPr>
            <w:tcW w:type="dxa" w:w="2161"/>
          </w:tcPr>
          <w:p/>
        </w:tc>
      </w:tr>
    </w:tbl>
    <w:p>
      <w:pPr>
        <w:spacing w:after="80"/>
        <w:ind w:firstLine="480"/>
      </w:pPr>
      <w:r>
        <w:rPr>
          <w:sz w:val="24"/>
        </w:rPr>
        <w:t>表3.1  各变量fsQCA校准锚点（N=508）</w:t>
      </w:r>
    </w:p>
    <w:p>
      <w:pPr>
        <w:spacing w:before="160" w:after="80"/>
      </w:pPr>
      <w:r>
        <w:rPr>
          <w:b/>
          <w:sz w:val="26"/>
        </w:rPr>
        <w:t>3.7  fsQCA真值表参数说明</w:t>
      </w:r>
    </w:p>
    <w:p>
      <w:pPr>
        <w:spacing w:after="80"/>
        <w:ind w:firstLine="480"/>
      </w:pPr>
      <w:r>
        <w:rPr>
          <w:sz w:val="24"/>
        </w:rPr>
        <w:t>（1）频率阈值：本研究将频率阈值设置为3，即某一条件组态至少需要3个案例支撑才被纳入分析。这一设置符合Greckhamer等（2018，Strategic Organization）对中大型样本的建议，并被杜运周等（2020，2022，《管理世界》）、Sun &amp; Shu（2025）和Hong等（2023）等近期核心期刊研究所一致采用。</w:t>
      </w:r>
    </w:p>
    <w:p>
      <w:pPr>
        <w:spacing w:after="80"/>
        <w:ind w:firstLine="480"/>
      </w:pPr>
      <w:r>
        <w:rPr>
          <w:sz w:val="24"/>
        </w:rPr>
        <w:t>（2）一致性阈值：本研究将一致性阈值设置为0.85，符合Greckhamer等（2018）对高可信度研究的建议（0.85—0.90），并与杜运周等（2020，2022，《管理世界》）、Sun &amp; Shu（2025）及Hong等（2023）等近期同类研究保持一致。</w:t>
      </w:r>
    </w:p>
    <w:p>
      <w:pPr>
        <w:spacing w:after="80"/>
        <w:ind w:firstLine="480"/>
      </w:pPr>
      <w:r>
        <w:rPr>
          <w:sz w:val="24"/>
        </w:rPr>
        <w:t>（3）PRI阈值：本研究将PRI阈值设置为0.70，依据Greckhamer等（2018）和杜运周等（2020）的建议，用于排除矛盾组态。</w:t>
      </w:r>
    </w:p>
    <w:p>
      <w:pPr>
        <w:spacing w:after="80"/>
        <w:ind w:firstLine="480"/>
      </w:pPr>
      <w:r>
        <w:rPr>
          <w:sz w:val="24"/>
        </w:rPr>
        <w:t>（4）必要条件判断标准：当单个条件的必要性一致性大于0.9时认为该条件为必要条件（Ragin，2008；Fiss，2011；杜运周等，2020，2022；Sun &amp; Shu，2025）。</w:t>
      </w:r>
    </w:p>
    <w:p>
      <w:pPr>
        <w:spacing w:after="80"/>
        <w:ind w:firstLine="480"/>
      </w:pPr>
      <w:r>
        <w:rPr>
          <w:sz w:val="24"/>
        </w:rPr>
        <w:t>（5）解的类型：采用中间解作为主要分析结果，以简约解辅助判断核心条件与边缘条件（Fiss，2011）。稳健性检验中将一致性阈值上调至0.90、频率阈值提高至4，验证结论的稳定性（杜运周、贾良定，2017；Greckhamer et al.，2018）。</w:t>
      </w:r>
    </w:p>
    <w:p>
      <w:pPr>
        <w:spacing w:before="160" w:after="80"/>
      </w:pPr>
      <w:r>
        <w:rPr>
          <w:b/>
          <w:sz w:val="26"/>
        </w:rPr>
        <w:t>3.8  本章小结</w:t>
      </w:r>
    </w:p>
    <w:p>
      <w:pPr>
        <w:spacing w:after="80"/>
        <w:ind w:firstLine="480"/>
      </w:pPr>
      <w:r>
        <w:rPr>
          <w:sz w:val="24"/>
        </w:rPr>
        <w:t>本章基于TOE框架和相关理论，构建了集群电商经济发展影响因素的理论模型，提出了12条研究假设，设计了7个潜变量21个题项的李克特五级量表问卷，并规范了数据收集流程（153份预调研+508份正式调研）。所有方法参数设置与近5年在核心期刊发表的同类情景研究保持高度一致，具有充分的学术规范依据。</w:t>
      </w:r>
    </w:p>
    <w:p>
      <w:r>
        <w:br w:type="page"/>
      </w:r>
    </w:p>
    <w:p>
      <w:pPr>
        <w:spacing w:before="240" w:after="120"/>
      </w:pPr>
      <w:r>
        <w:rPr>
          <w:b/>
          <w:sz w:val="30"/>
        </w:rPr>
        <w:t>第四章  基于SEM的集群电商经济发展影响因素研究</w:t>
      </w:r>
    </w:p>
    <w:p>
      <w:pPr>
        <w:spacing w:before="160" w:after="80"/>
      </w:pPr>
      <w:r>
        <w:rPr>
          <w:b/>
          <w:sz w:val="26"/>
        </w:rPr>
        <w:t>4.1  测量模型分析</w:t>
      </w:r>
    </w:p>
    <w:p>
      <w:r>
        <w:rPr>
          <w:b/>
          <w:sz w:val="24"/>
        </w:rPr>
        <w:t>4.1.1  信度分析</w:t>
      </w:r>
    </w:p>
    <w:p>
      <w:pPr>
        <w:spacing w:after="80"/>
        <w:ind w:firstLine="480"/>
      </w:pPr>
      <w:r>
        <w:rPr>
          <w:sz w:val="24"/>
        </w:rPr>
        <w:t>基于508份正式调研数据，本研究首先对各潜变量进行信度检验。结果显示，7个构念的Cronbach α系数均大于0.8，全部达到研究规范的合格标准（Huang et al.，2024；Sun &amp; Shu，2025），具体结果见表4.1。</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构念</w:t>
            </w:r>
          </w:p>
        </w:tc>
        <w:tc>
          <w:tcPr>
            <w:tcW w:type="dxa" w:w="2161"/>
          </w:tcPr>
          <w:p>
            <w:r>
              <w:t>Cronbach α</w:t>
            </w:r>
          </w:p>
        </w:tc>
        <w:tc>
          <w:tcPr>
            <w:tcW w:type="dxa" w:w="2161"/>
          </w:tcPr>
          <w:p>
            <w:r>
              <w:t>AVE</w:t>
            </w:r>
          </w:p>
        </w:tc>
        <w:tc>
          <w:tcPr>
            <w:tcW w:type="dxa" w:w="2161"/>
          </w:tcPr>
          <w:p>
            <w:r>
              <w:t>CR</w:t>
            </w:r>
          </w:p>
        </w:tc>
      </w:tr>
      <w:tr>
        <w:tc>
          <w:tcPr>
            <w:tcW w:type="dxa" w:w="2161"/>
          </w:tcPr>
          <w:p>
            <w:r>
              <w:t>政府政策与集群治理（GP）</w:t>
            </w:r>
          </w:p>
        </w:tc>
        <w:tc>
          <w:tcPr>
            <w:tcW w:type="dxa" w:w="2161"/>
          </w:tcPr>
          <w:p>
            <w:r>
              <w:t>0.862</w:t>
            </w:r>
          </w:p>
        </w:tc>
        <w:tc>
          <w:tcPr>
            <w:tcW w:type="dxa" w:w="2161"/>
          </w:tcPr>
          <w:p>
            <w:r>
              <w:t>0.614</w:t>
            </w:r>
          </w:p>
        </w:tc>
        <w:tc>
          <w:tcPr>
            <w:tcW w:type="dxa" w:w="2161"/>
          </w:tcPr>
          <w:p>
            <w:r>
              <w:t>0.827</w:t>
            </w:r>
          </w:p>
        </w:tc>
      </w:tr>
      <w:tr>
        <w:tc>
          <w:tcPr>
            <w:tcW w:type="dxa" w:w="2161"/>
          </w:tcPr>
          <w:p>
            <w:r>
              <w:t>人才支撑（TS）</w:t>
            </w:r>
          </w:p>
        </w:tc>
        <w:tc>
          <w:tcPr>
            <w:tcW w:type="dxa" w:w="2161"/>
          </w:tcPr>
          <w:p>
            <w:r>
              <w:t>0.854</w:t>
            </w:r>
          </w:p>
        </w:tc>
        <w:tc>
          <w:tcPr>
            <w:tcW w:type="dxa" w:w="2161"/>
          </w:tcPr>
          <w:p>
            <w:r>
              <w:t>0.608</w:t>
            </w:r>
          </w:p>
        </w:tc>
        <w:tc>
          <w:tcPr>
            <w:tcW w:type="dxa" w:w="2161"/>
          </w:tcPr>
          <w:p>
            <w:r>
              <w:t>0.822</w:t>
            </w:r>
          </w:p>
        </w:tc>
      </w:tr>
      <w:tr>
        <w:tc>
          <w:tcPr>
            <w:tcW w:type="dxa" w:w="2161"/>
          </w:tcPr>
          <w:p>
            <w:r>
              <w:t>基础设施建设（IF）</w:t>
            </w:r>
          </w:p>
        </w:tc>
        <w:tc>
          <w:tcPr>
            <w:tcW w:type="dxa" w:w="2161"/>
          </w:tcPr>
          <w:p>
            <w:r>
              <w:t>0.871</w:t>
            </w:r>
          </w:p>
        </w:tc>
        <w:tc>
          <w:tcPr>
            <w:tcW w:type="dxa" w:w="2161"/>
          </w:tcPr>
          <w:p>
            <w:r>
              <w:t>0.621</w:t>
            </w:r>
          </w:p>
        </w:tc>
        <w:tc>
          <w:tcPr>
            <w:tcW w:type="dxa" w:w="2161"/>
          </w:tcPr>
          <w:p>
            <w:r>
              <w:t>0.831</w:t>
            </w:r>
          </w:p>
        </w:tc>
      </w:tr>
      <w:tr>
        <w:tc>
          <w:tcPr>
            <w:tcW w:type="dxa" w:w="2161"/>
          </w:tcPr>
          <w:p>
            <w:r>
              <w:t>技术创新与应用（TI）</w:t>
            </w:r>
          </w:p>
        </w:tc>
        <w:tc>
          <w:tcPr>
            <w:tcW w:type="dxa" w:w="2161"/>
          </w:tcPr>
          <w:p>
            <w:r>
              <w:t>0.858</w:t>
            </w:r>
          </w:p>
        </w:tc>
        <w:tc>
          <w:tcPr>
            <w:tcW w:type="dxa" w:w="2161"/>
          </w:tcPr>
          <w:p>
            <w:r>
              <w:t>0.612</w:t>
            </w:r>
          </w:p>
        </w:tc>
        <w:tc>
          <w:tcPr>
            <w:tcW w:type="dxa" w:w="2161"/>
          </w:tcPr>
          <w:p>
            <w:r>
              <w:t>0.825</w:t>
            </w:r>
          </w:p>
        </w:tc>
      </w:tr>
      <w:tr>
        <w:tc>
          <w:tcPr>
            <w:tcW w:type="dxa" w:w="2161"/>
          </w:tcPr>
          <w:p>
            <w:r>
              <w:t>电商平台与数字技能（DS）</w:t>
            </w:r>
          </w:p>
        </w:tc>
        <w:tc>
          <w:tcPr>
            <w:tcW w:type="dxa" w:w="2161"/>
          </w:tcPr>
          <w:p>
            <w:r>
              <w:t>0.866</w:t>
            </w:r>
          </w:p>
        </w:tc>
        <w:tc>
          <w:tcPr>
            <w:tcW w:type="dxa" w:w="2161"/>
          </w:tcPr>
          <w:p>
            <w:r>
              <w:t>0.618</w:t>
            </w:r>
          </w:p>
        </w:tc>
        <w:tc>
          <w:tcPr>
            <w:tcW w:type="dxa" w:w="2161"/>
          </w:tcPr>
          <w:p>
            <w:r>
              <w:t>0.829</w:t>
            </w:r>
          </w:p>
        </w:tc>
      </w:tr>
      <w:tr>
        <w:tc>
          <w:tcPr>
            <w:tcW w:type="dxa" w:w="2161"/>
          </w:tcPr>
          <w:p>
            <w:r>
              <w:t>自然环境与资源禀赋（EN）</w:t>
            </w:r>
          </w:p>
        </w:tc>
        <w:tc>
          <w:tcPr>
            <w:tcW w:type="dxa" w:w="2161"/>
          </w:tcPr>
          <w:p>
            <w:r>
              <w:t>0.849</w:t>
            </w:r>
          </w:p>
        </w:tc>
        <w:tc>
          <w:tcPr>
            <w:tcW w:type="dxa" w:w="2161"/>
          </w:tcPr>
          <w:p>
            <w:r>
              <w:t>0.601</w:t>
            </w:r>
          </w:p>
        </w:tc>
        <w:tc>
          <w:tcPr>
            <w:tcW w:type="dxa" w:w="2161"/>
          </w:tcPr>
          <w:p>
            <w:r>
              <w:t>0.818</w:t>
            </w:r>
          </w:p>
        </w:tc>
      </w:tr>
      <w:tr>
        <w:tc>
          <w:tcPr>
            <w:tcW w:type="dxa" w:w="2161"/>
          </w:tcPr>
          <w:p>
            <w:r>
              <w:t>集群电商经济发展水平（CDL）</w:t>
            </w:r>
          </w:p>
        </w:tc>
        <w:tc>
          <w:tcPr>
            <w:tcW w:type="dxa" w:w="2161"/>
          </w:tcPr>
          <w:p>
            <w:r>
              <w:t>0.875</w:t>
            </w:r>
          </w:p>
        </w:tc>
        <w:tc>
          <w:tcPr>
            <w:tcW w:type="dxa" w:w="2161"/>
          </w:tcPr>
          <w:p>
            <w:r>
              <w:t>0.627</w:t>
            </w:r>
          </w:p>
        </w:tc>
        <w:tc>
          <w:tcPr>
            <w:tcW w:type="dxa" w:w="2161"/>
          </w:tcPr>
          <w:p>
            <w:r>
              <w:t>0.834</w:t>
            </w:r>
          </w:p>
        </w:tc>
      </w:tr>
      <w:tr>
        <w:tc>
          <w:tcPr>
            <w:tcW w:type="dxa" w:w="2161"/>
          </w:tcPr>
          <w:p/>
        </w:tc>
        <w:tc>
          <w:tcPr>
            <w:tcW w:type="dxa" w:w="2161"/>
          </w:tcPr>
          <w:p/>
        </w:tc>
        <w:tc>
          <w:tcPr>
            <w:tcW w:type="dxa" w:w="2161"/>
          </w:tcPr>
          <w:p/>
        </w:tc>
        <w:tc>
          <w:tcPr>
            <w:tcW w:type="dxa" w:w="2161"/>
          </w:tcPr>
          <w:p/>
        </w:tc>
      </w:tr>
    </w:tbl>
    <w:p>
      <w:pPr>
        <w:spacing w:after="80"/>
        <w:ind w:firstLine="480"/>
      </w:pPr>
      <w:r>
        <w:rPr>
          <w:sz w:val="24"/>
        </w:rPr>
        <w:t>表4.1  各构念信效度统计结果（N=508）</w:t>
      </w:r>
    </w:p>
    <w:p>
      <w:pPr>
        <w:spacing w:after="80"/>
        <w:ind w:firstLine="480"/>
      </w:pPr>
      <w:r>
        <w:rPr>
          <w:sz w:val="24"/>
        </w:rPr>
        <w:t>注：所有α&gt;0.8、AVE&gt;0.5、CR&gt;0.7，满足Huang et al.（2024）和Sun &amp; Shu（2025）确立的信效度判断标准。</w:t>
      </w:r>
    </w:p>
    <w:p>
      <w:r>
        <w:rPr>
          <w:b/>
          <w:sz w:val="24"/>
        </w:rPr>
        <w:t>4.1.2  验证性因子分析（CFA）</w:t>
      </w:r>
    </w:p>
    <w:p>
      <w:pPr>
        <w:spacing w:after="80"/>
        <w:ind w:firstLine="480"/>
      </w:pPr>
      <w:r>
        <w:rPr>
          <w:sz w:val="24"/>
        </w:rPr>
        <w:t>利用AMOS 26.0对508份正式调研数据进行验证性因子分析（CFA）。结果显示，所有题项的标准化因子载荷（FL）均大于0.7（范围：0.770—0.796），远超FL&gt;0.5的最低标准（Huang et al.，2024；Um et al.，2023）；各构念的AVE均大于0.5、CR均大于0.7，聚合效度良好。具体CFA结果见表4.2。</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t>题项</w:t>
            </w:r>
          </w:p>
        </w:tc>
        <w:tc>
          <w:tcPr>
            <w:tcW w:type="dxa" w:w="2161"/>
          </w:tcPr>
          <w:p>
            <w:r>
              <w:t>标准化因子载荷</w:t>
            </w:r>
          </w:p>
        </w:tc>
        <w:tc>
          <w:tcPr>
            <w:tcW w:type="dxa" w:w="2161"/>
          </w:tcPr>
          <w:p>
            <w:r>
              <w:t>构念AVE</w:t>
            </w:r>
          </w:p>
        </w:tc>
        <w:tc>
          <w:tcPr>
            <w:tcW w:type="dxa" w:w="2161"/>
          </w:tcPr>
          <w:p>
            <w:r>
              <w:t>构念CR</w:t>
            </w:r>
          </w:p>
        </w:tc>
      </w:tr>
      <w:tr>
        <w:tc>
          <w:tcPr>
            <w:tcW w:type="dxa" w:w="2161"/>
          </w:tcPr>
          <w:p>
            <w:r>
              <w:t>GP1</w:t>
            </w:r>
          </w:p>
        </w:tc>
        <w:tc>
          <w:tcPr>
            <w:tcW w:type="dxa" w:w="2161"/>
          </w:tcPr>
          <w:p>
            <w:r>
              <w:t>0.784</w:t>
            </w:r>
          </w:p>
        </w:tc>
        <w:tc>
          <w:tcPr>
            <w:tcW w:type="dxa" w:w="2161"/>
          </w:tcPr>
          <w:p>
            <w:r>
              <w:t>0.614</w:t>
            </w:r>
          </w:p>
        </w:tc>
        <w:tc>
          <w:tcPr>
            <w:tcW w:type="dxa" w:w="2161"/>
          </w:tcPr>
          <w:p>
            <w:r>
              <w:t>0.827</w:t>
            </w:r>
          </w:p>
        </w:tc>
      </w:tr>
      <w:tr>
        <w:tc>
          <w:tcPr>
            <w:tcW w:type="dxa" w:w="2161"/>
          </w:tcPr>
          <w:p>
            <w:r>
              <w:t>GP2</w:t>
            </w:r>
          </w:p>
        </w:tc>
        <w:tc>
          <w:tcPr>
            <w:tcW w:type="dxa" w:w="2161"/>
          </w:tcPr>
          <w:p>
            <w:r>
              <w:t>0.792</w:t>
            </w:r>
          </w:p>
        </w:tc>
        <w:tc>
          <w:tcPr>
            <w:tcW w:type="dxa" w:w="2161"/>
          </w:tcPr>
          <w:p>
            <w:r/>
          </w:p>
        </w:tc>
        <w:tc>
          <w:tcPr>
            <w:tcW w:type="dxa" w:w="2161"/>
          </w:tcPr>
          <w:p>
            <w:r/>
          </w:p>
        </w:tc>
      </w:tr>
      <w:tr>
        <w:tc>
          <w:tcPr>
            <w:tcW w:type="dxa" w:w="2161"/>
          </w:tcPr>
          <w:p>
            <w:r>
              <w:t>GP3</w:t>
            </w:r>
          </w:p>
        </w:tc>
        <w:tc>
          <w:tcPr>
            <w:tcW w:type="dxa" w:w="2161"/>
          </w:tcPr>
          <w:p>
            <w:r>
              <w:t>0.771</w:t>
            </w:r>
          </w:p>
        </w:tc>
        <w:tc>
          <w:tcPr>
            <w:tcW w:type="dxa" w:w="2161"/>
          </w:tcPr>
          <w:p>
            <w:r/>
          </w:p>
        </w:tc>
        <w:tc>
          <w:tcPr>
            <w:tcW w:type="dxa" w:w="2161"/>
          </w:tcPr>
          <w:p>
            <w:r/>
          </w:p>
        </w:tc>
      </w:tr>
      <w:tr>
        <w:tc>
          <w:tcPr>
            <w:tcW w:type="dxa" w:w="2161"/>
          </w:tcPr>
          <w:p>
            <w:r>
              <w:t>TS1</w:t>
            </w:r>
          </w:p>
        </w:tc>
        <w:tc>
          <w:tcPr>
            <w:tcW w:type="dxa" w:w="2161"/>
          </w:tcPr>
          <w:p>
            <w:r>
              <w:t>0.776</w:t>
            </w:r>
          </w:p>
        </w:tc>
        <w:tc>
          <w:tcPr>
            <w:tcW w:type="dxa" w:w="2161"/>
          </w:tcPr>
          <w:p>
            <w:r>
              <w:t>0.608</w:t>
            </w:r>
          </w:p>
        </w:tc>
        <w:tc>
          <w:tcPr>
            <w:tcW w:type="dxa" w:w="2161"/>
          </w:tcPr>
          <w:p>
            <w:r>
              <w:t>0.822</w:t>
            </w:r>
          </w:p>
        </w:tc>
      </w:tr>
      <w:tr>
        <w:tc>
          <w:tcPr>
            <w:tcW w:type="dxa" w:w="2161"/>
          </w:tcPr>
          <w:p>
            <w:r>
              <w:t>TS2</w:t>
            </w:r>
          </w:p>
        </w:tc>
        <w:tc>
          <w:tcPr>
            <w:tcW w:type="dxa" w:w="2161"/>
          </w:tcPr>
          <w:p>
            <w:r>
              <w:t>0.789</w:t>
            </w:r>
          </w:p>
        </w:tc>
        <w:tc>
          <w:tcPr>
            <w:tcW w:type="dxa" w:w="2161"/>
          </w:tcPr>
          <w:p>
            <w:r/>
          </w:p>
        </w:tc>
        <w:tc>
          <w:tcPr>
            <w:tcW w:type="dxa" w:w="2161"/>
          </w:tcPr>
          <w:p>
            <w:r/>
          </w:p>
        </w:tc>
      </w:tr>
      <w:tr>
        <w:tc>
          <w:tcPr>
            <w:tcW w:type="dxa" w:w="2161"/>
          </w:tcPr>
          <w:p>
            <w:r>
              <w:t>TS3</w:t>
            </w:r>
          </w:p>
        </w:tc>
        <w:tc>
          <w:tcPr>
            <w:tcW w:type="dxa" w:w="2161"/>
          </w:tcPr>
          <w:p>
            <w:r>
              <w:t>0.773</w:t>
            </w:r>
          </w:p>
        </w:tc>
        <w:tc>
          <w:tcPr>
            <w:tcW w:type="dxa" w:w="2161"/>
          </w:tcPr>
          <w:p>
            <w:r/>
          </w:p>
        </w:tc>
        <w:tc>
          <w:tcPr>
            <w:tcW w:type="dxa" w:w="2161"/>
          </w:tcPr>
          <w:p>
            <w:r/>
          </w:p>
        </w:tc>
      </w:tr>
      <w:tr>
        <w:tc>
          <w:tcPr>
            <w:tcW w:type="dxa" w:w="2161"/>
          </w:tcPr>
          <w:p>
            <w:r>
              <w:t>IF1</w:t>
            </w:r>
          </w:p>
        </w:tc>
        <w:tc>
          <w:tcPr>
            <w:tcW w:type="dxa" w:w="2161"/>
          </w:tcPr>
          <w:p>
            <w:r>
              <w:t>0.791</w:t>
            </w:r>
          </w:p>
        </w:tc>
        <w:tc>
          <w:tcPr>
            <w:tcW w:type="dxa" w:w="2161"/>
          </w:tcPr>
          <w:p>
            <w:r>
              <w:t>0.621</w:t>
            </w:r>
          </w:p>
        </w:tc>
        <w:tc>
          <w:tcPr>
            <w:tcW w:type="dxa" w:w="2161"/>
          </w:tcPr>
          <w:p>
            <w:r>
              <w:t>0.831</w:t>
            </w:r>
          </w:p>
        </w:tc>
      </w:tr>
      <w:tr>
        <w:tc>
          <w:tcPr>
            <w:tcW w:type="dxa" w:w="2161"/>
          </w:tcPr>
          <w:p>
            <w:r>
              <w:t>IF2</w:t>
            </w:r>
          </w:p>
        </w:tc>
        <w:tc>
          <w:tcPr>
            <w:tcW w:type="dxa" w:w="2161"/>
          </w:tcPr>
          <w:p>
            <w:r>
              <w:t>0.783</w:t>
            </w:r>
          </w:p>
        </w:tc>
        <w:tc>
          <w:tcPr>
            <w:tcW w:type="dxa" w:w="2161"/>
          </w:tcPr>
          <w:p>
            <w:r/>
          </w:p>
        </w:tc>
        <w:tc>
          <w:tcPr>
            <w:tcW w:type="dxa" w:w="2161"/>
          </w:tcPr>
          <w:p>
            <w:r/>
          </w:p>
        </w:tc>
      </w:tr>
      <w:tr>
        <w:tc>
          <w:tcPr>
            <w:tcW w:type="dxa" w:w="2161"/>
          </w:tcPr>
          <w:p>
            <w:r>
              <w:t>IF3</w:t>
            </w:r>
          </w:p>
        </w:tc>
        <w:tc>
          <w:tcPr>
            <w:tcW w:type="dxa" w:w="2161"/>
          </w:tcPr>
          <w:p>
            <w:r>
              <w:t>0.795</w:t>
            </w:r>
          </w:p>
        </w:tc>
        <w:tc>
          <w:tcPr>
            <w:tcW w:type="dxa" w:w="2161"/>
          </w:tcPr>
          <w:p>
            <w:r/>
          </w:p>
        </w:tc>
        <w:tc>
          <w:tcPr>
            <w:tcW w:type="dxa" w:w="2161"/>
          </w:tcPr>
          <w:p>
            <w:r/>
          </w:p>
        </w:tc>
      </w:tr>
      <w:tr>
        <w:tc>
          <w:tcPr>
            <w:tcW w:type="dxa" w:w="2161"/>
          </w:tcPr>
          <w:p>
            <w:r>
              <w:t>TI1</w:t>
            </w:r>
          </w:p>
        </w:tc>
        <w:tc>
          <w:tcPr>
            <w:tcW w:type="dxa" w:w="2161"/>
          </w:tcPr>
          <w:p>
            <w:r>
              <w:t>0.780</w:t>
            </w:r>
          </w:p>
        </w:tc>
        <w:tc>
          <w:tcPr>
            <w:tcW w:type="dxa" w:w="2161"/>
          </w:tcPr>
          <w:p>
            <w:r>
              <w:t>0.612</w:t>
            </w:r>
          </w:p>
        </w:tc>
        <w:tc>
          <w:tcPr>
            <w:tcW w:type="dxa" w:w="2161"/>
          </w:tcPr>
          <w:p>
            <w:r>
              <w:t>0.825</w:t>
            </w:r>
          </w:p>
        </w:tc>
      </w:tr>
      <w:tr>
        <w:tc>
          <w:tcPr>
            <w:tcW w:type="dxa" w:w="2161"/>
          </w:tcPr>
          <w:p>
            <w:r>
              <w:t>TI2</w:t>
            </w:r>
          </w:p>
        </w:tc>
        <w:tc>
          <w:tcPr>
            <w:tcW w:type="dxa" w:w="2161"/>
          </w:tcPr>
          <w:p>
            <w:r>
              <w:t>0.777</w:t>
            </w:r>
          </w:p>
        </w:tc>
        <w:tc>
          <w:tcPr>
            <w:tcW w:type="dxa" w:w="2161"/>
          </w:tcPr>
          <w:p>
            <w:r/>
          </w:p>
        </w:tc>
        <w:tc>
          <w:tcPr>
            <w:tcW w:type="dxa" w:w="2161"/>
          </w:tcPr>
          <w:p>
            <w:r/>
          </w:p>
        </w:tc>
      </w:tr>
      <w:tr>
        <w:tc>
          <w:tcPr>
            <w:tcW w:type="dxa" w:w="2161"/>
          </w:tcPr>
          <w:p>
            <w:r>
              <w:t>TI3</w:t>
            </w:r>
          </w:p>
        </w:tc>
        <w:tc>
          <w:tcPr>
            <w:tcW w:type="dxa" w:w="2161"/>
          </w:tcPr>
          <w:p>
            <w:r>
              <w:t>0.792</w:t>
            </w:r>
          </w:p>
        </w:tc>
        <w:tc>
          <w:tcPr>
            <w:tcW w:type="dxa" w:w="2161"/>
          </w:tcPr>
          <w:p>
            <w:r/>
          </w:p>
        </w:tc>
        <w:tc>
          <w:tcPr>
            <w:tcW w:type="dxa" w:w="2161"/>
          </w:tcPr>
          <w:p>
            <w:r/>
          </w:p>
        </w:tc>
      </w:tr>
      <w:tr>
        <w:tc>
          <w:tcPr>
            <w:tcW w:type="dxa" w:w="2161"/>
          </w:tcPr>
          <w:p>
            <w:r>
              <w:t>DS1</w:t>
            </w:r>
          </w:p>
        </w:tc>
        <w:tc>
          <w:tcPr>
            <w:tcW w:type="dxa" w:w="2161"/>
          </w:tcPr>
          <w:p>
            <w:r>
              <w:t>0.785</w:t>
            </w:r>
          </w:p>
        </w:tc>
        <w:tc>
          <w:tcPr>
            <w:tcW w:type="dxa" w:w="2161"/>
          </w:tcPr>
          <w:p>
            <w:r>
              <w:t>0.618</w:t>
            </w:r>
          </w:p>
        </w:tc>
        <w:tc>
          <w:tcPr>
            <w:tcW w:type="dxa" w:w="2161"/>
          </w:tcPr>
          <w:p>
            <w:r>
              <w:t>0.829</w:t>
            </w:r>
          </w:p>
        </w:tc>
      </w:tr>
      <w:tr>
        <w:tc>
          <w:tcPr>
            <w:tcW w:type="dxa" w:w="2161"/>
          </w:tcPr>
          <w:p>
            <w:r>
              <w:t>DS2</w:t>
            </w:r>
          </w:p>
        </w:tc>
        <w:tc>
          <w:tcPr>
            <w:tcW w:type="dxa" w:w="2161"/>
          </w:tcPr>
          <w:p>
            <w:r>
              <w:t>0.791</w:t>
            </w:r>
          </w:p>
        </w:tc>
        <w:tc>
          <w:tcPr>
            <w:tcW w:type="dxa" w:w="2161"/>
          </w:tcPr>
          <w:p>
            <w:r/>
          </w:p>
        </w:tc>
        <w:tc>
          <w:tcPr>
            <w:tcW w:type="dxa" w:w="2161"/>
          </w:tcPr>
          <w:p>
            <w:r/>
          </w:p>
        </w:tc>
      </w:tr>
      <w:tr>
        <w:tc>
          <w:tcPr>
            <w:tcW w:type="dxa" w:w="2161"/>
          </w:tcPr>
          <w:p>
            <w:r>
              <w:t>DS3</w:t>
            </w:r>
          </w:p>
        </w:tc>
        <w:tc>
          <w:tcPr>
            <w:tcW w:type="dxa" w:w="2161"/>
          </w:tcPr>
          <w:p>
            <w:r>
              <w:t>0.783</w:t>
            </w:r>
          </w:p>
        </w:tc>
        <w:tc>
          <w:tcPr>
            <w:tcW w:type="dxa" w:w="2161"/>
          </w:tcPr>
          <w:p>
            <w:r/>
          </w:p>
        </w:tc>
        <w:tc>
          <w:tcPr>
            <w:tcW w:type="dxa" w:w="2161"/>
          </w:tcPr>
          <w:p>
            <w:r/>
          </w:p>
        </w:tc>
      </w:tr>
      <w:tr>
        <w:tc>
          <w:tcPr>
            <w:tcW w:type="dxa" w:w="2161"/>
          </w:tcPr>
          <w:p>
            <w:r>
              <w:t>EN1</w:t>
            </w:r>
          </w:p>
        </w:tc>
        <w:tc>
          <w:tcPr>
            <w:tcW w:type="dxa" w:w="2161"/>
          </w:tcPr>
          <w:p>
            <w:r>
              <w:t>0.773</w:t>
            </w:r>
          </w:p>
        </w:tc>
        <w:tc>
          <w:tcPr>
            <w:tcW w:type="dxa" w:w="2161"/>
          </w:tcPr>
          <w:p>
            <w:r>
              <w:t>0.601</w:t>
            </w:r>
          </w:p>
        </w:tc>
        <w:tc>
          <w:tcPr>
            <w:tcW w:type="dxa" w:w="2161"/>
          </w:tcPr>
          <w:p>
            <w:r>
              <w:t>0.818</w:t>
            </w:r>
          </w:p>
        </w:tc>
      </w:tr>
      <w:tr>
        <w:tc>
          <w:tcPr>
            <w:tcW w:type="dxa" w:w="2161"/>
          </w:tcPr>
          <w:p>
            <w:r>
              <w:t>EN2</w:t>
            </w:r>
          </w:p>
        </w:tc>
        <w:tc>
          <w:tcPr>
            <w:tcW w:type="dxa" w:w="2161"/>
          </w:tcPr>
          <w:p>
            <w:r>
              <w:t>0.770</w:t>
            </w:r>
          </w:p>
        </w:tc>
        <w:tc>
          <w:tcPr>
            <w:tcW w:type="dxa" w:w="2161"/>
          </w:tcPr>
          <w:p>
            <w:r/>
          </w:p>
        </w:tc>
        <w:tc>
          <w:tcPr>
            <w:tcW w:type="dxa" w:w="2161"/>
          </w:tcPr>
          <w:p>
            <w:r/>
          </w:p>
        </w:tc>
      </w:tr>
      <w:tr>
        <w:tc>
          <w:tcPr>
            <w:tcW w:type="dxa" w:w="2161"/>
          </w:tcPr>
          <w:p>
            <w:r>
              <w:t>EN3</w:t>
            </w:r>
          </w:p>
        </w:tc>
        <w:tc>
          <w:tcPr>
            <w:tcW w:type="dxa" w:w="2161"/>
          </w:tcPr>
          <w:p>
            <w:r>
              <w:t>0.781</w:t>
            </w:r>
          </w:p>
        </w:tc>
        <w:tc>
          <w:tcPr>
            <w:tcW w:type="dxa" w:w="2161"/>
          </w:tcPr>
          <w:p>
            <w:r/>
          </w:p>
        </w:tc>
        <w:tc>
          <w:tcPr>
            <w:tcW w:type="dxa" w:w="2161"/>
          </w:tcPr>
          <w:p>
            <w:r/>
          </w:p>
        </w:tc>
      </w:tr>
      <w:tr>
        <w:tc>
          <w:tcPr>
            <w:tcW w:type="dxa" w:w="2161"/>
          </w:tcPr>
          <w:p>
            <w:r>
              <w:t>CDL1</w:t>
            </w:r>
          </w:p>
        </w:tc>
        <w:tc>
          <w:tcPr>
            <w:tcW w:type="dxa" w:w="2161"/>
          </w:tcPr>
          <w:p>
            <w:r>
              <w:t>0.793</w:t>
            </w:r>
          </w:p>
        </w:tc>
        <w:tc>
          <w:tcPr>
            <w:tcW w:type="dxa" w:w="2161"/>
          </w:tcPr>
          <w:p>
            <w:r>
              <w:t>0.627</w:t>
            </w:r>
          </w:p>
        </w:tc>
        <w:tc>
          <w:tcPr>
            <w:tcW w:type="dxa" w:w="2161"/>
          </w:tcPr>
          <w:p>
            <w:r>
              <w:t>0.834</w:t>
            </w:r>
          </w:p>
        </w:tc>
      </w:tr>
      <w:tr>
        <w:tc>
          <w:tcPr>
            <w:tcW w:type="dxa" w:w="2161"/>
          </w:tcPr>
          <w:p>
            <w:r>
              <w:t>CDL2</w:t>
            </w:r>
          </w:p>
        </w:tc>
        <w:tc>
          <w:tcPr>
            <w:tcW w:type="dxa" w:w="2161"/>
          </w:tcPr>
          <w:p>
            <w:r>
              <w:t>0.796</w:t>
            </w:r>
          </w:p>
        </w:tc>
        <w:tc>
          <w:tcPr>
            <w:tcW w:type="dxa" w:w="2161"/>
          </w:tcPr>
          <w:p>
            <w:r/>
          </w:p>
        </w:tc>
        <w:tc>
          <w:tcPr>
            <w:tcW w:type="dxa" w:w="2161"/>
          </w:tcPr>
          <w:p>
            <w:r/>
          </w:p>
        </w:tc>
      </w:tr>
      <w:tr>
        <w:tc>
          <w:tcPr>
            <w:tcW w:type="dxa" w:w="2161"/>
          </w:tcPr>
          <w:p>
            <w:r>
              <w:t>CDL3</w:t>
            </w:r>
          </w:p>
        </w:tc>
        <w:tc>
          <w:tcPr>
            <w:tcW w:type="dxa" w:w="2161"/>
          </w:tcPr>
          <w:p>
            <w:r>
              <w:t>0.784</w:t>
            </w:r>
          </w:p>
        </w:tc>
        <w:tc>
          <w:tcPr>
            <w:tcW w:type="dxa" w:w="2161"/>
          </w:tcPr>
          <w:p>
            <w:r/>
          </w:p>
        </w:tc>
        <w:tc>
          <w:tcPr>
            <w:tcW w:type="dxa" w:w="2161"/>
          </w:tcPr>
          <w:p>
            <w:r/>
          </w:p>
        </w:tc>
      </w:tr>
      <w:tr>
        <w:tc>
          <w:tcPr>
            <w:tcW w:type="dxa" w:w="2161"/>
          </w:tcPr>
          <w:p/>
        </w:tc>
        <w:tc>
          <w:tcPr>
            <w:tcW w:type="dxa" w:w="2161"/>
          </w:tcPr>
          <w:p/>
        </w:tc>
        <w:tc>
          <w:tcPr>
            <w:tcW w:type="dxa" w:w="2161"/>
          </w:tcPr>
          <w:p/>
        </w:tc>
        <w:tc>
          <w:tcPr>
            <w:tcW w:type="dxa" w:w="2161"/>
          </w:tcPr>
          <w:p/>
        </w:tc>
      </w:tr>
    </w:tbl>
    <w:p>
      <w:pPr>
        <w:spacing w:after="80"/>
        <w:ind w:firstLine="480"/>
      </w:pPr>
      <w:r>
        <w:rPr>
          <w:sz w:val="24"/>
        </w:rPr>
        <w:t>表4.2  验证性因子分析结果（N=508）</w:t>
      </w:r>
    </w:p>
    <w:p>
      <w:r>
        <w:rPr>
          <w:b/>
          <w:sz w:val="24"/>
        </w:rPr>
        <w:t>4.1.3  区分效度检验</w:t>
      </w:r>
    </w:p>
    <w:p>
      <w:pPr>
        <w:spacing w:after="80"/>
        <w:ind w:firstLine="480"/>
      </w:pPr>
      <w:r>
        <w:rPr>
          <w:sz w:val="24"/>
        </w:rPr>
        <w:t>依据Fornell-Larcker准则（Huang et al.，2024；Sun &amp; Shu，2025），每个构念的AVE平方根（√AVE）应大于该构念与其他构念之间的相关系数。本研究各构念的√AVE值为：GP=0.784、TS=0.780、IF=0.788、TI=0.782、DS=0.786、EN=0.775、CDL=0.792，均显著大于各构念间相关系数（最大相关系数为0.22），区分效度良好，具体结果见表4.3。</w:t>
      </w:r>
    </w:p>
    <w:tbl>
      <w:tblPr>
        <w:tblStyle w:val="TableGrid"/>
        <w:tblW w:type="auto" w:w="0"/>
        <w:tblLook w:firstColumn="1" w:firstRow="1" w:lastColumn="0" w:lastRow="0" w:noHBand="0" w:noVBand="1" w:val="04A0"/>
      </w:tblPr>
      <w:tblGrid>
        <w:gridCol w:w="1081"/>
        <w:gridCol w:w="1081"/>
        <w:gridCol w:w="1081"/>
        <w:gridCol w:w="1081"/>
        <w:gridCol w:w="1081"/>
        <w:gridCol w:w="1081"/>
        <w:gridCol w:w="1081"/>
        <w:gridCol w:w="1081"/>
      </w:tblGrid>
      <w:tr>
        <w:tc>
          <w:tcPr>
            <w:tcW w:type="dxa" w:w="1081"/>
          </w:tcPr>
          <w:p>
            <w:r/>
          </w:p>
        </w:tc>
        <w:tc>
          <w:tcPr>
            <w:tcW w:type="dxa" w:w="1081"/>
          </w:tcPr>
          <w:p>
            <w:r>
              <w:t>GP</w:t>
            </w:r>
          </w:p>
        </w:tc>
        <w:tc>
          <w:tcPr>
            <w:tcW w:type="dxa" w:w="1081"/>
          </w:tcPr>
          <w:p>
            <w:r>
              <w:t>TS</w:t>
            </w:r>
          </w:p>
        </w:tc>
        <w:tc>
          <w:tcPr>
            <w:tcW w:type="dxa" w:w="1081"/>
          </w:tcPr>
          <w:p>
            <w:r>
              <w:t>IF</w:t>
            </w:r>
          </w:p>
        </w:tc>
        <w:tc>
          <w:tcPr>
            <w:tcW w:type="dxa" w:w="1081"/>
          </w:tcPr>
          <w:p>
            <w:r>
              <w:t>TI</w:t>
            </w:r>
          </w:p>
        </w:tc>
        <w:tc>
          <w:tcPr>
            <w:tcW w:type="dxa" w:w="1081"/>
          </w:tcPr>
          <w:p>
            <w:r>
              <w:t>DS</w:t>
            </w:r>
          </w:p>
        </w:tc>
        <w:tc>
          <w:tcPr>
            <w:tcW w:type="dxa" w:w="1081"/>
          </w:tcPr>
          <w:p>
            <w:r>
              <w:t>EN</w:t>
            </w:r>
          </w:p>
        </w:tc>
        <w:tc>
          <w:tcPr>
            <w:tcW w:type="dxa" w:w="1081"/>
          </w:tcPr>
          <w:p>
            <w:r>
              <w:t>CDL</w:t>
            </w:r>
          </w:p>
        </w:tc>
      </w:tr>
      <w:tr>
        <w:tc>
          <w:tcPr>
            <w:tcW w:type="dxa" w:w="1081"/>
          </w:tcPr>
          <w:p>
            <w:r>
              <w:t>GP</w:t>
            </w:r>
          </w:p>
        </w:tc>
        <w:tc>
          <w:tcPr>
            <w:tcW w:type="dxa" w:w="1081"/>
          </w:tcPr>
          <w:p>
            <w:r>
              <w:t>0.784</w:t>
            </w:r>
          </w:p>
        </w:tc>
        <w:tc>
          <w:tcPr>
            <w:tcW w:type="dxa" w:w="1081"/>
          </w:tcPr>
          <w:p>
            <w:r>
              <w:t>0.18</w:t>
            </w:r>
          </w:p>
        </w:tc>
        <w:tc>
          <w:tcPr>
            <w:tcW w:type="dxa" w:w="1081"/>
          </w:tcPr>
          <w:p>
            <w:r>
              <w:t>0.22</w:t>
            </w:r>
          </w:p>
        </w:tc>
        <w:tc>
          <w:tcPr>
            <w:tcW w:type="dxa" w:w="1081"/>
          </w:tcPr>
          <w:p>
            <w:r>
              <w:t>0.09</w:t>
            </w:r>
          </w:p>
        </w:tc>
        <w:tc>
          <w:tcPr>
            <w:tcW w:type="dxa" w:w="1081"/>
          </w:tcPr>
          <w:p>
            <w:r>
              <w:t>0.11</w:t>
            </w:r>
          </w:p>
        </w:tc>
        <w:tc>
          <w:tcPr>
            <w:tcW w:type="dxa" w:w="1081"/>
          </w:tcPr>
          <w:p>
            <w:r>
              <w:t>0.07</w:t>
            </w:r>
          </w:p>
        </w:tc>
        <w:tc>
          <w:tcPr>
            <w:tcW w:type="dxa" w:w="1081"/>
          </w:tcPr>
          <w:p>
            <w:r>
              <w:t>0.13</w:t>
            </w:r>
          </w:p>
        </w:tc>
      </w:tr>
      <w:tr>
        <w:tc>
          <w:tcPr>
            <w:tcW w:type="dxa" w:w="1081"/>
          </w:tcPr>
          <w:p>
            <w:r>
              <w:t>TS</w:t>
            </w:r>
          </w:p>
        </w:tc>
        <w:tc>
          <w:tcPr>
            <w:tcW w:type="dxa" w:w="1081"/>
          </w:tcPr>
          <w:p>
            <w:r>
              <w:t>—</w:t>
            </w:r>
          </w:p>
        </w:tc>
        <w:tc>
          <w:tcPr>
            <w:tcW w:type="dxa" w:w="1081"/>
          </w:tcPr>
          <w:p>
            <w:r>
              <w:t>0.780</w:t>
            </w:r>
          </w:p>
        </w:tc>
        <w:tc>
          <w:tcPr>
            <w:tcW w:type="dxa" w:w="1081"/>
          </w:tcPr>
          <w:p>
            <w:r>
              <w:t>0.20</w:t>
            </w:r>
          </w:p>
        </w:tc>
        <w:tc>
          <w:tcPr>
            <w:tcW w:type="dxa" w:w="1081"/>
          </w:tcPr>
          <w:p>
            <w:r>
              <w:t>0.12</w:t>
            </w:r>
          </w:p>
        </w:tc>
        <w:tc>
          <w:tcPr>
            <w:tcW w:type="dxa" w:w="1081"/>
          </w:tcPr>
          <w:p>
            <w:r>
              <w:t>0.08</w:t>
            </w:r>
          </w:p>
        </w:tc>
        <w:tc>
          <w:tcPr>
            <w:tcW w:type="dxa" w:w="1081"/>
          </w:tcPr>
          <w:p>
            <w:r>
              <w:t>0.10</w:t>
            </w:r>
          </w:p>
        </w:tc>
        <w:tc>
          <w:tcPr>
            <w:tcW w:type="dxa" w:w="1081"/>
          </w:tcPr>
          <w:p>
            <w:r>
              <w:t>0.15</w:t>
            </w:r>
          </w:p>
        </w:tc>
      </w:tr>
      <w:tr>
        <w:tc>
          <w:tcPr>
            <w:tcW w:type="dxa" w:w="1081"/>
          </w:tcPr>
          <w:p>
            <w:r>
              <w:t>IF</w:t>
            </w:r>
          </w:p>
        </w:tc>
        <w:tc>
          <w:tcPr>
            <w:tcW w:type="dxa" w:w="1081"/>
          </w:tcPr>
          <w:p>
            <w:r>
              <w:t>—</w:t>
            </w:r>
          </w:p>
        </w:tc>
        <w:tc>
          <w:tcPr>
            <w:tcW w:type="dxa" w:w="1081"/>
          </w:tcPr>
          <w:p>
            <w:r>
              <w:t>—</w:t>
            </w:r>
          </w:p>
        </w:tc>
        <w:tc>
          <w:tcPr>
            <w:tcW w:type="dxa" w:w="1081"/>
          </w:tcPr>
          <w:p>
            <w:r>
              <w:t>0.788</w:t>
            </w:r>
          </w:p>
        </w:tc>
        <w:tc>
          <w:tcPr>
            <w:tcW w:type="dxa" w:w="1081"/>
          </w:tcPr>
          <w:p>
            <w:r>
              <w:t>0.10</w:t>
            </w:r>
          </w:p>
        </w:tc>
        <w:tc>
          <w:tcPr>
            <w:tcW w:type="dxa" w:w="1081"/>
          </w:tcPr>
          <w:p>
            <w:r>
              <w:t>0.14</w:t>
            </w:r>
          </w:p>
        </w:tc>
        <w:tc>
          <w:tcPr>
            <w:tcW w:type="dxa" w:w="1081"/>
          </w:tcPr>
          <w:p>
            <w:r>
              <w:t>0.06</w:t>
            </w:r>
          </w:p>
        </w:tc>
        <w:tc>
          <w:tcPr>
            <w:tcW w:type="dxa" w:w="1081"/>
          </w:tcPr>
          <w:p>
            <w:r>
              <w:t>0.19</w:t>
            </w:r>
          </w:p>
        </w:tc>
      </w:tr>
      <w:tr>
        <w:tc>
          <w:tcPr>
            <w:tcW w:type="dxa" w:w="1081"/>
          </w:tcPr>
          <w:p>
            <w:r>
              <w:t>TI</w:t>
            </w:r>
          </w:p>
        </w:tc>
        <w:tc>
          <w:tcPr>
            <w:tcW w:type="dxa" w:w="1081"/>
          </w:tcPr>
          <w:p>
            <w:r>
              <w:t>—</w:t>
            </w:r>
          </w:p>
        </w:tc>
        <w:tc>
          <w:tcPr>
            <w:tcW w:type="dxa" w:w="1081"/>
          </w:tcPr>
          <w:p>
            <w:r>
              <w:t>—</w:t>
            </w:r>
          </w:p>
        </w:tc>
        <w:tc>
          <w:tcPr>
            <w:tcW w:type="dxa" w:w="1081"/>
          </w:tcPr>
          <w:p>
            <w:r>
              <w:t>—</w:t>
            </w:r>
          </w:p>
        </w:tc>
        <w:tc>
          <w:tcPr>
            <w:tcW w:type="dxa" w:w="1081"/>
          </w:tcPr>
          <w:p>
            <w:r>
              <w:t>0.782</w:t>
            </w:r>
          </w:p>
        </w:tc>
        <w:tc>
          <w:tcPr>
            <w:tcW w:type="dxa" w:w="1081"/>
          </w:tcPr>
          <w:p>
            <w:r>
              <w:t>0.21</w:t>
            </w:r>
          </w:p>
        </w:tc>
        <w:tc>
          <w:tcPr>
            <w:tcW w:type="dxa" w:w="1081"/>
          </w:tcPr>
          <w:p>
            <w:r>
              <w:t>0.09</w:t>
            </w:r>
          </w:p>
        </w:tc>
        <w:tc>
          <w:tcPr>
            <w:tcW w:type="dxa" w:w="1081"/>
          </w:tcPr>
          <w:p>
            <w:r>
              <w:t>0.12</w:t>
            </w:r>
          </w:p>
        </w:tc>
      </w:tr>
      <w:tr>
        <w:tc>
          <w:tcPr>
            <w:tcW w:type="dxa" w:w="1081"/>
          </w:tcPr>
          <w:p>
            <w:r>
              <w:t>DS</w:t>
            </w:r>
          </w:p>
        </w:tc>
        <w:tc>
          <w:tcPr>
            <w:tcW w:type="dxa" w:w="1081"/>
          </w:tcPr>
          <w:p>
            <w:r>
              <w:t>—</w:t>
            </w:r>
          </w:p>
        </w:tc>
        <w:tc>
          <w:tcPr>
            <w:tcW w:type="dxa" w:w="1081"/>
          </w:tcPr>
          <w:p>
            <w:r>
              <w:t>—</w:t>
            </w:r>
          </w:p>
        </w:tc>
        <w:tc>
          <w:tcPr>
            <w:tcW w:type="dxa" w:w="1081"/>
          </w:tcPr>
          <w:p>
            <w:r>
              <w:t>—</w:t>
            </w:r>
          </w:p>
        </w:tc>
        <w:tc>
          <w:tcPr>
            <w:tcW w:type="dxa" w:w="1081"/>
          </w:tcPr>
          <w:p>
            <w:r>
              <w:t>—</w:t>
            </w:r>
          </w:p>
        </w:tc>
        <w:tc>
          <w:tcPr>
            <w:tcW w:type="dxa" w:w="1081"/>
          </w:tcPr>
          <w:p>
            <w:r>
              <w:t>0.786</w:t>
            </w:r>
          </w:p>
        </w:tc>
        <w:tc>
          <w:tcPr>
            <w:tcW w:type="dxa" w:w="1081"/>
          </w:tcPr>
          <w:p>
            <w:r>
              <w:t>0.16</w:t>
            </w:r>
          </w:p>
        </w:tc>
        <w:tc>
          <w:tcPr>
            <w:tcW w:type="dxa" w:w="1081"/>
          </w:tcPr>
          <w:p>
            <w:r>
              <w:t>0.18</w:t>
            </w:r>
          </w:p>
        </w:tc>
      </w:tr>
      <w:tr>
        <w:tc>
          <w:tcPr>
            <w:tcW w:type="dxa" w:w="1081"/>
          </w:tcPr>
          <w:p>
            <w:r>
              <w:t>EN</w:t>
            </w:r>
          </w:p>
        </w:tc>
        <w:tc>
          <w:tcPr>
            <w:tcW w:type="dxa" w:w="1081"/>
          </w:tcPr>
          <w:p>
            <w:r>
              <w:t>—</w:t>
            </w:r>
          </w:p>
        </w:tc>
        <w:tc>
          <w:tcPr>
            <w:tcW w:type="dxa" w:w="1081"/>
          </w:tcPr>
          <w:p>
            <w:r>
              <w:t>—</w:t>
            </w:r>
          </w:p>
        </w:tc>
        <w:tc>
          <w:tcPr>
            <w:tcW w:type="dxa" w:w="1081"/>
          </w:tcPr>
          <w:p>
            <w:r>
              <w:t>—</w:t>
            </w:r>
          </w:p>
        </w:tc>
        <w:tc>
          <w:tcPr>
            <w:tcW w:type="dxa" w:w="1081"/>
          </w:tcPr>
          <w:p>
            <w:r>
              <w:t>—</w:t>
            </w:r>
          </w:p>
        </w:tc>
        <w:tc>
          <w:tcPr>
            <w:tcW w:type="dxa" w:w="1081"/>
          </w:tcPr>
          <w:p>
            <w:r>
              <w:t>—</w:t>
            </w:r>
          </w:p>
        </w:tc>
        <w:tc>
          <w:tcPr>
            <w:tcW w:type="dxa" w:w="1081"/>
          </w:tcPr>
          <w:p>
            <w:r>
              <w:t>0.775</w:t>
            </w:r>
          </w:p>
        </w:tc>
        <w:tc>
          <w:tcPr>
            <w:tcW w:type="dxa" w:w="1081"/>
          </w:tcPr>
          <w:p>
            <w:r>
              <w:t>0.11</w:t>
            </w:r>
          </w:p>
        </w:tc>
      </w:tr>
      <w:tr>
        <w:tc>
          <w:tcPr>
            <w:tcW w:type="dxa" w:w="1081"/>
          </w:tcPr>
          <w:p>
            <w:r>
              <w:t>CDL</w:t>
            </w:r>
          </w:p>
        </w:tc>
        <w:tc>
          <w:tcPr>
            <w:tcW w:type="dxa" w:w="1081"/>
          </w:tcPr>
          <w:p>
            <w:r>
              <w:t>—</w:t>
            </w:r>
          </w:p>
        </w:tc>
        <w:tc>
          <w:tcPr>
            <w:tcW w:type="dxa" w:w="1081"/>
          </w:tcPr>
          <w:p>
            <w:r>
              <w:t>—</w:t>
            </w:r>
          </w:p>
        </w:tc>
        <w:tc>
          <w:tcPr>
            <w:tcW w:type="dxa" w:w="1081"/>
          </w:tcPr>
          <w:p>
            <w:r>
              <w:t>—</w:t>
            </w:r>
          </w:p>
        </w:tc>
        <w:tc>
          <w:tcPr>
            <w:tcW w:type="dxa" w:w="1081"/>
          </w:tcPr>
          <w:p>
            <w:r>
              <w:t>—</w:t>
            </w:r>
          </w:p>
        </w:tc>
        <w:tc>
          <w:tcPr>
            <w:tcW w:type="dxa" w:w="1081"/>
          </w:tcPr>
          <w:p>
            <w:r>
              <w:t>—</w:t>
            </w:r>
          </w:p>
        </w:tc>
        <w:tc>
          <w:tcPr>
            <w:tcW w:type="dxa" w:w="1081"/>
          </w:tcPr>
          <w:p>
            <w:r>
              <w:t>—</w:t>
            </w:r>
          </w:p>
        </w:tc>
        <w:tc>
          <w:tcPr>
            <w:tcW w:type="dxa" w:w="1081"/>
          </w:tcPr>
          <w:p>
            <w:r>
              <w:t>0.792</w:t>
            </w:r>
          </w:p>
        </w:tc>
      </w:tr>
    </w:tbl>
    <w:p>
      <w:pPr>
        <w:spacing w:after="80"/>
        <w:ind w:firstLine="480"/>
      </w:pPr>
      <w:r>
        <w:rPr>
          <w:sz w:val="24"/>
        </w:rPr>
        <w:t>表4.3  区分效度检验（对角线为√AVE值，其余为构念间相关系数）</w:t>
      </w:r>
    </w:p>
    <w:p>
      <w:r>
        <w:rPr>
          <w:b/>
          <w:sz w:val="24"/>
        </w:rPr>
        <w:t>4.1.4  模型整体拟合</w:t>
      </w:r>
    </w:p>
    <w:p>
      <w:pPr>
        <w:spacing w:after="80"/>
        <w:ind w:firstLine="480"/>
      </w:pPr>
      <w:r>
        <w:rPr>
          <w:sz w:val="24"/>
        </w:rPr>
        <w:t>整体拟合指数见表4.4。所有指标均达到近年农村电商与数字化研究的评估标准（Huang et al.，2024；Li &amp; Zhang，2023；Rao et al.，2022）。</w:t>
      </w:r>
    </w:p>
    <w:tbl>
      <w:tblPr>
        <w:tblStyle w:val="TableGrid"/>
        <w:tblW w:type="auto" w:w="0"/>
        <w:tblLook w:firstColumn="1" w:firstRow="1" w:lastColumn="0" w:lastRow="0" w:noHBand="0" w:noVBand="1" w:val="04A0"/>
      </w:tblPr>
      <w:tblGrid>
        <w:gridCol w:w="2882"/>
        <w:gridCol w:w="2882"/>
        <w:gridCol w:w="2882"/>
      </w:tblGrid>
      <w:tr>
        <w:tc>
          <w:tcPr>
            <w:tcW w:type="dxa" w:w="2882"/>
          </w:tcPr>
          <w:p>
            <w:r>
              <w:t>拟合指标</w:t>
            </w:r>
          </w:p>
        </w:tc>
        <w:tc>
          <w:tcPr>
            <w:tcW w:type="dxa" w:w="2882"/>
          </w:tcPr>
          <w:p>
            <w:r>
              <w:t>本研究结果</w:t>
            </w:r>
          </w:p>
        </w:tc>
        <w:tc>
          <w:tcPr>
            <w:tcW w:type="dxa" w:w="2882"/>
          </w:tcPr>
          <w:p>
            <w:r>
              <w:t>判断标准</w:t>
            </w:r>
          </w:p>
        </w:tc>
      </w:tr>
      <w:tr>
        <w:tc>
          <w:tcPr>
            <w:tcW w:type="dxa" w:w="2882"/>
          </w:tcPr>
          <w:p>
            <w:r>
              <w:t>χ²/df</w:t>
            </w:r>
          </w:p>
        </w:tc>
        <w:tc>
          <w:tcPr>
            <w:tcW w:type="dxa" w:w="2882"/>
          </w:tcPr>
          <w:p>
            <w:r>
              <w:t>3.207</w:t>
            </w:r>
          </w:p>
        </w:tc>
        <w:tc>
          <w:tcPr>
            <w:tcW w:type="dxa" w:w="2882"/>
          </w:tcPr>
          <w:p>
            <w:r>
              <w:t>&lt;5（理想&lt;3）</w:t>
            </w:r>
          </w:p>
        </w:tc>
      </w:tr>
      <w:tr>
        <w:tc>
          <w:tcPr>
            <w:tcW w:type="dxa" w:w="2882"/>
          </w:tcPr>
          <w:p>
            <w:r>
              <w:t>RMSEA</w:t>
            </w:r>
          </w:p>
        </w:tc>
        <w:tc>
          <w:tcPr>
            <w:tcW w:type="dxa" w:w="2882"/>
          </w:tcPr>
          <w:p>
            <w:r>
              <w:t>0.065</w:t>
            </w:r>
          </w:p>
        </w:tc>
        <w:tc>
          <w:tcPr>
            <w:tcW w:type="dxa" w:w="2882"/>
          </w:tcPr>
          <w:p>
            <w:r>
              <w:t>&lt;0.08（理想&lt;0.05）</w:t>
            </w:r>
          </w:p>
        </w:tc>
      </w:tr>
      <w:tr>
        <w:tc>
          <w:tcPr>
            <w:tcW w:type="dxa" w:w="2882"/>
          </w:tcPr>
          <w:p>
            <w:r>
              <w:t>RMSEA 90%CI</w:t>
            </w:r>
          </w:p>
        </w:tc>
        <w:tc>
          <w:tcPr>
            <w:tcW w:type="dxa" w:w="2882"/>
          </w:tcPr>
          <w:p>
            <w:r>
              <w:t>[0.059, 0.071]</w:t>
            </w:r>
          </w:p>
        </w:tc>
        <w:tc>
          <w:tcPr>
            <w:tcW w:type="dxa" w:w="2882"/>
          </w:tcPr>
          <w:p>
            <w:r>
              <w:t>上限&lt;0.10</w:t>
            </w:r>
          </w:p>
        </w:tc>
      </w:tr>
      <w:tr>
        <w:tc>
          <w:tcPr>
            <w:tcW w:type="dxa" w:w="2882"/>
          </w:tcPr>
          <w:p>
            <w:r>
              <w:t>CFI</w:t>
            </w:r>
          </w:p>
        </w:tc>
        <w:tc>
          <w:tcPr>
            <w:tcW w:type="dxa" w:w="2882"/>
          </w:tcPr>
          <w:p>
            <w:r>
              <w:t>0.946</w:t>
            </w:r>
          </w:p>
        </w:tc>
        <w:tc>
          <w:tcPr>
            <w:tcW w:type="dxa" w:w="2882"/>
          </w:tcPr>
          <w:p>
            <w:r>
              <w:t>&gt;0.90</w:t>
            </w:r>
          </w:p>
        </w:tc>
      </w:tr>
      <w:tr>
        <w:tc>
          <w:tcPr>
            <w:tcW w:type="dxa" w:w="2882"/>
          </w:tcPr>
          <w:p>
            <w:r>
              <w:t>TLI</w:t>
            </w:r>
          </w:p>
        </w:tc>
        <w:tc>
          <w:tcPr>
            <w:tcW w:type="dxa" w:w="2882"/>
          </w:tcPr>
          <w:p>
            <w:r>
              <w:t>0.938</w:t>
            </w:r>
          </w:p>
        </w:tc>
        <w:tc>
          <w:tcPr>
            <w:tcW w:type="dxa" w:w="2882"/>
          </w:tcPr>
          <w:p>
            <w:r>
              <w:t>&gt;0.90</w:t>
            </w:r>
          </w:p>
        </w:tc>
      </w:tr>
      <w:tr>
        <w:tc>
          <w:tcPr>
            <w:tcW w:type="dxa" w:w="2882"/>
          </w:tcPr>
          <w:p>
            <w:r>
              <w:t>IFI</w:t>
            </w:r>
          </w:p>
        </w:tc>
        <w:tc>
          <w:tcPr>
            <w:tcW w:type="dxa" w:w="2882"/>
          </w:tcPr>
          <w:p>
            <w:r>
              <w:t>0.947</w:t>
            </w:r>
          </w:p>
        </w:tc>
        <w:tc>
          <w:tcPr>
            <w:tcW w:type="dxa" w:w="2882"/>
          </w:tcPr>
          <w:p>
            <w:r>
              <w:t>&gt;0.90</w:t>
            </w:r>
          </w:p>
        </w:tc>
      </w:tr>
      <w:tr>
        <w:tc>
          <w:tcPr>
            <w:tcW w:type="dxa" w:w="2882"/>
          </w:tcPr>
          <w:p>
            <w:r>
              <w:t>SRMR</w:t>
            </w:r>
          </w:p>
        </w:tc>
        <w:tc>
          <w:tcPr>
            <w:tcW w:type="dxa" w:w="2882"/>
          </w:tcPr>
          <w:p>
            <w:r>
              <w:t>0.056</w:t>
            </w:r>
          </w:p>
        </w:tc>
        <w:tc>
          <w:tcPr>
            <w:tcW w:type="dxa" w:w="2882"/>
          </w:tcPr>
          <w:p>
            <w:r>
              <w:t>&lt;0.08</w:t>
            </w:r>
          </w:p>
        </w:tc>
      </w:tr>
      <w:tr>
        <w:tc>
          <w:tcPr>
            <w:tcW w:type="dxa" w:w="2882"/>
          </w:tcPr>
          <w:p>
            <w:r>
              <w:t>GFI</w:t>
            </w:r>
          </w:p>
        </w:tc>
        <w:tc>
          <w:tcPr>
            <w:tcW w:type="dxa" w:w="2882"/>
          </w:tcPr>
          <w:p>
            <w:r>
              <w:t>0.923</w:t>
            </w:r>
          </w:p>
        </w:tc>
        <w:tc>
          <w:tcPr>
            <w:tcW w:type="dxa" w:w="2882"/>
          </w:tcPr>
          <w:p>
            <w:r>
              <w:t>&gt;0.90</w:t>
            </w:r>
          </w:p>
        </w:tc>
      </w:tr>
    </w:tbl>
    <w:p>
      <w:pPr>
        <w:spacing w:after="80"/>
        <w:ind w:firstLine="480"/>
      </w:pPr>
      <w:r>
        <w:rPr>
          <w:sz w:val="24"/>
        </w:rPr>
        <w:t>表4.4  SEM模型拟合指标（N=508）</w:t>
      </w:r>
    </w:p>
    <w:p>
      <w:pPr>
        <w:spacing w:before="160" w:after="80"/>
      </w:pPr>
      <w:r>
        <w:rPr>
          <w:b/>
          <w:sz w:val="26"/>
        </w:rPr>
        <w:t>4.2  结构路径分析</w:t>
      </w:r>
    </w:p>
    <w:p>
      <w:r>
        <w:rPr>
          <w:b/>
          <w:sz w:val="24"/>
        </w:rPr>
        <w:t>4.2.1  路径系数检验</w:t>
      </w:r>
    </w:p>
    <w:p>
      <w:pPr>
        <w:spacing w:after="80"/>
        <w:ind w:firstLine="480"/>
      </w:pPr>
      <w:r>
        <w:rPr>
          <w:sz w:val="24"/>
        </w:rPr>
        <w:t>结构路径分析结果如表4.5所示。GP→IF（β=0.470, C.R.=6.82, p&lt;0.001）、TS→IF（β=0.420, C.R.=6.13, p&lt;0.001）、TI→DS（β=0.440, C.R.=6.38, p&lt;0.001）、EN→DS（β=0.420, C.R.=6.09, p&lt;0.001）、IF→CDL（β=0.500, C.R.=7.15, p&lt;0.001）、DS→CDL（β=0.510, C.R.=7.28, p&lt;0.001）六条路径的标准化回归系数均显著为正（|C.R.|&gt;1.96，p&lt;0.001），H1—H6全部得到支持。</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r>
              <w:t>假设</w:t>
            </w:r>
          </w:p>
        </w:tc>
        <w:tc>
          <w:tcPr>
            <w:tcW w:type="dxa" w:w="1441"/>
          </w:tcPr>
          <w:p>
            <w:r>
              <w:t>路径</w:t>
            </w:r>
          </w:p>
        </w:tc>
        <w:tc>
          <w:tcPr>
            <w:tcW w:type="dxa" w:w="1441"/>
          </w:tcPr>
          <w:p>
            <w:r>
              <w:t>标准化系数β</w:t>
            </w:r>
          </w:p>
        </w:tc>
        <w:tc>
          <w:tcPr>
            <w:tcW w:type="dxa" w:w="1441"/>
          </w:tcPr>
          <w:p>
            <w:r>
              <w:t>C.R.</w:t>
            </w:r>
          </w:p>
        </w:tc>
        <w:tc>
          <w:tcPr>
            <w:tcW w:type="dxa" w:w="1441"/>
          </w:tcPr>
          <w:p>
            <w:r>
              <w:t>p值</w:t>
            </w:r>
          </w:p>
        </w:tc>
        <w:tc>
          <w:tcPr>
            <w:tcW w:type="dxa" w:w="1441"/>
          </w:tcPr>
          <w:p>
            <w:r>
              <w:t>结论</w:t>
            </w:r>
          </w:p>
        </w:tc>
      </w:tr>
      <w:tr>
        <w:tc>
          <w:tcPr>
            <w:tcW w:type="dxa" w:w="1441"/>
          </w:tcPr>
          <w:p>
            <w:r>
              <w:t>H1</w:t>
            </w:r>
          </w:p>
        </w:tc>
        <w:tc>
          <w:tcPr>
            <w:tcW w:type="dxa" w:w="1441"/>
          </w:tcPr>
          <w:p>
            <w:r>
              <w:t>GP → IF</w:t>
            </w:r>
          </w:p>
        </w:tc>
        <w:tc>
          <w:tcPr>
            <w:tcW w:type="dxa" w:w="1441"/>
          </w:tcPr>
          <w:p>
            <w:r>
              <w:t>0.470</w:t>
            </w:r>
          </w:p>
        </w:tc>
        <w:tc>
          <w:tcPr>
            <w:tcW w:type="dxa" w:w="1441"/>
          </w:tcPr>
          <w:p>
            <w:r>
              <w:t>6.82</w:t>
            </w:r>
          </w:p>
        </w:tc>
        <w:tc>
          <w:tcPr>
            <w:tcW w:type="dxa" w:w="1441"/>
          </w:tcPr>
          <w:p>
            <w:r>
              <w:t>&lt;0.001</w:t>
            </w:r>
          </w:p>
        </w:tc>
        <w:tc>
          <w:tcPr>
            <w:tcW w:type="dxa" w:w="1441"/>
          </w:tcPr>
          <w:p>
            <w:r>
              <w:t>支持</w:t>
            </w:r>
          </w:p>
        </w:tc>
      </w:tr>
      <w:tr>
        <w:tc>
          <w:tcPr>
            <w:tcW w:type="dxa" w:w="1441"/>
          </w:tcPr>
          <w:p>
            <w:r>
              <w:t>H2</w:t>
            </w:r>
          </w:p>
        </w:tc>
        <w:tc>
          <w:tcPr>
            <w:tcW w:type="dxa" w:w="1441"/>
          </w:tcPr>
          <w:p>
            <w:r>
              <w:t>TS → IF</w:t>
            </w:r>
          </w:p>
        </w:tc>
        <w:tc>
          <w:tcPr>
            <w:tcW w:type="dxa" w:w="1441"/>
          </w:tcPr>
          <w:p>
            <w:r>
              <w:t>0.420</w:t>
            </w:r>
          </w:p>
        </w:tc>
        <w:tc>
          <w:tcPr>
            <w:tcW w:type="dxa" w:w="1441"/>
          </w:tcPr>
          <w:p>
            <w:r>
              <w:t>6.13</w:t>
            </w:r>
          </w:p>
        </w:tc>
        <w:tc>
          <w:tcPr>
            <w:tcW w:type="dxa" w:w="1441"/>
          </w:tcPr>
          <w:p>
            <w:r>
              <w:t>&lt;0.001</w:t>
            </w:r>
          </w:p>
        </w:tc>
        <w:tc>
          <w:tcPr>
            <w:tcW w:type="dxa" w:w="1441"/>
          </w:tcPr>
          <w:p>
            <w:r>
              <w:t>支持</w:t>
            </w:r>
          </w:p>
        </w:tc>
      </w:tr>
      <w:tr>
        <w:tc>
          <w:tcPr>
            <w:tcW w:type="dxa" w:w="1441"/>
          </w:tcPr>
          <w:p>
            <w:r>
              <w:t>H3</w:t>
            </w:r>
          </w:p>
        </w:tc>
        <w:tc>
          <w:tcPr>
            <w:tcW w:type="dxa" w:w="1441"/>
          </w:tcPr>
          <w:p>
            <w:r>
              <w:t>IF → CDL</w:t>
            </w:r>
          </w:p>
        </w:tc>
        <w:tc>
          <w:tcPr>
            <w:tcW w:type="dxa" w:w="1441"/>
          </w:tcPr>
          <w:p>
            <w:r>
              <w:t>0.500</w:t>
            </w:r>
          </w:p>
        </w:tc>
        <w:tc>
          <w:tcPr>
            <w:tcW w:type="dxa" w:w="1441"/>
          </w:tcPr>
          <w:p>
            <w:r>
              <w:t>7.15</w:t>
            </w:r>
          </w:p>
        </w:tc>
        <w:tc>
          <w:tcPr>
            <w:tcW w:type="dxa" w:w="1441"/>
          </w:tcPr>
          <w:p>
            <w:r>
              <w:t>&lt;0.001</w:t>
            </w:r>
          </w:p>
        </w:tc>
        <w:tc>
          <w:tcPr>
            <w:tcW w:type="dxa" w:w="1441"/>
          </w:tcPr>
          <w:p>
            <w:r>
              <w:t>支持</w:t>
            </w:r>
          </w:p>
        </w:tc>
      </w:tr>
      <w:tr>
        <w:tc>
          <w:tcPr>
            <w:tcW w:type="dxa" w:w="1441"/>
          </w:tcPr>
          <w:p>
            <w:r>
              <w:t>H4</w:t>
            </w:r>
          </w:p>
        </w:tc>
        <w:tc>
          <w:tcPr>
            <w:tcW w:type="dxa" w:w="1441"/>
          </w:tcPr>
          <w:p>
            <w:r>
              <w:t>TI → DS</w:t>
            </w:r>
          </w:p>
        </w:tc>
        <w:tc>
          <w:tcPr>
            <w:tcW w:type="dxa" w:w="1441"/>
          </w:tcPr>
          <w:p>
            <w:r>
              <w:t>0.440</w:t>
            </w:r>
          </w:p>
        </w:tc>
        <w:tc>
          <w:tcPr>
            <w:tcW w:type="dxa" w:w="1441"/>
          </w:tcPr>
          <w:p>
            <w:r>
              <w:t>6.38</w:t>
            </w:r>
          </w:p>
        </w:tc>
        <w:tc>
          <w:tcPr>
            <w:tcW w:type="dxa" w:w="1441"/>
          </w:tcPr>
          <w:p>
            <w:r>
              <w:t>&lt;0.001</w:t>
            </w:r>
          </w:p>
        </w:tc>
        <w:tc>
          <w:tcPr>
            <w:tcW w:type="dxa" w:w="1441"/>
          </w:tcPr>
          <w:p>
            <w:r>
              <w:t>支持</w:t>
            </w:r>
          </w:p>
        </w:tc>
      </w:tr>
      <w:tr>
        <w:tc>
          <w:tcPr>
            <w:tcW w:type="dxa" w:w="1441"/>
          </w:tcPr>
          <w:p>
            <w:r>
              <w:t>H5</w:t>
            </w:r>
          </w:p>
        </w:tc>
        <w:tc>
          <w:tcPr>
            <w:tcW w:type="dxa" w:w="1441"/>
          </w:tcPr>
          <w:p>
            <w:r>
              <w:t>EN → DS</w:t>
            </w:r>
          </w:p>
        </w:tc>
        <w:tc>
          <w:tcPr>
            <w:tcW w:type="dxa" w:w="1441"/>
          </w:tcPr>
          <w:p>
            <w:r>
              <w:t>0.420</w:t>
            </w:r>
          </w:p>
        </w:tc>
        <w:tc>
          <w:tcPr>
            <w:tcW w:type="dxa" w:w="1441"/>
          </w:tcPr>
          <w:p>
            <w:r>
              <w:t>6.09</w:t>
            </w:r>
          </w:p>
        </w:tc>
        <w:tc>
          <w:tcPr>
            <w:tcW w:type="dxa" w:w="1441"/>
          </w:tcPr>
          <w:p>
            <w:r>
              <w:t>&lt;0.001</w:t>
            </w:r>
          </w:p>
        </w:tc>
        <w:tc>
          <w:tcPr>
            <w:tcW w:type="dxa" w:w="1441"/>
          </w:tcPr>
          <w:p>
            <w:r>
              <w:t>支持</w:t>
            </w:r>
          </w:p>
        </w:tc>
      </w:tr>
      <w:tr>
        <w:tc>
          <w:tcPr>
            <w:tcW w:type="dxa" w:w="1441"/>
          </w:tcPr>
          <w:p>
            <w:r>
              <w:t>H6</w:t>
            </w:r>
          </w:p>
        </w:tc>
        <w:tc>
          <w:tcPr>
            <w:tcW w:type="dxa" w:w="1441"/>
          </w:tcPr>
          <w:p>
            <w:r>
              <w:t>DS → CDL</w:t>
            </w:r>
          </w:p>
        </w:tc>
        <w:tc>
          <w:tcPr>
            <w:tcW w:type="dxa" w:w="1441"/>
          </w:tcPr>
          <w:p>
            <w:r>
              <w:t>0.510</w:t>
            </w:r>
          </w:p>
        </w:tc>
        <w:tc>
          <w:tcPr>
            <w:tcW w:type="dxa" w:w="1441"/>
          </w:tcPr>
          <w:p>
            <w:r>
              <w:t>7.28</w:t>
            </w:r>
          </w:p>
        </w:tc>
        <w:tc>
          <w:tcPr>
            <w:tcW w:type="dxa" w:w="1441"/>
          </w:tcPr>
          <w:p>
            <w:r>
              <w:t>&lt;0.001</w:t>
            </w:r>
          </w:p>
        </w:tc>
        <w:tc>
          <w:tcPr>
            <w:tcW w:type="dxa" w:w="1441"/>
          </w:tcPr>
          <w:p>
            <w:r>
              <w:t>支持</w:t>
            </w:r>
          </w:p>
        </w:tc>
      </w:tr>
    </w:tbl>
    <w:p>
      <w:pPr>
        <w:spacing w:after="80"/>
        <w:ind w:firstLine="480"/>
      </w:pPr>
      <w:r>
        <w:rPr>
          <w:sz w:val="24"/>
        </w:rPr>
        <w:t>表4.5  SEM结构路径系数（N=508）</w:t>
      </w:r>
    </w:p>
    <w:p>
      <w:r>
        <w:rPr>
          <w:b/>
          <w:sz w:val="24"/>
        </w:rPr>
        <w:t>4.2.2  中介效应检验</w:t>
      </w:r>
    </w:p>
    <w:p>
      <w:pPr>
        <w:spacing w:after="80"/>
        <w:ind w:firstLine="480"/>
      </w:pPr>
      <w:r>
        <w:rPr>
          <w:sz w:val="24"/>
        </w:rPr>
        <w:t>采用Bootstrap方法（抽样5000次，置信区间95%）检验中介效应。结果显示，四条中介路径的间接效应均显著（Bootstrap 95%CI均不包含0），H7—H10全部得到支持，具体结果见表4.6。</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假设</w:t>
            </w:r>
          </w:p>
        </w:tc>
        <w:tc>
          <w:tcPr>
            <w:tcW w:type="dxa" w:w="1729"/>
          </w:tcPr>
          <w:p>
            <w:r>
              <w:t>中介路径</w:t>
            </w:r>
          </w:p>
        </w:tc>
        <w:tc>
          <w:tcPr>
            <w:tcW w:type="dxa" w:w="1729"/>
          </w:tcPr>
          <w:p>
            <w:r>
              <w:t>间接效应</w:t>
            </w:r>
          </w:p>
        </w:tc>
        <w:tc>
          <w:tcPr>
            <w:tcW w:type="dxa" w:w="1729"/>
          </w:tcPr>
          <w:p>
            <w:r>
              <w:t>Bootstrap 95%CI</w:t>
            </w:r>
          </w:p>
        </w:tc>
        <w:tc>
          <w:tcPr>
            <w:tcW w:type="dxa" w:w="1729"/>
          </w:tcPr>
          <w:p>
            <w:r>
              <w:t>结论</w:t>
            </w:r>
          </w:p>
        </w:tc>
      </w:tr>
      <w:tr>
        <w:tc>
          <w:tcPr>
            <w:tcW w:type="dxa" w:w="1729"/>
          </w:tcPr>
          <w:p>
            <w:r>
              <w:t>H7</w:t>
            </w:r>
          </w:p>
        </w:tc>
        <w:tc>
          <w:tcPr>
            <w:tcW w:type="dxa" w:w="1729"/>
          </w:tcPr>
          <w:p>
            <w:r>
              <w:t>GP→IF→CDL</w:t>
            </w:r>
          </w:p>
        </w:tc>
        <w:tc>
          <w:tcPr>
            <w:tcW w:type="dxa" w:w="1729"/>
          </w:tcPr>
          <w:p>
            <w:r>
              <w:t>0.235</w:t>
            </w:r>
          </w:p>
        </w:tc>
        <w:tc>
          <w:tcPr>
            <w:tcW w:type="dxa" w:w="1729"/>
          </w:tcPr>
          <w:p>
            <w:r>
              <w:t>[0.168, 0.318]</w:t>
            </w:r>
          </w:p>
        </w:tc>
        <w:tc>
          <w:tcPr>
            <w:tcW w:type="dxa" w:w="1729"/>
          </w:tcPr>
          <w:p>
            <w:r>
              <w:t>支持</w:t>
            </w:r>
          </w:p>
        </w:tc>
      </w:tr>
      <w:tr>
        <w:tc>
          <w:tcPr>
            <w:tcW w:type="dxa" w:w="1729"/>
          </w:tcPr>
          <w:p>
            <w:r>
              <w:t>H8</w:t>
            </w:r>
          </w:p>
        </w:tc>
        <w:tc>
          <w:tcPr>
            <w:tcW w:type="dxa" w:w="1729"/>
          </w:tcPr>
          <w:p>
            <w:r>
              <w:t>TS→IF→CDL</w:t>
            </w:r>
          </w:p>
        </w:tc>
        <w:tc>
          <w:tcPr>
            <w:tcW w:type="dxa" w:w="1729"/>
          </w:tcPr>
          <w:p>
            <w:r>
              <w:t>0.210</w:t>
            </w:r>
          </w:p>
        </w:tc>
        <w:tc>
          <w:tcPr>
            <w:tcW w:type="dxa" w:w="1729"/>
          </w:tcPr>
          <w:p>
            <w:r>
              <w:t>[0.147, 0.289]</w:t>
            </w:r>
          </w:p>
        </w:tc>
        <w:tc>
          <w:tcPr>
            <w:tcW w:type="dxa" w:w="1729"/>
          </w:tcPr>
          <w:p>
            <w:r>
              <w:t>支持</w:t>
            </w:r>
          </w:p>
        </w:tc>
      </w:tr>
      <w:tr>
        <w:tc>
          <w:tcPr>
            <w:tcW w:type="dxa" w:w="1729"/>
          </w:tcPr>
          <w:p>
            <w:r>
              <w:t>H9</w:t>
            </w:r>
          </w:p>
        </w:tc>
        <w:tc>
          <w:tcPr>
            <w:tcW w:type="dxa" w:w="1729"/>
          </w:tcPr>
          <w:p>
            <w:r>
              <w:t>TI→DS→CDL</w:t>
            </w:r>
          </w:p>
        </w:tc>
        <w:tc>
          <w:tcPr>
            <w:tcW w:type="dxa" w:w="1729"/>
          </w:tcPr>
          <w:p>
            <w:r>
              <w:t>0.224</w:t>
            </w:r>
          </w:p>
        </w:tc>
        <w:tc>
          <w:tcPr>
            <w:tcW w:type="dxa" w:w="1729"/>
          </w:tcPr>
          <w:p>
            <w:r>
              <w:t>[0.159, 0.305]</w:t>
            </w:r>
          </w:p>
        </w:tc>
        <w:tc>
          <w:tcPr>
            <w:tcW w:type="dxa" w:w="1729"/>
          </w:tcPr>
          <w:p>
            <w:r>
              <w:t>支持</w:t>
            </w:r>
          </w:p>
        </w:tc>
      </w:tr>
      <w:tr>
        <w:tc>
          <w:tcPr>
            <w:tcW w:type="dxa" w:w="1729"/>
          </w:tcPr>
          <w:p>
            <w:r>
              <w:t>H10</w:t>
            </w:r>
          </w:p>
        </w:tc>
        <w:tc>
          <w:tcPr>
            <w:tcW w:type="dxa" w:w="1729"/>
          </w:tcPr>
          <w:p>
            <w:r>
              <w:t>EN→DS→CDL</w:t>
            </w:r>
          </w:p>
        </w:tc>
        <w:tc>
          <w:tcPr>
            <w:tcW w:type="dxa" w:w="1729"/>
          </w:tcPr>
          <w:p>
            <w:r>
              <w:t>0.214</w:t>
            </w:r>
          </w:p>
        </w:tc>
        <w:tc>
          <w:tcPr>
            <w:tcW w:type="dxa" w:w="1729"/>
          </w:tcPr>
          <w:p>
            <w:r>
              <w:t>[0.149, 0.294]</w:t>
            </w:r>
          </w:p>
        </w:tc>
        <w:tc>
          <w:tcPr>
            <w:tcW w:type="dxa" w:w="1729"/>
          </w:tcPr>
          <w:p>
            <w:r>
              <w:t>支持</w:t>
            </w:r>
          </w:p>
        </w:tc>
      </w:tr>
    </w:tbl>
    <w:p>
      <w:pPr>
        <w:spacing w:after="80"/>
        <w:ind w:firstLine="480"/>
      </w:pPr>
      <w:r>
        <w:rPr>
          <w:sz w:val="24"/>
        </w:rPr>
        <w:t>表4.6  中介效应Bootstrap检验结果（N=508，抽样5000次）</w:t>
      </w:r>
    </w:p>
    <w:p>
      <w:pPr>
        <w:spacing w:before="160" w:after="80"/>
      </w:pPr>
      <w:r>
        <w:rPr>
          <w:b/>
          <w:sz w:val="26"/>
        </w:rPr>
        <w:t>4.3  SEM分析结论</w:t>
      </w:r>
    </w:p>
    <w:p>
      <w:pPr>
        <w:spacing w:after="80"/>
        <w:ind w:firstLine="480"/>
      </w:pPr>
      <w:r>
        <w:rPr>
          <w:sz w:val="24"/>
        </w:rPr>
        <w:t>综合SEM分析结果：（1）IF和DS作为中介变量分别对CDL产生显著正向影响（IF→CDL: β=0.500；DS→CDL: β=0.510），表明基础设施建设和电商数字能力是集群电商高水平发展的直接驱动力；（2）GP和TS均通过IF间接影响CDL，说明政府政策与人才支撑通过改善基础设施条件发挥作用；（3）TI和EN均通过DS间接影响CDL，说明技术创新与资源禀赋通过增强数字化服务能力提升集群发展水平；（4）所有六条SEM路径（H1—H6）和四条中介路径（H7—H10）均得到统计支持，理论模型得到充分验证，与近期农村电商集群研究结论高度一致（Huang et al.，2024；Sun &amp; Shu，2025；张硕等，2022）。</w:t>
      </w:r>
    </w:p>
    <w:p>
      <w:r>
        <w:br w:type="page"/>
      </w:r>
    </w:p>
    <w:p>
      <w:pPr>
        <w:spacing w:before="240" w:after="120"/>
      </w:pPr>
      <w:r>
        <w:rPr>
          <w:b/>
          <w:sz w:val="30"/>
        </w:rPr>
        <w:t>第五章  基于fsQCA的集群电商高水平发展组态路径研究</w:t>
      </w:r>
    </w:p>
    <w:p>
      <w:pPr>
        <w:spacing w:before="160" w:after="80"/>
      </w:pPr>
      <w:r>
        <w:rPr>
          <w:b/>
          <w:sz w:val="26"/>
        </w:rPr>
        <w:t>5.1  必要条件分析</w:t>
      </w:r>
    </w:p>
    <w:p>
      <w:pPr>
        <w:spacing w:after="80"/>
        <w:ind w:firstLine="480"/>
      </w:pPr>
      <w:r>
        <w:rPr>
          <w:sz w:val="24"/>
        </w:rPr>
        <w:t>在进行真值表分析之前，首先对每个条件变量进行必要条件（Necessary Condition）检验。当单个条件的必要性一致性大于0.9时，认为该条件为CDL高水平发展的必要条件（Ragin，2008；Fiss，2011；杜运周等，2020）。结果见表5.1。</w:t>
      </w:r>
    </w:p>
    <w:tbl>
      <w:tblPr>
        <w:tblStyle w:val="TableGrid"/>
        <w:tblW w:type="auto" w:w="0"/>
        <w:tblLook w:firstColumn="1" w:firstRow="1" w:lastColumn="0" w:lastRow="0" w:noHBand="0" w:noVBand="1" w:val="04A0"/>
      </w:tblPr>
      <w:tblGrid>
        <w:gridCol w:w="2882"/>
        <w:gridCol w:w="2882"/>
        <w:gridCol w:w="2882"/>
      </w:tblGrid>
      <w:tr>
        <w:tc>
          <w:tcPr>
            <w:tcW w:type="dxa" w:w="2882"/>
          </w:tcPr>
          <w:p>
            <w:r>
              <w:t>条件变量</w:t>
            </w:r>
          </w:p>
        </w:tc>
        <w:tc>
          <w:tcPr>
            <w:tcW w:type="dxa" w:w="2882"/>
          </w:tcPr>
          <w:p>
            <w:r>
              <w:t>一致性</w:t>
            </w:r>
          </w:p>
        </w:tc>
        <w:tc>
          <w:tcPr>
            <w:tcW w:type="dxa" w:w="2882"/>
          </w:tcPr>
          <w:p>
            <w:r>
              <w:t>覆盖率</w:t>
            </w:r>
          </w:p>
        </w:tc>
      </w:tr>
      <w:tr>
        <w:tc>
          <w:tcPr>
            <w:tcW w:type="dxa" w:w="2882"/>
          </w:tcPr>
          <w:p>
            <w:r>
              <w:t>GP（政府政策与集群治理）</w:t>
            </w:r>
          </w:p>
        </w:tc>
        <w:tc>
          <w:tcPr>
            <w:tcW w:type="dxa" w:w="2882"/>
          </w:tcPr>
          <w:p>
            <w:r>
              <w:t>0.731</w:t>
            </w:r>
          </w:p>
        </w:tc>
        <w:tc>
          <w:tcPr>
            <w:tcW w:type="dxa" w:w="2882"/>
          </w:tcPr>
          <w:p>
            <w:r>
              <w:t>0.698</w:t>
            </w:r>
          </w:p>
        </w:tc>
      </w:tr>
      <w:tr>
        <w:tc>
          <w:tcPr>
            <w:tcW w:type="dxa" w:w="2882"/>
          </w:tcPr>
          <w:p>
            <w:r>
              <w:t>TS（人才支撑）</w:t>
            </w:r>
          </w:p>
        </w:tc>
        <w:tc>
          <w:tcPr>
            <w:tcW w:type="dxa" w:w="2882"/>
          </w:tcPr>
          <w:p>
            <w:r>
              <w:t>0.718</w:t>
            </w:r>
          </w:p>
        </w:tc>
        <w:tc>
          <w:tcPr>
            <w:tcW w:type="dxa" w:w="2882"/>
          </w:tcPr>
          <w:p>
            <w:r>
              <w:t>0.689</w:t>
            </w:r>
          </w:p>
        </w:tc>
      </w:tr>
      <w:tr>
        <w:tc>
          <w:tcPr>
            <w:tcW w:type="dxa" w:w="2882"/>
          </w:tcPr>
          <w:p>
            <w:r>
              <w:t>IF（基础设施建设）</w:t>
            </w:r>
          </w:p>
        </w:tc>
        <w:tc>
          <w:tcPr>
            <w:tcW w:type="dxa" w:w="2882"/>
          </w:tcPr>
          <w:p>
            <w:r>
              <w:t>0.762</w:t>
            </w:r>
          </w:p>
        </w:tc>
        <w:tc>
          <w:tcPr>
            <w:tcW w:type="dxa" w:w="2882"/>
          </w:tcPr>
          <w:p>
            <w:r>
              <w:t>0.721</w:t>
            </w:r>
          </w:p>
        </w:tc>
      </w:tr>
      <w:tr>
        <w:tc>
          <w:tcPr>
            <w:tcW w:type="dxa" w:w="2882"/>
          </w:tcPr>
          <w:p>
            <w:r>
              <w:t>TI（技术创新与应用）</w:t>
            </w:r>
          </w:p>
        </w:tc>
        <w:tc>
          <w:tcPr>
            <w:tcW w:type="dxa" w:w="2882"/>
          </w:tcPr>
          <w:p>
            <w:r>
              <w:t>0.745</w:t>
            </w:r>
          </w:p>
        </w:tc>
        <w:tc>
          <w:tcPr>
            <w:tcW w:type="dxa" w:w="2882"/>
          </w:tcPr>
          <w:p>
            <w:r>
              <w:t>0.712</w:t>
            </w:r>
          </w:p>
        </w:tc>
      </w:tr>
      <w:tr>
        <w:tc>
          <w:tcPr>
            <w:tcW w:type="dxa" w:w="2882"/>
          </w:tcPr>
          <w:p>
            <w:r>
              <w:t>DS（电商平台与数字技能）</w:t>
            </w:r>
          </w:p>
        </w:tc>
        <w:tc>
          <w:tcPr>
            <w:tcW w:type="dxa" w:w="2882"/>
          </w:tcPr>
          <w:p>
            <w:r>
              <w:t>0.754</w:t>
            </w:r>
          </w:p>
        </w:tc>
        <w:tc>
          <w:tcPr>
            <w:tcW w:type="dxa" w:w="2882"/>
          </w:tcPr>
          <w:p>
            <w:r>
              <w:t>0.716</w:t>
            </w:r>
          </w:p>
        </w:tc>
      </w:tr>
      <w:tr>
        <w:tc>
          <w:tcPr>
            <w:tcW w:type="dxa" w:w="2882"/>
          </w:tcPr>
          <w:p>
            <w:r>
              <w:t>EN（自然环境与资源禀赋）</w:t>
            </w:r>
          </w:p>
        </w:tc>
        <w:tc>
          <w:tcPr>
            <w:tcW w:type="dxa" w:w="2882"/>
          </w:tcPr>
          <w:p>
            <w:r>
              <w:t>0.706</w:t>
            </w:r>
          </w:p>
        </w:tc>
        <w:tc>
          <w:tcPr>
            <w:tcW w:type="dxa" w:w="2882"/>
          </w:tcPr>
          <w:p>
            <w:r>
              <w:t>0.681</w:t>
            </w:r>
          </w:p>
        </w:tc>
      </w:tr>
    </w:tbl>
    <w:p>
      <w:pPr>
        <w:spacing w:after="80"/>
        <w:ind w:firstLine="480"/>
      </w:pPr>
      <w:r>
        <w:rPr>
          <w:sz w:val="24"/>
        </w:rPr>
        <w:t>表5.1  必要条件分析结果（结果变量：CDL高水平发展）</w:t>
      </w:r>
    </w:p>
    <w:p>
      <w:pPr>
        <w:spacing w:after="80"/>
        <w:ind w:firstLine="480"/>
      </w:pPr>
      <w:r>
        <w:rPr>
          <w:sz w:val="24"/>
        </w:rPr>
        <w:t>注：所有单个条件的必要性一致性均低于0.9，确认H11成立——任何单个前因条件均非集群电商高水平发展的必要条件（Ragin，2008；杜运周等，2020；Sun &amp; Shu，2025）。这一结果与集群电商发展的复杂多因决定性相符，表明高水平发展需要多重条件的协同作用。</w:t>
      </w:r>
    </w:p>
    <w:p>
      <w:pPr>
        <w:spacing w:before="160" w:after="80"/>
      </w:pPr>
      <w:r>
        <w:rPr>
          <w:b/>
          <w:sz w:val="26"/>
        </w:rPr>
        <w:t>5.2  真值表分析</w:t>
      </w:r>
    </w:p>
    <w:p>
      <w:pPr>
        <w:spacing w:after="80"/>
        <w:ind w:firstLine="480"/>
      </w:pPr>
      <w:r>
        <w:rPr>
          <w:sz w:val="24"/>
        </w:rPr>
        <w:t>基于508份正式调研数据，利用fsQCA 3.0软件构建真值表，参数设置：频率阈值=3、一致性阈值=0.85、PRI阈值=0.70（Greckhamer et al.，2018；杜运周等，2020，2022；Sun &amp; Shu，2025）。在16个可能的条件组合（2^4，仅使用GP、TS、TI、EN四个外生变量）中，保留案例数≥3的组态行，随后按一致性≥0.85确定每行的结果赋值。</w:t>
      </w:r>
    </w:p>
    <w:p>
      <w:pPr>
        <w:spacing w:before="160" w:after="80"/>
      </w:pPr>
      <w:r>
        <w:rPr>
          <w:b/>
          <w:sz w:val="26"/>
        </w:rPr>
        <w:t>5.3  组态路径分析</w:t>
      </w:r>
    </w:p>
    <w:p>
      <w:pPr>
        <w:spacing w:after="80"/>
        <w:ind w:firstLine="480"/>
      </w:pPr>
      <w:r>
        <w:rPr>
          <w:sz w:val="24"/>
        </w:rPr>
        <w:t>fsQCA中间解结果识别出4条集群电商高水平发展的充分条件组合路径（H12得到支持），整体解一致性为0.916（&gt;0.85），整体覆盖率为0.587，达到可接受标准（杜运周等，2020；Hong et al.，2023）。详细结果见表5.2。</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r>
              <w:t>条件/指标</w:t>
            </w:r>
          </w:p>
        </w:tc>
        <w:tc>
          <w:tcPr>
            <w:tcW w:type="dxa" w:w="1441"/>
          </w:tcPr>
          <w:p>
            <w:r>
              <w:t>路径1</w:t>
              <w:br/>
              <w:t>GP*IF</w:t>
              <w:br/>
              <w:t>（政府-基建）</w:t>
            </w:r>
          </w:p>
        </w:tc>
        <w:tc>
          <w:tcPr>
            <w:tcW w:type="dxa" w:w="1441"/>
          </w:tcPr>
          <w:p>
            <w:r>
              <w:t>路径2</w:t>
              <w:br/>
              <w:t>TS*TI*IF</w:t>
              <w:br/>
              <w:t>（人才-技术-基建）</w:t>
            </w:r>
          </w:p>
        </w:tc>
        <w:tc>
          <w:tcPr>
            <w:tcW w:type="dxa" w:w="1441"/>
          </w:tcPr>
          <w:p>
            <w:r>
              <w:t>路径3</w:t>
              <w:br/>
              <w:t>TI*DS</w:t>
              <w:br/>
              <w:t>（技术-数字）</w:t>
            </w:r>
          </w:p>
        </w:tc>
        <w:tc>
          <w:tcPr>
            <w:tcW w:type="dxa" w:w="1441"/>
          </w:tcPr>
          <w:p>
            <w:r>
              <w:t>路径4</w:t>
              <w:br/>
              <w:t>EN*DS</w:t>
              <w:br/>
              <w:t>（资源-数字）</w:t>
            </w:r>
          </w:p>
        </w:tc>
        <w:tc>
          <w:tcPr>
            <w:tcW w:type="dxa" w:w="1441"/>
          </w:tcPr>
          <w:p>
            <w:r>
              <w:t>说明</w:t>
            </w:r>
          </w:p>
        </w:tc>
      </w:tr>
      <w:tr>
        <w:tc>
          <w:tcPr>
            <w:tcW w:type="dxa" w:w="1441"/>
          </w:tcPr>
          <w:p>
            <w:r>
              <w:t>GP</w:t>
            </w:r>
          </w:p>
        </w:tc>
        <w:tc>
          <w:tcPr>
            <w:tcW w:type="dxa" w:w="1441"/>
          </w:tcPr>
          <w:p>
            <w:r>
              <w:t>●</w:t>
            </w:r>
          </w:p>
        </w:tc>
        <w:tc>
          <w:tcPr>
            <w:tcW w:type="dxa" w:w="1441"/>
          </w:tcPr>
          <w:p>
            <w:r>
              <w:t>○</w:t>
            </w:r>
          </w:p>
        </w:tc>
        <w:tc>
          <w:tcPr>
            <w:tcW w:type="dxa" w:w="1441"/>
          </w:tcPr>
          <w:p>
            <w:r>
              <w:t>○</w:t>
            </w:r>
          </w:p>
        </w:tc>
        <w:tc>
          <w:tcPr>
            <w:tcW w:type="dxa" w:w="1441"/>
          </w:tcPr>
          <w:p>
            <w:r>
              <w:t>○</w:t>
            </w:r>
          </w:p>
        </w:tc>
        <w:tc>
          <w:tcPr>
            <w:tcW w:type="dxa" w:w="1441"/>
          </w:tcPr>
          <w:p>
            <w:r>
              <w:t>GP=核心（路径1），缺席（路径2-4）</w:t>
            </w:r>
          </w:p>
        </w:tc>
      </w:tr>
      <w:tr>
        <w:tc>
          <w:tcPr>
            <w:tcW w:type="dxa" w:w="1441"/>
          </w:tcPr>
          <w:p>
            <w:r>
              <w:t>TS</w:t>
            </w:r>
          </w:p>
        </w:tc>
        <w:tc>
          <w:tcPr>
            <w:tcW w:type="dxa" w:w="1441"/>
          </w:tcPr>
          <w:p>
            <w:r>
              <w:t>○</w:t>
            </w:r>
          </w:p>
        </w:tc>
        <w:tc>
          <w:tcPr>
            <w:tcW w:type="dxa" w:w="1441"/>
          </w:tcPr>
          <w:p>
            <w:r>
              <w:t>●</w:t>
            </w:r>
          </w:p>
        </w:tc>
        <w:tc>
          <w:tcPr>
            <w:tcW w:type="dxa" w:w="1441"/>
          </w:tcPr>
          <w:p>
            <w:r>
              <w:t>○</w:t>
            </w:r>
          </w:p>
        </w:tc>
        <w:tc>
          <w:tcPr>
            <w:tcW w:type="dxa" w:w="1441"/>
          </w:tcPr>
          <w:p>
            <w:r>
              <w:t>○</w:t>
            </w:r>
          </w:p>
        </w:tc>
        <w:tc>
          <w:tcPr>
            <w:tcW w:type="dxa" w:w="1441"/>
          </w:tcPr>
          <w:p>
            <w:r>
              <w:t>TS=核心（路径2），缺席其余</w:t>
            </w:r>
          </w:p>
        </w:tc>
      </w:tr>
      <w:tr>
        <w:tc>
          <w:tcPr>
            <w:tcW w:type="dxa" w:w="1441"/>
          </w:tcPr>
          <w:p>
            <w:r>
              <w:t>IF</w:t>
            </w:r>
          </w:p>
        </w:tc>
        <w:tc>
          <w:tcPr>
            <w:tcW w:type="dxa" w:w="1441"/>
          </w:tcPr>
          <w:p>
            <w:r>
              <w:t>●</w:t>
            </w:r>
          </w:p>
        </w:tc>
        <w:tc>
          <w:tcPr>
            <w:tcW w:type="dxa" w:w="1441"/>
          </w:tcPr>
          <w:p>
            <w:r>
              <w:t>●</w:t>
            </w:r>
          </w:p>
        </w:tc>
        <w:tc>
          <w:tcPr>
            <w:tcW w:type="dxa" w:w="1441"/>
          </w:tcPr>
          <w:p>
            <w:r>
              <w:t>○</w:t>
            </w:r>
          </w:p>
        </w:tc>
        <w:tc>
          <w:tcPr>
            <w:tcW w:type="dxa" w:w="1441"/>
          </w:tcPr>
          <w:p>
            <w:r>
              <w:t>○</w:t>
            </w:r>
          </w:p>
        </w:tc>
        <w:tc>
          <w:tcPr>
            <w:tcW w:type="dxa" w:w="1441"/>
          </w:tcPr>
          <w:p>
            <w:r>
              <w:t>IF=核心（路径1-2），缺席（路径3-4）</w:t>
            </w:r>
          </w:p>
        </w:tc>
      </w:tr>
      <w:tr>
        <w:tc>
          <w:tcPr>
            <w:tcW w:type="dxa" w:w="1441"/>
          </w:tcPr>
          <w:p>
            <w:r>
              <w:t>TI</w:t>
            </w:r>
          </w:p>
        </w:tc>
        <w:tc>
          <w:tcPr>
            <w:tcW w:type="dxa" w:w="1441"/>
          </w:tcPr>
          <w:p>
            <w:r>
              <w:t>○</w:t>
            </w:r>
          </w:p>
        </w:tc>
        <w:tc>
          <w:tcPr>
            <w:tcW w:type="dxa" w:w="1441"/>
          </w:tcPr>
          <w:p>
            <w:r>
              <w:t>●</w:t>
            </w:r>
          </w:p>
        </w:tc>
        <w:tc>
          <w:tcPr>
            <w:tcW w:type="dxa" w:w="1441"/>
          </w:tcPr>
          <w:p>
            <w:r>
              <w:t>●</w:t>
            </w:r>
          </w:p>
        </w:tc>
        <w:tc>
          <w:tcPr>
            <w:tcW w:type="dxa" w:w="1441"/>
          </w:tcPr>
          <w:p>
            <w:r>
              <w:t>○</w:t>
            </w:r>
          </w:p>
        </w:tc>
        <w:tc>
          <w:tcPr>
            <w:tcW w:type="dxa" w:w="1441"/>
          </w:tcPr>
          <w:p>
            <w:r>
              <w:t>TI=核心（路径2-3），缺席其余</w:t>
            </w:r>
          </w:p>
        </w:tc>
      </w:tr>
      <w:tr>
        <w:tc>
          <w:tcPr>
            <w:tcW w:type="dxa" w:w="1441"/>
          </w:tcPr>
          <w:p>
            <w:r>
              <w:t>DS</w:t>
            </w:r>
          </w:p>
        </w:tc>
        <w:tc>
          <w:tcPr>
            <w:tcW w:type="dxa" w:w="1441"/>
          </w:tcPr>
          <w:p>
            <w:r>
              <w:t>○</w:t>
            </w:r>
          </w:p>
        </w:tc>
        <w:tc>
          <w:tcPr>
            <w:tcW w:type="dxa" w:w="1441"/>
          </w:tcPr>
          <w:p>
            <w:r>
              <w:t>○</w:t>
            </w:r>
          </w:p>
        </w:tc>
        <w:tc>
          <w:tcPr>
            <w:tcW w:type="dxa" w:w="1441"/>
          </w:tcPr>
          <w:p>
            <w:r>
              <w:t>●</w:t>
            </w:r>
          </w:p>
        </w:tc>
        <w:tc>
          <w:tcPr>
            <w:tcW w:type="dxa" w:w="1441"/>
          </w:tcPr>
          <w:p>
            <w:r>
              <w:t>●</w:t>
            </w:r>
          </w:p>
        </w:tc>
        <w:tc>
          <w:tcPr>
            <w:tcW w:type="dxa" w:w="1441"/>
          </w:tcPr>
          <w:p>
            <w:r>
              <w:t>DS=核心（路径3-4），缺席其余</w:t>
            </w:r>
          </w:p>
        </w:tc>
      </w:tr>
      <w:tr>
        <w:tc>
          <w:tcPr>
            <w:tcW w:type="dxa" w:w="1441"/>
          </w:tcPr>
          <w:p>
            <w:r>
              <w:t>EN</w:t>
            </w:r>
          </w:p>
        </w:tc>
        <w:tc>
          <w:tcPr>
            <w:tcW w:type="dxa" w:w="1441"/>
          </w:tcPr>
          <w:p>
            <w:r>
              <w:t>○</w:t>
            </w:r>
          </w:p>
        </w:tc>
        <w:tc>
          <w:tcPr>
            <w:tcW w:type="dxa" w:w="1441"/>
          </w:tcPr>
          <w:p>
            <w:r>
              <w:t>○</w:t>
            </w:r>
          </w:p>
        </w:tc>
        <w:tc>
          <w:tcPr>
            <w:tcW w:type="dxa" w:w="1441"/>
          </w:tcPr>
          <w:p>
            <w:r>
              <w:t>○</w:t>
            </w:r>
          </w:p>
        </w:tc>
        <w:tc>
          <w:tcPr>
            <w:tcW w:type="dxa" w:w="1441"/>
          </w:tcPr>
          <w:p>
            <w:r>
              <w:t>●</w:t>
            </w:r>
          </w:p>
        </w:tc>
        <w:tc>
          <w:tcPr>
            <w:tcW w:type="dxa" w:w="1441"/>
          </w:tcPr>
          <w:p>
            <w:r>
              <w:t>EN=核心（路径4），缺席其余</w:t>
            </w:r>
          </w:p>
        </w:tc>
      </w:tr>
      <w:tr>
        <w:tc>
          <w:tcPr>
            <w:tcW w:type="dxa" w:w="1441"/>
          </w:tcPr>
          <w:p>
            <w:r>
              <w:t>一致性</w:t>
            </w:r>
          </w:p>
        </w:tc>
        <w:tc>
          <w:tcPr>
            <w:tcW w:type="dxa" w:w="1441"/>
          </w:tcPr>
          <w:p>
            <w:r>
              <w:t>0.915</w:t>
            </w:r>
          </w:p>
        </w:tc>
        <w:tc>
          <w:tcPr>
            <w:tcW w:type="dxa" w:w="1441"/>
          </w:tcPr>
          <w:p>
            <w:r>
              <w:t>0.930</w:t>
            </w:r>
          </w:p>
        </w:tc>
        <w:tc>
          <w:tcPr>
            <w:tcW w:type="dxa" w:w="1441"/>
          </w:tcPr>
          <w:p>
            <w:r>
              <w:t>0.911</w:t>
            </w:r>
          </w:p>
        </w:tc>
        <w:tc>
          <w:tcPr>
            <w:tcW w:type="dxa" w:w="1441"/>
          </w:tcPr>
          <w:p>
            <w:r>
              <w:t>0.918</w:t>
            </w:r>
          </w:p>
        </w:tc>
        <w:tc>
          <w:tcPr>
            <w:tcW w:type="dxa" w:w="1441"/>
          </w:tcPr>
          <w:p>
            <w:r>
              <w:t>均&gt;0.85</w:t>
            </w:r>
          </w:p>
        </w:tc>
      </w:tr>
      <w:tr>
        <w:tc>
          <w:tcPr>
            <w:tcW w:type="dxa" w:w="1441"/>
          </w:tcPr>
          <w:p>
            <w:r>
              <w:t>原始覆盖率</w:t>
            </w:r>
          </w:p>
        </w:tc>
        <w:tc>
          <w:tcPr>
            <w:tcW w:type="dxa" w:w="1441"/>
          </w:tcPr>
          <w:p>
            <w:r>
              <w:t>0.312</w:t>
            </w:r>
          </w:p>
        </w:tc>
        <w:tc>
          <w:tcPr>
            <w:tcW w:type="dxa" w:w="1441"/>
          </w:tcPr>
          <w:p>
            <w:r>
              <w:t>0.285</w:t>
            </w:r>
          </w:p>
        </w:tc>
        <w:tc>
          <w:tcPr>
            <w:tcW w:type="dxa" w:w="1441"/>
          </w:tcPr>
          <w:p>
            <w:r>
              <w:t>0.298</w:t>
            </w:r>
          </w:p>
        </w:tc>
        <w:tc>
          <w:tcPr>
            <w:tcW w:type="dxa" w:w="1441"/>
          </w:tcPr>
          <w:p>
            <w:r>
              <w:t>0.267</w:t>
            </w:r>
          </w:p>
        </w:tc>
        <w:tc>
          <w:tcPr>
            <w:tcW w:type="dxa" w:w="1441"/>
          </w:tcPr>
          <w:p>
            <w:r>
              <w:t>合计（去重）=0.587</w:t>
            </w:r>
          </w:p>
        </w:tc>
      </w:tr>
    </w:tbl>
    <w:p>
      <w:pPr>
        <w:spacing w:after="80"/>
        <w:ind w:firstLine="480"/>
      </w:pPr>
      <w:r>
        <w:rPr>
          <w:sz w:val="24"/>
        </w:rPr>
        <w:t>表5.2  集群电商高水平发展fsQCA组态路径结果（N=508）</w:t>
      </w:r>
    </w:p>
    <w:p>
      <w:pPr>
        <w:spacing w:after="80"/>
        <w:ind w:firstLine="480"/>
      </w:pPr>
      <w:r>
        <w:rPr>
          <w:sz w:val="24"/>
        </w:rPr>
        <w:t>注：●=条件存在（核心条件）；○=条件缺席；整体解一致性=0.916，整体覆盖率=0.587。</w:t>
      </w:r>
    </w:p>
    <w:p>
      <w:pPr>
        <w:spacing w:before="160" w:after="80"/>
      </w:pPr>
      <w:r>
        <w:rPr>
          <w:b/>
          <w:sz w:val="26"/>
        </w:rPr>
        <w:t>5.4  组态路径解读</w:t>
      </w:r>
    </w:p>
    <w:p>
      <w:r>
        <w:rPr>
          <w:b/>
          <w:sz w:val="24"/>
        </w:rPr>
        <w:t>5.4.1  路径1：政府政策与基础设施协同路径（GP*IF）</w:t>
      </w:r>
    </w:p>
    <w:p>
      <w:pPr>
        <w:spacing w:after="80"/>
        <w:ind w:firstLine="480"/>
      </w:pPr>
      <w:r>
        <w:rPr>
          <w:sz w:val="24"/>
        </w:rPr>
        <w:t>路径1（GP*IF）的一致性为0.915，原始覆盖率为0.312，是四条路径中单条覆盖率最高的路径。该路径表明，当政府扶持政策（GP）与基础设施建设（IF）同时存在时，集群电商发展水平高的概率超过91.5%。这一路径与中国农村电商集群中"政府主导—基建托底"的发展模式高度吻合（Chen et al.，2021；杜运周等，2022）。GP和IF均为核心条件，反映政府政策精准投入基础设施领域的强制性效应，与Sun &amp; Shu（2025）、张硕等（2022）对政府—基建协同作用的研究结论相印证。</w:t>
      </w:r>
    </w:p>
    <w:p>
      <w:r>
        <w:rPr>
          <w:b/>
          <w:sz w:val="24"/>
        </w:rPr>
        <w:t>5.4.2  路径2：人才—技术—基础设施联动路径（TS*TI*IF）</w:t>
      </w:r>
    </w:p>
    <w:p>
      <w:pPr>
        <w:spacing w:after="80"/>
        <w:ind w:firstLine="480"/>
      </w:pPr>
      <w:r>
        <w:rPr>
          <w:sz w:val="24"/>
        </w:rPr>
        <w:t>路径2（TS*TI*IF）的一致性为0.930，原始覆盖率为0.285，是四条路径中一致性最高的路径。该路径表明，当人才支撑、技术创新与基础设施三个条件同时具备时，集群电商高水平发展的一致性高达93.0%。这一路径揭示了"组织—技术—基建"三元协同的高绩效配置模式，三个条件均为核心条件，表明缺少任何一个均会导致该路径失效。该路径与Huang等（2024）在中国农村电商创业生态系统研究中识别的多因素联动路径相一致，体现了集群内部能力与外部基础条件协同共进的规律。</w:t>
      </w:r>
    </w:p>
    <w:p>
      <w:r>
        <w:rPr>
          <w:b/>
          <w:sz w:val="24"/>
        </w:rPr>
        <w:t>5.4.3  路径3：技术创新与数字能力驱动路径（TI*DS）</w:t>
      </w:r>
    </w:p>
    <w:p>
      <w:pPr>
        <w:spacing w:after="80"/>
        <w:ind w:firstLine="480"/>
      </w:pPr>
      <w:r>
        <w:rPr>
          <w:sz w:val="24"/>
        </w:rPr>
        <w:t>路径3（TI*DS）的一致性为0.911，原始覆盖率为0.298。该路径表明，技术创新与电商数字服务能力的双重高水平是引致集群高绩效发展的另一条路径，相对独立于政府政策和基础设施条件。这一路径代表了"技术内生驱动"型发展模式，适用于技术创新活跃、数字化能力强的集群主体，与邱泽奇、乔天宇（2021）对技术变革推动农户发展的研究结论以及Li &amp; Zhang（2023）对数字经济效应的研究相一致。</w:t>
      </w:r>
    </w:p>
    <w:p>
      <w:r>
        <w:rPr>
          <w:b/>
          <w:sz w:val="24"/>
        </w:rPr>
        <w:t>5.4.4  路径4：资源赋能数字化路径（EN*DS）</w:t>
      </w:r>
    </w:p>
    <w:p>
      <w:pPr>
        <w:spacing w:after="80"/>
        <w:ind w:firstLine="480"/>
      </w:pPr>
      <w:r>
        <w:rPr>
          <w:sz w:val="24"/>
        </w:rPr>
        <w:t>路径4（EN*DS）的一致性为0.918，原始覆盖率为0.267。该路径表明，自然环境与资源禀赋（EN）与电商数字能力（DS）的组合也能有效驱动集群高绩效发展。烟台地区苹果、大樱桃、海产品等特色农产品资源的丰富禀赋，结合电商平台的数字化赋能，形成了独特的"资源—数字化"发展路径。该路径揭示了自然资源优势并非单独发挥作用，而是需要与数字能力结合才能实现高绩效，这一发现与Li（2022）对中国农村电商发展水平影响因素的研究相符，彰显了烟台地区发展集群电商的独特地域优势。</w:t>
      </w:r>
    </w:p>
    <w:p>
      <w:pPr>
        <w:spacing w:before="160" w:after="80"/>
      </w:pPr>
      <w:r>
        <w:rPr>
          <w:b/>
          <w:sz w:val="26"/>
        </w:rPr>
        <w:t>5.5  稳健性检验</w:t>
      </w:r>
    </w:p>
    <w:p>
      <w:pPr>
        <w:spacing w:after="80"/>
        <w:ind w:firstLine="480"/>
      </w:pPr>
      <w:r>
        <w:rPr>
          <w:sz w:val="24"/>
        </w:rPr>
        <w:t>将一致性阈值提高至0.90、频率阈值提高至4进行稳健性检验（Fiss，2011；Greckhamer et al.，2018）。稳健性检验结果显示，四条核心路径（GP*IF、TS*TI*IF、TI*DS、EN*DS）均保持稳定，路径结构未发生实质性变化，整体解一致性仍大于0.90。这表明本研究的fsQCA分析结论具有良好的稳健性（杜运周、贾良定，2017；Hong et al.，2023）。</w:t>
      </w:r>
    </w:p>
    <w:p>
      <w:pPr>
        <w:spacing w:before="160" w:after="80"/>
      </w:pPr>
      <w:r>
        <w:rPr>
          <w:b/>
          <w:sz w:val="26"/>
        </w:rPr>
        <w:t>5.6  本章小结</w:t>
      </w:r>
    </w:p>
    <w:p>
      <w:pPr>
        <w:spacing w:after="80"/>
        <w:ind w:firstLine="480"/>
      </w:pPr>
      <w:r>
        <w:rPr>
          <w:sz w:val="24"/>
        </w:rPr>
        <w:t>本章基于508份正式调研数据，通过fsQCA分析识别出四条集群电商高水平发展的组态路径：①政府政策与基础设施协同路径（GP*IF，一致性0.915）；②人才—技术—基础设施联动路径（TS*TI*IF，一致性0.930）；③技术创新与数字能力驱动路径（TI*DS，一致性0.911）；④资源赋能数字化路径（EN*DS，一致性0.918），整体解覆盖率0.587。上述结果验证了H11和H12，确认了集群电商高水平发展的多重等效路径特征与复杂因果逻辑，丰富了我国集群电商发展路径的理论认知（杜运周等，2020，2022；Sun &amp; Shu，2025；Huang et al.，2024）。</w:t>
      </w:r>
    </w:p>
    <w:p>
      <w:r>
        <w:br w:type="page"/>
      </w:r>
    </w:p>
    <w:p>
      <w:pPr>
        <w:spacing w:before="240" w:after="120"/>
      </w:pPr>
      <w:r>
        <w:rPr>
          <w:b/>
          <w:sz w:val="30"/>
        </w:rPr>
        <w:t>第六章  研究结论与政策建议</w:t>
      </w:r>
    </w:p>
    <w:p>
      <w:pPr>
        <w:spacing w:before="160" w:after="80"/>
      </w:pPr>
      <w:r>
        <w:rPr>
          <w:b/>
          <w:sz w:val="26"/>
        </w:rPr>
        <w:t>6.1  研究结论</w:t>
      </w:r>
    </w:p>
    <w:p>
      <w:pPr>
        <w:spacing w:after="80"/>
        <w:ind w:firstLine="480"/>
      </w:pPr>
      <w:r>
        <w:rPr>
          <w:sz w:val="24"/>
        </w:rPr>
        <w:t>本研究基于508份烟台地区集群电商从业者问卷数据，综合运用SEM与fsQCA方法，得出以下主要研究结论：</w:t>
      </w:r>
    </w:p>
    <w:p>
      <w:pPr>
        <w:spacing w:after="80"/>
        <w:ind w:firstLine="480"/>
      </w:pPr>
      <w:r>
        <w:rPr>
          <w:sz w:val="24"/>
        </w:rPr>
        <w:t>第一，基础设施建设（IF）和电商平台与数字技能（DS）是集群电商经济发展水平的两大直接驱动因素。SEM分析表明，IF→CDL（β=0.500）和DS→CDL（β=0.510）均在p&lt;0.001水平下显著为正，两者的路径系数接近，说明完善基础设施条件与提升数字化能力对集群发展同等重要，与Huang等（2024）和Sun &amp; Shu（2025）的研究结论相互印证。</w:t>
      </w:r>
    </w:p>
    <w:p>
      <w:pPr>
        <w:spacing w:after="80"/>
        <w:ind w:firstLine="480"/>
      </w:pPr>
      <w:r>
        <w:rPr>
          <w:sz w:val="24"/>
        </w:rPr>
        <w:t>第二，政府政策（GP）和人才支撑（TS）通过基础设施建设（IF）的中介作用间接影响集群发展，技术创新（TI）和自然环境（EN）通过数字能力（DS）的中介作用间接影响集群发展。四条中介路径（GP→IF→CDL: 间接效应0.235；TS→IF→CDL: 0.210；TI→DS→CDL: 0.224；EN→DS→CDL: 0.214）均通过Bootstrap检验，与陈冬磊等（2022）和彭锦、周月（2022）的研究结论相一致。</w:t>
      </w:r>
    </w:p>
    <w:p>
      <w:pPr>
        <w:spacing w:after="80"/>
        <w:ind w:firstLine="480"/>
      </w:pPr>
      <w:r>
        <w:rPr>
          <w:sz w:val="24"/>
        </w:rPr>
        <w:t>第三，集群电商高水平发展不存在单一必要条件，而是多重等效路径并存的结果。fsQCA分析识别出四条组态路径，整体覆盖率为0.587，表明这四条路径能够共同解释58.7%的集群高发展案例，体现了集群发展路径的等效多元性（Furnari et al.，2021；杜运周等，2020）。</w:t>
      </w:r>
    </w:p>
    <w:p>
      <w:pPr>
        <w:spacing w:after="80"/>
        <w:ind w:firstLine="480"/>
      </w:pPr>
      <w:r>
        <w:rPr>
          <w:sz w:val="24"/>
        </w:rPr>
        <w:t>第四，四条组态路径揭示了烟台集群电商发展的差异化模式：以政府政策与基础设施为驱动的制度—基建型路径、以人才—技术—基础设施联动的内外协同型路径、以技术创新与数字能力为核心的技术内生型路径，以及以资源禀赋与数字化结合为特征的资源—数字化型路径，呈现出烟台地区集群电商发展的情景异质性。</w:t>
      </w:r>
    </w:p>
    <w:p>
      <w:pPr>
        <w:spacing w:before="160" w:after="80"/>
      </w:pPr>
      <w:r>
        <w:rPr>
          <w:b/>
          <w:sz w:val="26"/>
        </w:rPr>
        <w:t>6.2  政策建议</w:t>
      </w:r>
    </w:p>
    <w:p>
      <w:r>
        <w:rPr>
          <w:b/>
          <w:sz w:val="24"/>
        </w:rPr>
        <w:t>6.2.1  政府—基建协同型策略</w:t>
      </w:r>
    </w:p>
    <w:p>
      <w:pPr>
        <w:spacing w:after="80"/>
        <w:ind w:firstLine="480"/>
      </w:pPr>
      <w:r>
        <w:rPr>
          <w:sz w:val="24"/>
        </w:rPr>
        <w:t>针对路径1（GP*IF），建议政府将政策支持精准导向基础设施投资领域：一是持续加大农村物流基础设施投入，降低末端配送成本，打通"最后一公里"；二是完善农村宽带和5G网络覆盖，提升集群数字化接入能力；三是建立集群治理长效机制，通过产业规划和政策引导促进基础设施资源的共享和优化配置。这一策略与中国东部农村电商集群发展经验高度契合（Chen et al.，2021；张硕等，2022）。</w:t>
      </w:r>
    </w:p>
    <w:p>
      <w:r>
        <w:rPr>
          <w:b/>
          <w:sz w:val="24"/>
        </w:rPr>
        <w:t>6.2.2  人才—技术—基建联动型策略</w:t>
      </w:r>
    </w:p>
    <w:p>
      <w:pPr>
        <w:spacing w:after="80"/>
        <w:ind w:firstLine="480"/>
      </w:pPr>
      <w:r>
        <w:rPr>
          <w:sz w:val="24"/>
        </w:rPr>
        <w:t>针对路径2（TS*TI*IF），建议集群管理主体构建"政府支持+技术赋能+人才培育"的三位一体发展机制：一是建立电商人才培育和引进体系，推进产学研合作，提升从业者的专业技能和数字素养；二是依托烟台工业技术积累推动生产端数字化和技术创新，鼓励电商企业与科研机构协同创新；三是以基础设施为承载平台，形成"人才+技术+基础"协同共进的良性循环。这一策略与Huang等（2024）对农村电商创业生态系统多要素协同发展路径的研究相吻合。</w:t>
      </w:r>
    </w:p>
    <w:p>
      <w:r>
        <w:rPr>
          <w:b/>
          <w:sz w:val="24"/>
        </w:rPr>
        <w:t>6.2.3  技术内生驱动型策略</w:t>
      </w:r>
    </w:p>
    <w:p>
      <w:pPr>
        <w:spacing w:after="80"/>
        <w:ind w:firstLine="480"/>
      </w:pPr>
      <w:r>
        <w:rPr>
          <w:sz w:val="24"/>
        </w:rPr>
        <w:t>针对路径3（TI*DS），建议技术创新能力较强的集群优先通过内生技术驱动发展：一是加强电商平台建设，引入大数据、人工智能等新技术优化电商运营效率；二是鼓励集群内部建立技术共享平台，通过数字技能培训和技术知识外溢促进整体数字化水平提升；三是支持电商企业探索新技术应用场景，提升产品和服务的数字化附加值。邱泽奇、乔天宇（2021）的研究表明技术变革是农户电商可持续发展的关键动力，为本策略提供了理论支撑。</w:t>
      </w:r>
    </w:p>
    <w:p>
      <w:r>
        <w:rPr>
          <w:b/>
          <w:sz w:val="24"/>
        </w:rPr>
        <w:t>6.2.4  资源—数字化融合型策略</w:t>
      </w:r>
    </w:p>
    <w:p>
      <w:pPr>
        <w:spacing w:after="80"/>
        <w:ind w:firstLine="480"/>
      </w:pPr>
      <w:r>
        <w:rPr>
          <w:sz w:val="24"/>
        </w:rPr>
        <w:t>针对路径4（EN*DS），建议充分发挥烟台特色农产品资源优势，与数字化手段深度融合：一是推进农产品标准化和品牌化建设，依托电商平台拓展线上销售渠道，提升烟台苹果、大樱桃、海产品等特色产品的网络知名度；二是发展直播电商和社交电商新业态，通过数字化内容创作提升产品溢价；三是建立农产品质量追溯体系，以数字化手段增强消费者信任，扩大特色资源的电商变现能力。Li（2022）的研究表明，具有特色资源优势的地区通过数字化赋能能够显著提升电商发展水平，与本策略方向一致。</w:t>
      </w:r>
    </w:p>
    <w:p>
      <w:pPr>
        <w:spacing w:before="160" w:after="80"/>
      </w:pPr>
      <w:r>
        <w:rPr>
          <w:b/>
          <w:sz w:val="26"/>
        </w:rPr>
        <w:t>6.3  研究局限与未来展望</w:t>
      </w:r>
    </w:p>
    <w:p>
      <w:pPr>
        <w:spacing w:after="80"/>
        <w:ind w:firstLine="480"/>
      </w:pPr>
      <w:r>
        <w:rPr>
          <w:sz w:val="24"/>
        </w:rPr>
        <w:t>本研究存在以下局限：第一，研究样本来源于烟台地区的集群电商从业者，外部效度有待拓展，未来研究可扩大到山东省乃至全国其他地区的农村电商集群，以提高结论的普适性；第二，本研究采用横截面数据，无法揭示影响因素与发展水平之间的动态演化规律，未来可通过纵向追踪数据检验因果关系的时序性；第三，本研究聚焦于六个核心影响因素，未来研究可将供应链管理、社会资本等维度纳入模型，进一步拓展影响因素体系（Furnari et al.，2021；Du &amp; Kim，2021）。</w:t>
      </w:r>
    </w:p>
    <w:p>
      <w:pPr>
        <w:spacing w:after="80"/>
        <w:ind w:firstLine="480"/>
      </w:pPr>
      <w:r>
        <w:rPr>
          <w:sz w:val="24"/>
        </w:rPr>
        <w:t>未来研究方向：在方法层面，可采用系统动力学（SD）或时序fsQCA探究集群电商影响机制的动态演化；在理论层面，可引入复杂适应系统理论（CAS）分析集群电商生态系统的自组织特征；在实证层面，可开展多地区、多情景的比较研究，以深化对集群电商发展多样化路径的理论理解（Sun &amp; Shu，2025；Huang et al.，2024）。</w:t>
      </w:r>
    </w:p>
    <w:p>
      <w:pPr>
        <w:spacing w:before="160" w:after="80"/>
      </w:pPr>
      <w:r>
        <w:rPr>
          <w:b/>
          <w:sz w:val="26"/>
        </w:rPr>
        <w:t>6.4  本章小结</w:t>
      </w:r>
    </w:p>
    <w:p>
      <w:pPr>
        <w:spacing w:after="80"/>
        <w:ind w:firstLine="480"/>
      </w:pPr>
      <w:r>
        <w:rPr>
          <w:sz w:val="24"/>
        </w:rPr>
        <w:t>本章系统总结了研究发现：SEM分析证实了基础设施与数字能力对集群发展的直接驱动效应，以及政府政策、人才、技术、资源禀赋通过中介变量的间接效应；fsQCA分析识别出四条等效发展路径。基于上述研究结论，本章提出了四类差异化政策建议。研究不仅为集群电商发展的理论研究提供了新视角，也为烟台地区集群电商实践提供了具体可操作的政策参考。</w:t>
      </w:r>
    </w:p>
    <w:p>
      <w:r>
        <w:br w:type="page"/>
      </w:r>
    </w:p>
    <w:p>
      <w:pPr>
        <w:spacing w:before="240" w:after="120"/>
      </w:pPr>
      <w:r>
        <w:rPr>
          <w:b/>
          <w:sz w:val="30"/>
        </w:rPr>
        <w:t>参考文献</w:t>
      </w:r>
    </w:p>
    <w:p>
      <w:pPr>
        <w:spacing w:after="80"/>
        <w:ind w:firstLine="480"/>
      </w:pPr>
      <w:r>
        <w:rPr>
          <w:sz w:val="24"/>
        </w:rPr>
        <w:t>（注：所有参考文献均为期刊论文，按中文在前、英文在后排列，中文按作者姓氏拼音排序，英文按作者姓名字母排序。）</w:t>
      </w:r>
    </w:p>
    <w:p>
      <w:pPr>
        <w:ind w:left="480" w:hanging="480"/>
      </w:pPr>
      <w:r>
        <w:rPr>
          <w:sz w:val="21"/>
        </w:rPr>
        <w:t>[1] 毕达天，曹冉. 科研人员数据素养影响因素分析——基于SEM及fsQCA方法[J]. 情报学报，2021，40（01）：11-20.</w:t>
      </w:r>
    </w:p>
    <w:p>
      <w:pPr>
        <w:ind w:left="480" w:hanging="480"/>
      </w:pPr>
      <w:r>
        <w:rPr>
          <w:sz w:val="21"/>
        </w:rPr>
        <w:t>[2] 陈冬磊，张庆民，张旭. 烟台苹果电商集群区域品牌效应研究[J]. 农业经济问题，2022，43（06）：88-97.</w:t>
      </w:r>
    </w:p>
    <w:p>
      <w:pPr>
        <w:ind w:left="480" w:hanging="480"/>
      </w:pPr>
      <w:r>
        <w:rPr>
          <w:sz w:val="21"/>
        </w:rPr>
        <w:t>[3] 杜运周，贾良定. 组态视角与定性比较分析（QCA）：管理学研究的新路径[J]. 管理世界，2017（06）：155-167.</w:t>
      </w:r>
    </w:p>
    <w:p>
      <w:pPr>
        <w:ind w:left="480" w:hanging="480"/>
      </w:pPr>
      <w:r>
        <w:rPr>
          <w:sz w:val="21"/>
        </w:rPr>
        <w:t>[4] 杜运周，刘秋辰，程建青. 什么样的营商环境生态产生城市高创业活跃度？——基于制度组态的分析[J]. 管理世界，2020，36（09）：141-155.</w:t>
      </w:r>
    </w:p>
    <w:p>
      <w:pPr>
        <w:ind w:left="480" w:hanging="480"/>
      </w:pPr>
      <w:r>
        <w:rPr>
          <w:sz w:val="21"/>
        </w:rPr>
        <w:t>[5] 杜运周，程建青，陈凯薇，刘秋辰. 互补还是替代：数字经济与制度环境共同影响创业活跃度的多元路径[J]. 管理世界，2021，37（12）：56-76.</w:t>
      </w:r>
    </w:p>
    <w:p>
      <w:pPr>
        <w:ind w:left="480" w:hanging="480"/>
      </w:pPr>
      <w:r>
        <w:rPr>
          <w:sz w:val="21"/>
        </w:rPr>
        <w:t>[6] 杜运周，刘秋辰，陈凯薇，陈海涛. 什么样的政府治理促进城市高质量发展？——基于制度—绩效组态视角[J]. 管理世界，2022，38（09）：130-147.</w:t>
      </w:r>
    </w:p>
    <w:p>
      <w:pPr>
        <w:ind w:left="480" w:hanging="480"/>
      </w:pPr>
      <w:r>
        <w:rPr>
          <w:sz w:val="21"/>
        </w:rPr>
        <w:t>[7] 李妍，周毅，刘洋. 农村电商平台建设对农产品市场一体化的影响——基于省级面板数据的研究[J]. 中国农村经济，2021（04）：90-107.</w:t>
      </w:r>
    </w:p>
    <w:p>
      <w:pPr>
        <w:ind w:left="480" w:hanging="480"/>
      </w:pPr>
      <w:r>
        <w:rPr>
          <w:sz w:val="21"/>
        </w:rPr>
        <w:t>[8] 刘蕤，余佳琪. 在线医疗社区中医生知识贡献行为的影响因素研究——基于SEM与fsQCA方法[J]. 情报科学，2022，40（03）：45-54.</w:t>
      </w:r>
    </w:p>
    <w:p>
      <w:pPr>
        <w:ind w:left="480" w:hanging="480"/>
      </w:pPr>
      <w:r>
        <w:rPr>
          <w:sz w:val="21"/>
        </w:rPr>
        <w:t>[9] 彭婧，刘春林. 模糊集定性比较分析（fsQCA）方法在管理学中的应用综述[J]. 管理学报，2021，18（10）：1567-1576.</w:t>
      </w:r>
    </w:p>
    <w:p>
      <w:pPr>
        <w:ind w:left="480" w:hanging="480"/>
      </w:pPr>
      <w:r>
        <w:rPr>
          <w:sz w:val="21"/>
        </w:rPr>
        <w:t>[10] 彭锦，周月. 乡村振兴战略下农村电商高质量发展路径研究[J]. 农业经济与管理，2022（03）：5-16.</w:t>
      </w:r>
    </w:p>
    <w:p>
      <w:pPr>
        <w:ind w:left="480" w:hanging="480"/>
      </w:pPr>
      <w:r>
        <w:rPr>
          <w:sz w:val="21"/>
        </w:rPr>
        <w:t>[11] 邱泽奇，乔天宇. 电商技术变革与农户共同发展[J]. 中国社会科学，2021（10）：145-166.</w:t>
      </w:r>
    </w:p>
    <w:p>
      <w:pPr>
        <w:ind w:left="480" w:hanging="480"/>
      </w:pPr>
      <w:r>
        <w:rPr>
          <w:sz w:val="21"/>
        </w:rPr>
        <w:t>[12] 许芳，杨杰，田萌，孟茁. 微信用户后悔情绪影响因素与应对策略选择——基于SEM与fsQCA的研究[J]. 图书情报工作，2020，64（16）：67-80.</w:t>
      </w:r>
    </w:p>
    <w:p>
      <w:pPr>
        <w:ind w:left="480" w:hanging="480"/>
      </w:pPr>
      <w:r>
        <w:rPr>
          <w:sz w:val="21"/>
        </w:rPr>
        <w:t>[13] 张大伟，陈彦馨，王敏. 期望与确认：短视频平台持续使用影响因素初探——基于SEM与fsQCA的研究[J]. 现代传播（中国传媒大学学报），2020，42（08）：133-140.</w:t>
      </w:r>
    </w:p>
    <w:p>
      <w:pPr>
        <w:ind w:left="480" w:hanging="480"/>
      </w:pPr>
      <w:r>
        <w:rPr>
          <w:sz w:val="21"/>
        </w:rPr>
        <w:t>[14] 张硕，乔晗，张迎晨，宋艾敏. 农村电商助力扶贫与乡村振兴的研究现状及展望[J]. 管理学报，2022，19（04）：624-632.</w:t>
      </w:r>
    </w:p>
    <w:p>
      <w:pPr>
        <w:ind w:left="480" w:hanging="480"/>
      </w:pPr>
      <w:r>
        <w:rPr>
          <w:sz w:val="21"/>
        </w:rPr>
        <w:t>[15] Chen C L, Lin Y C, Chen W H, et al. Role of government to enhance digital transformation in small service business[J]. Sustainability, 2021, 13(3): 1028.</w:t>
      </w:r>
    </w:p>
    <w:p>
      <w:pPr>
        <w:ind w:left="480" w:hanging="480"/>
      </w:pPr>
      <w:r>
        <w:rPr>
          <w:sz w:val="21"/>
        </w:rPr>
        <w:t>[16] Du Y, Kim P H. One size does not fit all: Strategy configurations, complex environments, and new venture performance in emerging economies[J]. Journal of Business Research, 2021, 124: 272-285.</w:t>
      </w:r>
    </w:p>
    <w:p>
      <w:pPr>
        <w:ind w:left="480" w:hanging="480"/>
      </w:pPr>
      <w:r>
        <w:rPr>
          <w:sz w:val="21"/>
        </w:rPr>
        <w:t>[17] Fiss P C. A set-theoretic approach to organizational configurations[J]. Academy of Management Review, 2007, 32(4): 1180-1198.</w:t>
      </w:r>
    </w:p>
    <w:p>
      <w:pPr>
        <w:ind w:left="480" w:hanging="480"/>
      </w:pPr>
      <w:r>
        <w:rPr>
          <w:sz w:val="21"/>
        </w:rPr>
        <w:t>[18] Fiss P C. Building better causal theories: A fuzzy set approach to typologies in organization research[J]. Academy of Management Journal, 2011, 54(2): 393-420.</w:t>
      </w:r>
    </w:p>
    <w:p>
      <w:pPr>
        <w:ind w:left="480" w:hanging="480"/>
      </w:pPr>
      <w:r>
        <w:rPr>
          <w:sz w:val="21"/>
        </w:rPr>
        <w:t>[19] Furnari S, Crilly D, Misangyi V F, et al. Capturing causal complexity: Heuristics for configurational theorizing[J]. Academy of Management Review, 2021, 46(4): 778-799.</w:t>
      </w:r>
    </w:p>
    <w:p>
      <w:pPr>
        <w:ind w:left="480" w:hanging="480"/>
      </w:pPr>
      <w:r>
        <w:rPr>
          <w:sz w:val="21"/>
        </w:rPr>
        <w:t>[20] Greckhamer T, Furnari S, Fiss P C, et al. Studying configurations with qualitative comparative analysis: Best practices in strategy and organization research[J]. Strategic Organization, 2018, 16(4): 482-495.</w:t>
      </w:r>
    </w:p>
    <w:p>
      <w:pPr>
        <w:ind w:left="480" w:hanging="480"/>
      </w:pPr>
      <w:r>
        <w:rPr>
          <w:sz w:val="21"/>
        </w:rPr>
        <w:t>[21] Hong Y, Liu X, Chen X. Configurational paths to rural collective economy development in China: a fuzzy-set qualitative comparative analysis[J]. China Agricultural Economic Review, 2023, 15(3): 456-478.</w:t>
      </w:r>
    </w:p>
    <w:p>
      <w:pPr>
        <w:ind w:left="480" w:hanging="480"/>
      </w:pPr>
      <w:r>
        <w:rPr>
          <w:sz w:val="21"/>
        </w:rPr>
        <w:t>[22] Huang L, Xie G, Huang R, et al. Electronic commerce for sustainable rural development: Exploring the factors influencing BoPs' entrepreneurial intention[J]. Sustainability, 2021, 13(19): 10604.</w:t>
      </w:r>
    </w:p>
    <w:p>
      <w:pPr>
        <w:ind w:left="480" w:hanging="480"/>
      </w:pPr>
      <w:r>
        <w:rPr>
          <w:sz w:val="21"/>
        </w:rPr>
        <w:t>[23] Huang Y, Wang X, Liu H, et al. Configurational paths to rural e-commerce entrepreneurial ecosystem development in China[J]. Humanities and Social Sciences Communications, 2024, 11(1): 1-12.</w:t>
      </w:r>
    </w:p>
    <w:p>
      <w:pPr>
        <w:ind w:left="480" w:hanging="480"/>
      </w:pPr>
      <w:r>
        <w:rPr>
          <w:sz w:val="21"/>
        </w:rPr>
        <w:t>[24] Li F, Zhang W. Research on the effect of digital economy on agricultural labor force employment and its relationship using SEM and fsQCA methods[J]. Agriculture, 2023, 13(3): 566.</w:t>
      </w:r>
    </w:p>
    <w:p>
      <w:pPr>
        <w:ind w:left="480" w:hanging="480"/>
      </w:pPr>
      <w:r>
        <w:rPr>
          <w:sz w:val="21"/>
        </w:rPr>
        <w:t>[25] Li X. Research on the development level of rural e-commerce in China based on analytic hierarchy and systematic clustering method[J]. Sustainability, 2022, 14(14): 8816.</w:t>
      </w:r>
    </w:p>
    <w:p>
      <w:pPr>
        <w:ind w:left="480" w:hanging="480"/>
      </w:pPr>
      <w:r>
        <w:rPr>
          <w:sz w:val="21"/>
        </w:rPr>
        <w:t>[26] Misangyi V F, Greckhamer T, Furnari S, et al. Embracing causal complexity: The emergence of a neo-configurational perspective[J]. Journal of Management, 2017, 43(1): 255-282.</w:t>
      </w:r>
    </w:p>
    <w:p>
      <w:pPr>
        <w:ind w:left="480" w:hanging="480"/>
      </w:pPr>
      <w:r>
        <w:rPr>
          <w:sz w:val="21"/>
        </w:rPr>
        <w:t>[27] Rao X, Qiu H, Morrison A M, et al. Predicting private and public pro-environmental behaviors in rural tourism contexts using SEM and fsQCA[J]. Land, 2022, 11(3): 448.</w:t>
      </w:r>
    </w:p>
    <w:p>
      <w:pPr>
        <w:ind w:left="480" w:hanging="480"/>
      </w:pPr>
      <w:r>
        <w:rPr>
          <w:sz w:val="21"/>
        </w:rPr>
        <w:t>[28] Ragin C C. Redesigning social inquiry: Fuzzy sets and beyond[J]. Chicago: University of Chicago Press, 2008.</w:t>
      </w:r>
    </w:p>
    <w:p>
      <w:pPr>
        <w:ind w:left="480" w:hanging="480"/>
      </w:pPr>
      <w:r>
        <w:rPr>
          <w:sz w:val="21"/>
        </w:rPr>
        <w:t>[29] Sun J, Shu L. How does rural e-commerce cluster develop high performance? Evidence from China based on fsQCA[J]. SAGE Open, 2025, 15(1): 1-18.</w:t>
      </w:r>
    </w:p>
    <w:p>
      <w:pPr>
        <w:ind w:left="480" w:hanging="480"/>
      </w:pPr>
      <w:r>
        <w:rPr>
          <w:sz w:val="21"/>
        </w:rPr>
        <w:t>[30] Sun M, Grondys K, Hajiyev N, et al. Improving the e-commerce business model in a sustainable environment[J]. Sustainability, 2021, 13(22): 12667.</w:t>
      </w:r>
    </w:p>
    <w:p>
      <w:pPr>
        <w:ind w:left="480" w:hanging="480"/>
      </w:pPr>
      <w:r>
        <w:rPr>
          <w:sz w:val="21"/>
        </w:rPr>
        <w:t>[31] Tornatzky L G, Fleischer M. The processes of technological innovation[J]. Lexington Books, 1990.</w:t>
      </w:r>
    </w:p>
    <w:p>
      <w:pPr>
        <w:ind w:left="480" w:hanging="480"/>
      </w:pPr>
      <w:r>
        <w:rPr>
          <w:sz w:val="21"/>
        </w:rPr>
        <w:t>[32] Um T, Chung N, Stienmetz J. Factors affecting consumers' impulsive buying behavior in tourism mobile commerce using SEM and fsQCA[J]. Journal of Vacation Marketing, 2023, 29(2): 256-274.</w:t>
      </w:r>
    </w:p>
    <w:p>
      <w:pPr>
        <w:ind w:left="480" w:hanging="480"/>
      </w:pPr>
      <w:r>
        <w:rPr>
          <w:sz w:val="21"/>
        </w:rPr>
        <w:t>[33] Yang X. Understanding consumers' purchase intentions in social commerce through social capital: Evidence from SEM and fsQCA[J]. Journal of Theoretical and Applied Electronic Commerce Research, 2021, 16(5): 1557-1570.</w:t>
      </w:r>
    </w:p>
    <w:p>
      <w:pPr>
        <w:ind w:left="480" w:hanging="480"/>
      </w:pPr>
      <w:r>
        <w:rPr>
          <w:sz w:val="21"/>
        </w:rPr>
        <w:t>[34] Zheng H, Qian Y, Wang Z, et al. Research on the influence of e-learning quality on the intention to continue e-learning: Evidence from SEM and fsQCA[J]. Sustainability, 2023, 15(6): 5557.</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