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歌尔股份有限公司物资供应管理系统设计</w:t>
      </w:r>
    </w:p>
    <w:p>
      <w:r>
        <w:rPr>
          <w:rFonts w:ascii="宋体" w:hAnsi="宋体" w:eastAsia="宋体"/>
          <w:b w:val="0"/>
          <w:sz w:val="24"/>
        </w:rPr>
      </w:r>
    </w:p>
    <w:p>
      <w:pPr>
        <w:pStyle w:val="Heading1"/>
      </w:pPr>
      <w:r>
        <w:t>第一章 企业背景与经营痛点分析</w:t>
      </w:r>
    </w:p>
    <w:p>
      <w:pPr>
        <w:pStyle w:val="Heading2"/>
      </w:pPr>
      <w:r>
        <w:t>1.1 企业概况</w:t>
      </w:r>
    </w:p>
    <w:p>
      <w:pPr>
        <w:ind w:firstLine="420"/>
      </w:pPr>
      <w:r>
        <w:rPr>
          <w:rFonts w:ascii="宋体" w:hAnsi="宋体" w:eastAsia="宋体"/>
          <w:b w:val="0"/>
          <w:sz w:val="24"/>
        </w:rPr>
        <w:t>歌尔股份有限公司（股票代码：002241.SZ）成立于2001年，总部位于山东省潍坊市，是中国领先的声学、光学、微电子及精密制造企业。公司主营业务涵盖智能硬件（VR/AR设备等）、智能声学整机（TWS耳机等）和精密零组件三大板块，是全球知名消费电子品牌的核心供应商和代工制造商，在全球VR设备代工领域居于行业领先地位。</w:t>
      </w:r>
    </w:p>
    <w:p>
      <w:pPr>
        <w:ind w:firstLine="420"/>
      </w:pPr>
      <w:r>
        <w:rPr>
          <w:rFonts w:ascii="宋体" w:hAnsi="宋体" w:eastAsia="宋体"/>
          <w:b w:val="0"/>
          <w:sz w:val="24"/>
        </w:rPr>
        <w:t>公司在全球拥有多个生产基地，覆盖中国山东、江苏、广东以及越南等海外区域，员工规模超过6万人。歌尔股份于2008年在深圳证券交易所上市，是消费电子产业链中从声学元器件起步、逐步向整机代工和智能硬件平台型企业转型的典型代表。</w:t>
      </w:r>
    </w:p>
    <w:p>
      <w:pPr>
        <w:pStyle w:val="Heading2"/>
      </w:pPr>
      <w:r>
        <w:t>1.2 近三年关键财务数据</w:t>
      </w:r>
    </w:p>
    <w:p>
      <w:pPr>
        <w:ind w:firstLine="420"/>
      </w:pPr>
      <w:r>
        <w:rPr>
          <w:rFonts w:ascii="宋体" w:hAnsi="宋体" w:eastAsia="宋体"/>
          <w:b w:val="0"/>
          <w:sz w:val="24"/>
        </w:rPr>
        <w:t>为准确把握歌尔股份当前的经营状况与供应链管理痛点，本文首先梳理企业近三年（2022-2024年）的关键财务指标，数据来源于公司年度报告及公开披露信息：</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财务指标</w:t>
            </w:r>
          </w:p>
        </w:tc>
        <w:tc>
          <w:tcPr>
            <w:tcW w:type="dxa" w:w="2160"/>
          </w:tcPr>
          <w:p>
            <w:pPr>
              <w:jc w:val="center"/>
            </w:pPr>
            <w:r>
              <w:rPr>
                <w:b/>
                <w:sz w:val="20"/>
              </w:rPr>
              <w:t>2022年</w:t>
            </w:r>
          </w:p>
        </w:tc>
        <w:tc>
          <w:tcPr>
            <w:tcW w:type="dxa" w:w="2160"/>
          </w:tcPr>
          <w:p>
            <w:pPr>
              <w:jc w:val="center"/>
            </w:pPr>
            <w:r>
              <w:rPr>
                <w:b/>
                <w:sz w:val="20"/>
              </w:rPr>
              <w:t>2023年</w:t>
            </w:r>
          </w:p>
        </w:tc>
        <w:tc>
          <w:tcPr>
            <w:tcW w:type="dxa" w:w="2160"/>
          </w:tcPr>
          <w:p>
            <w:pPr>
              <w:jc w:val="center"/>
            </w:pPr>
            <w:r>
              <w:rPr>
                <w:b/>
                <w:sz w:val="20"/>
              </w:rPr>
              <w:t>2024年</w:t>
            </w:r>
          </w:p>
        </w:tc>
      </w:tr>
      <w:tr>
        <w:tc>
          <w:tcPr>
            <w:tcW w:type="dxa" w:w="2160"/>
          </w:tcPr>
          <w:p>
            <w:pPr>
              <w:jc w:val="center"/>
            </w:pPr>
            <w:r>
              <w:rPr>
                <w:sz w:val="20"/>
              </w:rPr>
              <w:t>营业总收入（亿元）</w:t>
            </w:r>
          </w:p>
        </w:tc>
        <w:tc>
          <w:tcPr>
            <w:tcW w:type="dxa" w:w="2160"/>
          </w:tcPr>
          <w:p>
            <w:pPr>
              <w:jc w:val="center"/>
            </w:pPr>
            <w:r>
              <w:rPr>
                <w:sz w:val="20"/>
              </w:rPr>
              <w:t>1,048.94</w:t>
            </w:r>
          </w:p>
        </w:tc>
        <w:tc>
          <w:tcPr>
            <w:tcW w:type="dxa" w:w="2160"/>
          </w:tcPr>
          <w:p>
            <w:pPr>
              <w:jc w:val="center"/>
            </w:pPr>
            <w:r>
              <w:rPr>
                <w:sz w:val="20"/>
              </w:rPr>
              <w:t>985.74</w:t>
            </w:r>
          </w:p>
        </w:tc>
        <w:tc>
          <w:tcPr>
            <w:tcW w:type="dxa" w:w="2160"/>
          </w:tcPr>
          <w:p>
            <w:pPr>
              <w:jc w:val="center"/>
            </w:pPr>
            <w:r>
              <w:rPr>
                <w:sz w:val="20"/>
              </w:rPr>
              <w:t>1,009.54</w:t>
            </w:r>
          </w:p>
        </w:tc>
      </w:tr>
      <w:tr>
        <w:tc>
          <w:tcPr>
            <w:tcW w:type="dxa" w:w="2160"/>
          </w:tcPr>
          <w:p>
            <w:pPr>
              <w:jc w:val="center"/>
            </w:pPr>
            <w:r>
              <w:rPr>
                <w:sz w:val="20"/>
              </w:rPr>
              <w:t>同比增长率</w:t>
            </w:r>
          </w:p>
        </w:tc>
        <w:tc>
          <w:tcPr>
            <w:tcW w:type="dxa" w:w="2160"/>
          </w:tcPr>
          <w:p>
            <w:pPr>
              <w:jc w:val="center"/>
            </w:pPr>
            <w:r>
              <w:rPr>
                <w:sz w:val="20"/>
              </w:rPr>
              <w:t>+34.10%</w:t>
            </w:r>
          </w:p>
        </w:tc>
        <w:tc>
          <w:tcPr>
            <w:tcW w:type="dxa" w:w="2160"/>
          </w:tcPr>
          <w:p>
            <w:pPr>
              <w:jc w:val="center"/>
            </w:pPr>
            <w:r>
              <w:rPr>
                <w:sz w:val="20"/>
              </w:rPr>
              <w:t>-6.03%</w:t>
            </w:r>
          </w:p>
        </w:tc>
        <w:tc>
          <w:tcPr>
            <w:tcW w:type="dxa" w:w="2160"/>
          </w:tcPr>
          <w:p>
            <w:pPr>
              <w:jc w:val="center"/>
            </w:pPr>
            <w:r>
              <w:rPr>
                <w:sz w:val="20"/>
              </w:rPr>
              <w:t>+2.41%</w:t>
            </w:r>
          </w:p>
        </w:tc>
      </w:tr>
      <w:tr>
        <w:tc>
          <w:tcPr>
            <w:tcW w:type="dxa" w:w="2160"/>
          </w:tcPr>
          <w:p>
            <w:pPr>
              <w:jc w:val="center"/>
            </w:pPr>
            <w:r>
              <w:rPr>
                <w:sz w:val="20"/>
              </w:rPr>
              <w:t>归母净利润（亿元）</w:t>
            </w:r>
          </w:p>
        </w:tc>
        <w:tc>
          <w:tcPr>
            <w:tcW w:type="dxa" w:w="2160"/>
          </w:tcPr>
          <w:p>
            <w:pPr>
              <w:jc w:val="center"/>
            </w:pPr>
            <w:r>
              <w:rPr>
                <w:sz w:val="20"/>
              </w:rPr>
              <w:t>17.49</w:t>
            </w:r>
          </w:p>
        </w:tc>
        <w:tc>
          <w:tcPr>
            <w:tcW w:type="dxa" w:w="2160"/>
          </w:tcPr>
          <w:p>
            <w:pPr>
              <w:jc w:val="center"/>
            </w:pPr>
            <w:r>
              <w:rPr>
                <w:sz w:val="20"/>
              </w:rPr>
              <w:t>10.88</w:t>
            </w:r>
          </w:p>
        </w:tc>
        <w:tc>
          <w:tcPr>
            <w:tcW w:type="dxa" w:w="2160"/>
          </w:tcPr>
          <w:p>
            <w:pPr>
              <w:jc w:val="center"/>
            </w:pPr>
            <w:r>
              <w:rPr>
                <w:sz w:val="20"/>
              </w:rPr>
              <w:t>26.65</w:t>
            </w:r>
          </w:p>
        </w:tc>
      </w:tr>
      <w:tr>
        <w:tc>
          <w:tcPr>
            <w:tcW w:type="dxa" w:w="2160"/>
          </w:tcPr>
          <w:p>
            <w:pPr>
              <w:jc w:val="center"/>
            </w:pPr>
            <w:r>
              <w:rPr>
                <w:sz w:val="20"/>
              </w:rPr>
              <w:t>净利润同比增长</w:t>
            </w:r>
          </w:p>
        </w:tc>
        <w:tc>
          <w:tcPr>
            <w:tcW w:type="dxa" w:w="2160"/>
          </w:tcPr>
          <w:p>
            <w:pPr>
              <w:jc w:val="center"/>
            </w:pPr>
            <w:r>
              <w:rPr>
                <w:sz w:val="20"/>
              </w:rPr>
              <w:t>-59.08%</w:t>
            </w:r>
          </w:p>
        </w:tc>
        <w:tc>
          <w:tcPr>
            <w:tcW w:type="dxa" w:w="2160"/>
          </w:tcPr>
          <w:p>
            <w:pPr>
              <w:jc w:val="center"/>
            </w:pPr>
            <w:r>
              <w:rPr>
                <w:sz w:val="20"/>
              </w:rPr>
              <w:t>-37.80%</w:t>
            </w:r>
          </w:p>
        </w:tc>
        <w:tc>
          <w:tcPr>
            <w:tcW w:type="dxa" w:w="2160"/>
          </w:tcPr>
          <w:p>
            <w:pPr>
              <w:jc w:val="center"/>
            </w:pPr>
            <w:r>
              <w:rPr>
                <w:sz w:val="20"/>
              </w:rPr>
              <w:t>+144.93%</w:t>
            </w:r>
          </w:p>
        </w:tc>
      </w:tr>
      <w:tr>
        <w:tc>
          <w:tcPr>
            <w:tcW w:type="dxa" w:w="2160"/>
          </w:tcPr>
          <w:p>
            <w:pPr>
              <w:jc w:val="center"/>
            </w:pPr>
            <w:r>
              <w:rPr>
                <w:sz w:val="20"/>
              </w:rPr>
              <w:t>综合毛利率</w:t>
            </w:r>
          </w:p>
        </w:tc>
        <w:tc>
          <w:tcPr>
            <w:tcW w:type="dxa" w:w="2160"/>
          </w:tcPr>
          <w:p>
            <w:pPr>
              <w:jc w:val="center"/>
            </w:pPr>
            <w:r>
              <w:rPr>
                <w:sz w:val="20"/>
              </w:rPr>
              <w:t>约13.7%</w:t>
            </w:r>
          </w:p>
        </w:tc>
        <w:tc>
          <w:tcPr>
            <w:tcW w:type="dxa" w:w="2160"/>
          </w:tcPr>
          <w:p>
            <w:pPr>
              <w:jc w:val="center"/>
            </w:pPr>
            <w:r>
              <w:rPr>
                <w:sz w:val="20"/>
              </w:rPr>
              <w:t>约8.0%</w:t>
            </w:r>
          </w:p>
        </w:tc>
        <w:tc>
          <w:tcPr>
            <w:tcW w:type="dxa" w:w="2160"/>
          </w:tcPr>
          <w:p>
            <w:pPr>
              <w:jc w:val="center"/>
            </w:pPr>
            <w:r>
              <w:rPr>
                <w:sz w:val="20"/>
              </w:rPr>
              <w:t>约10.6%</w:t>
            </w:r>
          </w:p>
        </w:tc>
      </w:tr>
      <w:tr>
        <w:tc>
          <w:tcPr>
            <w:tcW w:type="dxa" w:w="2160"/>
          </w:tcPr>
          <w:p>
            <w:pPr>
              <w:jc w:val="center"/>
            </w:pPr>
            <w:r>
              <w:rPr>
                <w:sz w:val="20"/>
              </w:rPr>
              <w:t>存货余额（亿元）</w:t>
            </w:r>
          </w:p>
        </w:tc>
        <w:tc>
          <w:tcPr>
            <w:tcW w:type="dxa" w:w="2160"/>
          </w:tcPr>
          <w:p>
            <w:pPr>
              <w:jc w:val="center"/>
            </w:pPr>
            <w:r>
              <w:rPr>
                <w:sz w:val="20"/>
              </w:rPr>
              <w:t>约130</w:t>
            </w:r>
          </w:p>
        </w:tc>
        <w:tc>
          <w:tcPr>
            <w:tcW w:type="dxa" w:w="2160"/>
          </w:tcPr>
          <w:p>
            <w:pPr>
              <w:jc w:val="center"/>
            </w:pPr>
            <w:r>
              <w:rPr>
                <w:sz w:val="20"/>
              </w:rPr>
              <w:t>约108</w:t>
            </w:r>
          </w:p>
        </w:tc>
        <w:tc>
          <w:tcPr>
            <w:tcW w:type="dxa" w:w="2160"/>
          </w:tcPr>
          <w:p>
            <w:pPr>
              <w:jc w:val="center"/>
            </w:pPr>
            <w:r>
              <w:rPr>
                <w:sz w:val="20"/>
              </w:rPr>
              <w:t>104.79</w:t>
            </w:r>
          </w:p>
        </w:tc>
      </w:tr>
      <w:tr>
        <w:tc>
          <w:tcPr>
            <w:tcW w:type="dxa" w:w="2160"/>
          </w:tcPr>
          <w:p>
            <w:pPr>
              <w:jc w:val="center"/>
            </w:pPr>
            <w:r>
              <w:rPr>
                <w:sz w:val="20"/>
              </w:rPr>
              <w:t>应付账款余额（亿元）</w:t>
            </w:r>
          </w:p>
        </w:tc>
        <w:tc>
          <w:tcPr>
            <w:tcW w:type="dxa" w:w="2160"/>
          </w:tcPr>
          <w:p>
            <w:pPr>
              <w:jc w:val="center"/>
            </w:pPr>
            <w:r>
              <w:rPr>
                <w:sz w:val="20"/>
              </w:rPr>
              <w:t>—</w:t>
            </w:r>
          </w:p>
        </w:tc>
        <w:tc>
          <w:tcPr>
            <w:tcW w:type="dxa" w:w="2160"/>
          </w:tcPr>
          <w:p>
            <w:pPr>
              <w:jc w:val="center"/>
            </w:pPr>
            <w:r>
              <w:rPr>
                <w:sz w:val="20"/>
              </w:rPr>
              <w:t>约176</w:t>
            </w:r>
          </w:p>
        </w:tc>
        <w:tc>
          <w:tcPr>
            <w:tcW w:type="dxa" w:w="2160"/>
          </w:tcPr>
          <w:p>
            <w:pPr>
              <w:jc w:val="center"/>
            </w:pPr>
            <w:r>
              <w:rPr>
                <w:sz w:val="20"/>
              </w:rPr>
              <w:t>219.62</w:t>
            </w:r>
          </w:p>
        </w:tc>
      </w:tr>
      <w:tr>
        <w:tc>
          <w:tcPr>
            <w:tcW w:type="dxa" w:w="2160"/>
          </w:tcPr>
          <w:p>
            <w:pPr>
              <w:jc w:val="center"/>
            </w:pPr>
            <w:r>
              <w:rPr>
                <w:sz w:val="20"/>
              </w:rPr>
              <w:t>前五大客户营收占比</w:t>
            </w:r>
          </w:p>
        </w:tc>
        <w:tc>
          <w:tcPr>
            <w:tcW w:type="dxa" w:w="2160"/>
          </w:tcPr>
          <w:p>
            <w:pPr>
              <w:jc w:val="center"/>
            </w:pPr>
            <w:r>
              <w:rPr>
                <w:sz w:val="20"/>
              </w:rPr>
              <w:t>约72%</w:t>
            </w:r>
          </w:p>
        </w:tc>
        <w:tc>
          <w:tcPr>
            <w:tcW w:type="dxa" w:w="2160"/>
          </w:tcPr>
          <w:p>
            <w:pPr>
              <w:jc w:val="center"/>
            </w:pPr>
            <w:r>
              <w:rPr>
                <w:sz w:val="20"/>
              </w:rPr>
              <w:t>67.68%</w:t>
            </w:r>
          </w:p>
        </w:tc>
        <w:tc>
          <w:tcPr>
            <w:tcW w:type="dxa" w:w="2160"/>
          </w:tcPr>
          <w:p>
            <w:pPr>
              <w:jc w:val="center"/>
            </w:pPr>
            <w:r>
              <w:rPr>
                <w:sz w:val="20"/>
              </w:rPr>
              <w:t>64.33%</w:t>
            </w:r>
          </w:p>
        </w:tc>
      </w:tr>
      <w:tr>
        <w:tc>
          <w:tcPr>
            <w:tcW w:type="dxa" w:w="2160"/>
          </w:tcPr>
          <w:p>
            <w:pPr>
              <w:jc w:val="center"/>
            </w:pPr>
            <w:r>
              <w:rPr>
                <w:sz w:val="20"/>
              </w:rPr>
              <w:t>前五大供应商采购占比</w:t>
            </w:r>
          </w:p>
        </w:tc>
        <w:tc>
          <w:tcPr>
            <w:tcW w:type="dxa" w:w="2160"/>
          </w:tcPr>
          <w:p>
            <w:pPr>
              <w:jc w:val="center"/>
            </w:pPr>
            <w:r>
              <w:rPr>
                <w:sz w:val="20"/>
              </w:rPr>
              <w:t>—</w:t>
            </w:r>
          </w:p>
        </w:tc>
        <w:tc>
          <w:tcPr>
            <w:tcW w:type="dxa" w:w="2160"/>
          </w:tcPr>
          <w:p>
            <w:pPr>
              <w:jc w:val="center"/>
            </w:pPr>
            <w:r>
              <w:rPr>
                <w:sz w:val="20"/>
              </w:rPr>
              <w:t>—</w:t>
            </w:r>
          </w:p>
        </w:tc>
        <w:tc>
          <w:tcPr>
            <w:tcW w:type="dxa" w:w="2160"/>
          </w:tcPr>
          <w:p>
            <w:pPr>
              <w:jc w:val="center"/>
            </w:pPr>
            <w:r>
              <w:rPr>
                <w:sz w:val="20"/>
              </w:rPr>
              <w:t>38.57%</w:t>
            </w:r>
          </w:p>
        </w:tc>
      </w:tr>
      <w:tr>
        <w:tc>
          <w:tcPr>
            <w:tcW w:type="dxa" w:w="2160"/>
          </w:tcPr>
          <w:p>
            <w:pPr>
              <w:jc w:val="center"/>
            </w:pPr>
            <w:r>
              <w:rPr>
                <w:sz w:val="20"/>
              </w:rPr>
              <w:t>研发投入（亿元）</w:t>
            </w:r>
          </w:p>
        </w:tc>
        <w:tc>
          <w:tcPr>
            <w:tcW w:type="dxa" w:w="2160"/>
          </w:tcPr>
          <w:p>
            <w:pPr>
              <w:jc w:val="center"/>
            </w:pPr>
            <w:r>
              <w:rPr>
                <w:sz w:val="20"/>
              </w:rPr>
              <w:t>44.84</w:t>
            </w:r>
          </w:p>
        </w:tc>
        <w:tc>
          <w:tcPr>
            <w:tcW w:type="dxa" w:w="2160"/>
          </w:tcPr>
          <w:p>
            <w:pPr>
              <w:jc w:val="center"/>
            </w:pPr>
            <w:r>
              <w:rPr>
                <w:sz w:val="20"/>
              </w:rPr>
              <w:t>45.36</w:t>
            </w:r>
          </w:p>
        </w:tc>
        <w:tc>
          <w:tcPr>
            <w:tcW w:type="dxa" w:w="2160"/>
          </w:tcPr>
          <w:p>
            <w:pPr>
              <w:jc w:val="center"/>
            </w:pPr>
            <w:r>
              <w:rPr>
                <w:sz w:val="20"/>
              </w:rPr>
              <w:t>45.69</w:t>
            </w:r>
          </w:p>
        </w:tc>
      </w:tr>
      <w:tr>
        <w:tc>
          <w:tcPr>
            <w:tcW w:type="dxa" w:w="2160"/>
          </w:tcPr>
          <w:p>
            <w:pPr>
              <w:jc w:val="center"/>
            </w:pPr>
            <w:r>
              <w:rPr>
                <w:sz w:val="20"/>
              </w:rPr>
              <w:t>资产负债率</w:t>
            </w:r>
          </w:p>
        </w:tc>
        <w:tc>
          <w:tcPr>
            <w:tcW w:type="dxa" w:w="2160"/>
          </w:tcPr>
          <w:p>
            <w:pPr>
              <w:jc w:val="center"/>
            </w:pPr>
            <w:r>
              <w:rPr>
                <w:sz w:val="20"/>
              </w:rPr>
              <w:t>—</w:t>
            </w:r>
          </w:p>
        </w:tc>
        <w:tc>
          <w:tcPr>
            <w:tcW w:type="dxa" w:w="2160"/>
          </w:tcPr>
          <w:p>
            <w:pPr>
              <w:jc w:val="center"/>
            </w:pPr>
            <w:r>
              <w:rPr>
                <w:sz w:val="20"/>
              </w:rPr>
              <w:t>57.30%</w:t>
            </w:r>
          </w:p>
        </w:tc>
        <w:tc>
          <w:tcPr>
            <w:tcW w:type="dxa" w:w="2160"/>
          </w:tcPr>
          <w:p>
            <w:pPr>
              <w:jc w:val="center"/>
            </w:pPr>
            <w:r>
              <w:rPr>
                <w:sz w:val="20"/>
              </w:rPr>
              <w:t>58.80%</w:t>
            </w:r>
          </w:p>
        </w:tc>
      </w:tr>
    </w:tbl>
    <w:p>
      <w:r>
        <w:rPr>
          <w:rFonts w:ascii="宋体" w:hAnsi="宋体" w:eastAsia="宋体"/>
          <w:b w:val="0"/>
          <w:sz w:val="24"/>
        </w:rPr>
      </w:r>
    </w:p>
    <w:p>
      <w:pPr>
        <w:ind w:firstLine="420"/>
      </w:pPr>
      <w:r>
        <w:rPr>
          <w:rFonts w:ascii="宋体" w:hAnsi="宋体" w:eastAsia="宋体"/>
          <w:b w:val="0"/>
          <w:sz w:val="24"/>
        </w:rPr>
        <w:t>数据来源：歌尔股份2022-2024年年度报告（深交所巨潮资讯网公告原文）、新浪财经、华经产业研究院、东方财富网公开数据。</w:t>
      </w:r>
    </w:p>
    <w:p>
      <w:pPr>
        <w:pStyle w:val="Heading2"/>
      </w:pPr>
      <w:r>
        <w:t>1.3 经营痛点深度分析</w:t>
      </w:r>
    </w:p>
    <w:p>
      <w:pPr>
        <w:pStyle w:val="Heading3"/>
      </w:pPr>
      <w:r>
        <w:t>1.3.1 大客户依赖风险——"苹果砍单"的惨痛教训</w:t>
      </w:r>
    </w:p>
    <w:p>
      <w:pPr>
        <w:ind w:firstLine="420"/>
      </w:pPr>
      <w:r>
        <w:rPr>
          <w:rFonts w:ascii="宋体" w:hAnsi="宋体" w:eastAsia="宋体"/>
          <w:b w:val="0"/>
          <w:sz w:val="24"/>
        </w:rPr>
        <w:t>2022年11月，歌尔股份收到境外大客户（市场普遍认为系苹果公司）通知，暂停生产一款智能声学整机产品（AirPods Pro 2），直接导致2022年四季度单季净亏损20.9亿元，全年净利润暴跌59.08%，计提约18亿元资产减值。2023年余波未消，全年净利润仅10.88亿元，同比再降37.8%，为五年来最低水平。前五大客户营收占比长期维持在64%-88%的高位，单一大客户依赖症严重。这一事件深刻暴露了供应链管理体系中供应商—客户风险预警能力不足、订单变动应急响应迟缓的系统性缺陷。</w:t>
      </w:r>
    </w:p>
    <w:p>
      <w:pPr>
        <w:pStyle w:val="Heading3"/>
      </w:pPr>
      <w:r>
        <w:t>1.3.2 跨部门协同壁垒——"部门墙"痼疾</w:t>
      </w:r>
    </w:p>
    <w:p>
      <w:pPr>
        <w:ind w:firstLine="420"/>
      </w:pPr>
      <w:r>
        <w:rPr>
          <w:rFonts w:ascii="宋体" w:hAnsi="宋体" w:eastAsia="宋体"/>
          <w:b w:val="0"/>
          <w:sz w:val="24"/>
        </w:rPr>
        <w:t>根据对歌尔股份内部人员的访谈，企业各部门之间存在严重的"部门墙"现象。MC（物控）、OC（订单交付）、PC（排产）、采购、关务、仓储等部门虽然各自使用ERP、SRM、WMS等信息系统，但部门间信息流转不畅、沟通成本高。访谈中明确指出："部门墙严重，沟通不顺畅"、"歌尔流失率高，部分员工能力欠缺，导致沟通差，帐实不一致，物料丢失等"。这直接影响了物料需求计划的准确传递和采购订单的高效执行。</w:t>
      </w:r>
    </w:p>
    <w:p>
      <w:pPr>
        <w:pStyle w:val="Heading3"/>
      </w:pPr>
      <w:r>
        <w:t>1.3.3 采购管理多重困境</w:t>
      </w:r>
    </w:p>
    <w:p>
      <w:pPr>
        <w:ind w:firstLine="420"/>
      </w:pPr>
      <w:r>
        <w:rPr>
          <w:rFonts w:ascii="宋体" w:hAnsi="宋体" w:eastAsia="宋体"/>
          <w:b w:val="0"/>
          <w:sz w:val="24"/>
        </w:rPr>
        <w:t>访谈显示，歌尔股份在采购环节面临四大核心问题：（1）采购周期过长，国内物料到货需2周，越南工厂到货需3周；（2）采购成本偏高，加之年度降价谈判压力，利润空间持续被压缩；（3）供应商响应不及时，尤其面对"强势供方、寡头供方"时议价能力弱；（4）采购信息不透明，各环节数据未能充分共享。这些问题在2024年综合毛利率仅约10.6%的背景下尤为突出——整机代工毛利率从2020年的16%一路下滑至2024年的不足10%，采购成本管控已成为决定企业盈亏的关键变量。</w:t>
      </w:r>
    </w:p>
    <w:p>
      <w:pPr>
        <w:pStyle w:val="Heading3"/>
      </w:pPr>
      <w:r>
        <w:t>1.3.4 供应商管理体系不完善</w:t>
      </w:r>
    </w:p>
    <w:p>
      <w:pPr>
        <w:ind w:firstLine="420"/>
      </w:pPr>
      <w:r>
        <w:rPr>
          <w:rFonts w:ascii="宋体" w:hAnsi="宋体" w:eastAsia="宋体"/>
          <w:b w:val="0"/>
          <w:sz w:val="24"/>
        </w:rPr>
        <w:t>虽然歌尔股份已于2023年9月上线G-SRM系统（供应商关系管理系统），但在供应商管理方面仍存在显著短板：（1）绩效评估不系统——虽有每3个月打分机制，但评估维度单一，难以全面反映供应商综合能力；（2）缺乏风险预警机制——面对"苹果砍单"等重大供应链事件缺乏提前感知和应对手段；（3）协同效率低——客户指定供应商（客指）和低价供应商管理中，信息共享不充分，协同成本高；（4）新供应商准入周期长——从MT评审到成为合格供方通常需要两个月以上。</w:t>
      </w:r>
    </w:p>
    <w:p>
      <w:pPr>
        <w:pStyle w:val="Heading3"/>
      </w:pPr>
      <w:r>
        <w:t>1.3.5 库存管理与需求预测的结构性矛盾</w:t>
      </w:r>
    </w:p>
    <w:p>
      <w:pPr>
        <w:ind w:firstLine="420"/>
      </w:pPr>
      <w:r>
        <w:rPr>
          <w:rFonts w:ascii="宋体" w:hAnsi="宋体" w:eastAsia="宋体"/>
          <w:b w:val="0"/>
          <w:sz w:val="24"/>
        </w:rPr>
        <w:t>歌尔股份2024年末存货余额高达104.79亿元，占总资产的12.97%。虽然存货周转率从2023年有所改善（2024年约9.49次），但仍面临结构性问题：需求预测完全依赖客户FCS（Forecast），前3个月预测准确率仅约80%，加之消费电子行业周期性波动（2022年苹果砍单导致大量存货减值），库存管理始终在"缺料停线"与"库存积压"之间艰难平衡。安全库存、JIT、VMI三种模式并行使用，缺乏统一的智能化库存优化策略。</w:t>
      </w:r>
    </w:p>
    <w:p>
      <w:pPr>
        <w:pStyle w:val="Heading3"/>
      </w:pPr>
      <w:r>
        <w:t>1.3.6 供应链全球化带来的新挑战</w:t>
      </w:r>
    </w:p>
    <w:p>
      <w:pPr>
        <w:ind w:firstLine="420"/>
      </w:pPr>
      <w:r>
        <w:rPr>
          <w:rFonts w:ascii="宋体" w:hAnsi="宋体" w:eastAsia="宋体"/>
          <w:b w:val="0"/>
          <w:sz w:val="24"/>
        </w:rPr>
        <w:t>随着全球电子制造业"去中国化"趋势加剧，苹果要求供应链在越南、印度等地布局产能。歌尔2024年大举投资越南新工厂，但海外建厂面临土地成本高、人力管理难度大、产能爬坡慢、本地供应商质量和交期保障困难等挑战。跨国供应链管理对系统的多语言、多时区、多币种、多关务政策支持提出了更高要求，原有系统架构难以全面满足。</w:t>
      </w:r>
    </w:p>
    <w:p>
      <w:pPr>
        <w:pStyle w:val="Heading2"/>
      </w:pPr>
      <w:r>
        <w:t>1.4 痛点总结与系统建设目标</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rPr>
                <w:b/>
                <w:sz w:val="20"/>
              </w:rPr>
              <w:t>序号</w:t>
            </w:r>
          </w:p>
        </w:tc>
        <w:tc>
          <w:tcPr>
            <w:tcW w:type="dxa" w:w="2160"/>
          </w:tcPr>
          <w:p>
            <w:pPr>
              <w:jc w:val="center"/>
            </w:pPr>
            <w:r>
              <w:rPr>
                <w:b/>
                <w:sz w:val="20"/>
              </w:rPr>
              <w:t>核心痛点</w:t>
            </w:r>
          </w:p>
        </w:tc>
        <w:tc>
          <w:tcPr>
            <w:tcW w:type="dxa" w:w="2160"/>
          </w:tcPr>
          <w:p>
            <w:pPr>
              <w:jc w:val="center"/>
            </w:pPr>
            <w:r>
              <w:rPr>
                <w:b/>
                <w:sz w:val="20"/>
              </w:rPr>
              <w:t>具体表现</w:t>
            </w:r>
          </w:p>
        </w:tc>
        <w:tc>
          <w:tcPr>
            <w:tcW w:type="dxa" w:w="2160"/>
          </w:tcPr>
          <w:p>
            <w:pPr>
              <w:jc w:val="center"/>
            </w:pPr>
            <w:r>
              <w:rPr>
                <w:b/>
                <w:sz w:val="20"/>
              </w:rPr>
              <w:t>系统建设目标</w:t>
            </w:r>
          </w:p>
        </w:tc>
      </w:tr>
      <w:tr>
        <w:tc>
          <w:tcPr>
            <w:tcW w:type="dxa" w:w="2160"/>
          </w:tcPr>
          <w:p>
            <w:pPr>
              <w:jc w:val="center"/>
            </w:pPr>
            <w:r>
              <w:rPr>
                <w:sz w:val="20"/>
              </w:rPr>
              <w:t>1</w:t>
            </w:r>
          </w:p>
        </w:tc>
        <w:tc>
          <w:tcPr>
            <w:tcW w:type="dxa" w:w="2160"/>
          </w:tcPr>
          <w:p>
            <w:pPr>
              <w:jc w:val="center"/>
            </w:pPr>
            <w:r>
              <w:rPr>
                <w:sz w:val="20"/>
              </w:rPr>
              <w:t>大客户依赖风险高</w:t>
            </w:r>
          </w:p>
        </w:tc>
        <w:tc>
          <w:tcPr>
            <w:tcW w:type="dxa" w:w="2160"/>
          </w:tcPr>
          <w:p>
            <w:pPr>
              <w:jc w:val="center"/>
            </w:pPr>
            <w:r>
              <w:rPr>
                <w:sz w:val="20"/>
              </w:rPr>
              <w:t>前五大客户营收占比64%+</w:t>
              <w:br/>
              <w:t>苹果砍单致净利暴跌59%</w:t>
            </w:r>
          </w:p>
        </w:tc>
        <w:tc>
          <w:tcPr>
            <w:tcW w:type="dxa" w:w="2160"/>
          </w:tcPr>
          <w:p>
            <w:pPr>
              <w:jc w:val="center"/>
            </w:pPr>
            <w:r>
              <w:rPr>
                <w:sz w:val="20"/>
              </w:rPr>
              <w:t>建立供应链风险预警与</w:t>
              <w:br/>
              <w:t>应急响应子系统</w:t>
            </w:r>
          </w:p>
        </w:tc>
      </w:tr>
      <w:tr>
        <w:tc>
          <w:tcPr>
            <w:tcW w:type="dxa" w:w="2160"/>
          </w:tcPr>
          <w:p>
            <w:pPr>
              <w:jc w:val="center"/>
            </w:pPr>
            <w:r>
              <w:rPr>
                <w:sz w:val="20"/>
              </w:rPr>
              <w:t>2</w:t>
            </w:r>
          </w:p>
        </w:tc>
        <w:tc>
          <w:tcPr>
            <w:tcW w:type="dxa" w:w="2160"/>
          </w:tcPr>
          <w:p>
            <w:pPr>
              <w:jc w:val="center"/>
            </w:pPr>
            <w:r>
              <w:rPr>
                <w:sz w:val="20"/>
              </w:rPr>
              <w:t>部门协同效率低</w:t>
            </w:r>
          </w:p>
        </w:tc>
        <w:tc>
          <w:tcPr>
            <w:tcW w:type="dxa" w:w="2160"/>
          </w:tcPr>
          <w:p>
            <w:pPr>
              <w:jc w:val="center"/>
            </w:pPr>
            <w:r>
              <w:rPr>
                <w:sz w:val="20"/>
              </w:rPr>
              <w:t>部门墙严重，帐实不一致</w:t>
              <w:br/>
              <w:t>物料丢失，沟通成本高</w:t>
            </w:r>
          </w:p>
        </w:tc>
        <w:tc>
          <w:tcPr>
            <w:tcW w:type="dxa" w:w="2160"/>
          </w:tcPr>
          <w:p>
            <w:pPr>
              <w:jc w:val="center"/>
            </w:pPr>
            <w:r>
              <w:rPr>
                <w:sz w:val="20"/>
              </w:rPr>
              <w:t>构建跨部门协同作业平台</w:t>
              <w:br/>
              <w:t>实现信息实时共享</w:t>
            </w:r>
          </w:p>
        </w:tc>
      </w:tr>
      <w:tr>
        <w:tc>
          <w:tcPr>
            <w:tcW w:type="dxa" w:w="2160"/>
          </w:tcPr>
          <w:p>
            <w:pPr>
              <w:jc w:val="center"/>
            </w:pPr>
            <w:r>
              <w:rPr>
                <w:sz w:val="20"/>
              </w:rPr>
              <w:t>3</w:t>
            </w:r>
          </w:p>
        </w:tc>
        <w:tc>
          <w:tcPr>
            <w:tcW w:type="dxa" w:w="2160"/>
          </w:tcPr>
          <w:p>
            <w:pPr>
              <w:jc w:val="center"/>
            </w:pPr>
            <w:r>
              <w:rPr>
                <w:sz w:val="20"/>
              </w:rPr>
              <w:t>采购成本与周期失控</w:t>
            </w:r>
          </w:p>
        </w:tc>
        <w:tc>
          <w:tcPr>
            <w:tcW w:type="dxa" w:w="2160"/>
          </w:tcPr>
          <w:p>
            <w:pPr>
              <w:jc w:val="center"/>
            </w:pPr>
            <w:r>
              <w:rPr>
                <w:sz w:val="20"/>
              </w:rPr>
              <w:t>毛利率从16%降至&lt;10%</w:t>
              <w:br/>
              <w:t>国内2周/越南3周到货</w:t>
            </w:r>
          </w:p>
        </w:tc>
        <w:tc>
          <w:tcPr>
            <w:tcW w:type="dxa" w:w="2160"/>
          </w:tcPr>
          <w:p>
            <w:pPr>
              <w:jc w:val="center"/>
            </w:pPr>
            <w:r>
              <w:rPr>
                <w:sz w:val="20"/>
              </w:rPr>
              <w:t>优化采购流程自动化</w:t>
              <w:br/>
              <w:t>实现全链路成本可视</w:t>
            </w:r>
          </w:p>
        </w:tc>
      </w:tr>
      <w:tr>
        <w:tc>
          <w:tcPr>
            <w:tcW w:type="dxa" w:w="2160"/>
          </w:tcPr>
          <w:p>
            <w:pPr>
              <w:jc w:val="center"/>
            </w:pPr>
            <w:r>
              <w:rPr>
                <w:sz w:val="20"/>
              </w:rPr>
              <w:t>4</w:t>
            </w:r>
          </w:p>
        </w:tc>
        <w:tc>
          <w:tcPr>
            <w:tcW w:type="dxa" w:w="2160"/>
          </w:tcPr>
          <w:p>
            <w:pPr>
              <w:jc w:val="center"/>
            </w:pPr>
            <w:r>
              <w:rPr>
                <w:sz w:val="20"/>
              </w:rPr>
              <w:t>供应商管理不系统</w:t>
            </w:r>
          </w:p>
        </w:tc>
        <w:tc>
          <w:tcPr>
            <w:tcW w:type="dxa" w:w="2160"/>
          </w:tcPr>
          <w:p>
            <w:pPr>
              <w:jc w:val="center"/>
            </w:pPr>
            <w:r>
              <w:rPr>
                <w:sz w:val="20"/>
              </w:rPr>
              <w:t>评估维度单一，风险预警缺失</w:t>
              <w:br/>
              <w:t>新供方准入周期&gt;2月</w:t>
            </w:r>
          </w:p>
        </w:tc>
        <w:tc>
          <w:tcPr>
            <w:tcW w:type="dxa" w:w="2160"/>
          </w:tcPr>
          <w:p>
            <w:pPr>
              <w:jc w:val="center"/>
            </w:pPr>
            <w:r>
              <w:rPr>
                <w:sz w:val="20"/>
              </w:rPr>
              <w:t>建设供应商全生命周期</w:t>
              <w:br/>
              <w:t>管理体系</w:t>
            </w:r>
          </w:p>
        </w:tc>
      </w:tr>
      <w:tr>
        <w:tc>
          <w:tcPr>
            <w:tcW w:type="dxa" w:w="2160"/>
          </w:tcPr>
          <w:p>
            <w:pPr>
              <w:jc w:val="center"/>
            </w:pPr>
            <w:r>
              <w:rPr>
                <w:sz w:val="20"/>
              </w:rPr>
              <w:t>5</w:t>
            </w:r>
          </w:p>
        </w:tc>
        <w:tc>
          <w:tcPr>
            <w:tcW w:type="dxa" w:w="2160"/>
          </w:tcPr>
          <w:p>
            <w:pPr>
              <w:jc w:val="center"/>
            </w:pPr>
            <w:r>
              <w:rPr>
                <w:sz w:val="20"/>
              </w:rPr>
              <w:t>库存管理粗放</w:t>
            </w:r>
          </w:p>
        </w:tc>
        <w:tc>
          <w:tcPr>
            <w:tcW w:type="dxa" w:w="2160"/>
          </w:tcPr>
          <w:p>
            <w:pPr>
              <w:jc w:val="center"/>
            </w:pPr>
            <w:r>
              <w:rPr>
                <w:sz w:val="20"/>
              </w:rPr>
              <w:t>存货104亿元，预测准确率80%</w:t>
              <w:br/>
              <w:t>三种模式并行缺乏优化</w:t>
            </w:r>
          </w:p>
        </w:tc>
        <w:tc>
          <w:tcPr>
            <w:tcW w:type="dxa" w:w="2160"/>
          </w:tcPr>
          <w:p>
            <w:pPr>
              <w:jc w:val="center"/>
            </w:pPr>
            <w:r>
              <w:rPr>
                <w:sz w:val="20"/>
              </w:rPr>
              <w:t>构建智能库存优化引擎</w:t>
              <w:br/>
              <w:t>降低呆滞库存风险</w:t>
            </w:r>
          </w:p>
        </w:tc>
      </w:tr>
      <w:tr>
        <w:tc>
          <w:tcPr>
            <w:tcW w:type="dxa" w:w="2160"/>
          </w:tcPr>
          <w:p>
            <w:pPr>
              <w:jc w:val="center"/>
            </w:pPr>
            <w:r>
              <w:rPr>
                <w:sz w:val="20"/>
              </w:rPr>
              <w:t>6</w:t>
            </w:r>
          </w:p>
        </w:tc>
        <w:tc>
          <w:tcPr>
            <w:tcW w:type="dxa" w:w="2160"/>
          </w:tcPr>
          <w:p>
            <w:pPr>
              <w:jc w:val="center"/>
            </w:pPr>
            <w:r>
              <w:rPr>
                <w:sz w:val="20"/>
              </w:rPr>
              <w:t>全球化管理能力不足</w:t>
            </w:r>
          </w:p>
        </w:tc>
        <w:tc>
          <w:tcPr>
            <w:tcW w:type="dxa" w:w="2160"/>
          </w:tcPr>
          <w:p>
            <w:pPr>
              <w:jc w:val="center"/>
            </w:pPr>
            <w:r>
              <w:rPr>
                <w:sz w:val="20"/>
              </w:rPr>
              <w:t>越南工厂管理难度大</w:t>
              <w:br/>
              <w:t>本地供应商能力弱</w:t>
            </w:r>
          </w:p>
        </w:tc>
        <w:tc>
          <w:tcPr>
            <w:tcW w:type="dxa" w:w="2160"/>
          </w:tcPr>
          <w:p>
            <w:pPr>
              <w:jc w:val="center"/>
            </w:pPr>
            <w:r>
              <w:rPr>
                <w:sz w:val="20"/>
              </w:rPr>
              <w:t>支持多区域、多语言、</w:t>
              <w:br/>
              <w:t>多币种的全球化架构</w:t>
            </w:r>
          </w:p>
        </w:tc>
      </w:tr>
    </w:tbl>
    <w:p>
      <w:r>
        <w:rPr>
          <w:rFonts w:ascii="宋体" w:hAnsi="宋体" w:eastAsia="宋体"/>
          <w:b w:val="0"/>
          <w:sz w:val="24"/>
        </w:rPr>
      </w:r>
    </w:p>
    <w:p>
      <w:pPr>
        <w:ind w:firstLine="420"/>
      </w:pPr>
      <w:r>
        <w:rPr>
          <w:rFonts w:ascii="宋体" w:hAnsi="宋体" w:eastAsia="宋体"/>
          <w:b w:val="0"/>
          <w:sz w:val="24"/>
        </w:rPr>
        <w:t>基于以上痛点分析，本系统设计围绕"一个核心理念、一条完整故事线"展开：以歌尔股份从"苹果砍单"危机中的深刻反思为起点，通过构建覆盖采购与供应商管理、库存与仓储物流管理、协同与风险管控三大子系统的物资供应管理平台，系统性地解决上述六大痛点，最终实现从"被动响应式供应链"向"主动预见式供应链"的战略转型。三大子系统分别对应物资供应链管理的"源头管控（采购与供应商）"、"过程管理（库存与物流）"和"全局保障（协同与风控）"三大核心环节，形成完整的闭环管理体系。</w:t>
      </w:r>
    </w:p>
    <w:p>
      <w:pPr>
        <w:pStyle w:val="Heading1"/>
      </w:pPr>
      <w:r>
        <w:t>第二章 系统总体设计</w:t>
      </w:r>
    </w:p>
    <w:p>
      <w:pPr>
        <w:pStyle w:val="Heading2"/>
      </w:pPr>
      <w:r>
        <w:t>2.1 设计理念与完整故事线</w:t>
      </w:r>
    </w:p>
    <w:p>
      <w:pPr/>
      <w:r>
        <w:t>本系统的设计讲述一个"从危机到重生"的完整故事：</w:t>
      </w:r>
    </w:p>
    <w:p>
      <w:pPr/>
      <w:r>
        <w:t>第一幕·危机警醒（Why）：2022年苹果砍单事件暴露了歌尔股份供应链管理的系统性脆弱——大客户依赖风险无预警、跨部门信息割裂、采购成本失控、供应商管理粗放。净利润暴跌59%的惨痛代价，催生了全面重构供应链管理体系的战略决心。</w:t>
      </w:r>
    </w:p>
    <w:p>
      <w:pPr/>
      <w:r>
        <w:t>第二幕·诊断处方（What）：基于企业访谈和经营数据的深度分析，识别出六大核心痛点（客户依赖、部门墙、采购困境、供应商管理短板、库存失衡、全球化挑战），并据此规划三大子系统的功能边界和协作关系。三大子系统分别覆盖供应链的"源头管控—过程管理—全局保障"三大核心环节，形成完整闭环。</w:t>
      </w:r>
    </w:p>
    <w:p>
      <w:pPr/>
      <w:r>
        <w:t>第三幕·系统重构（How）：以"数据驱动、协同共享、风险可控、全球协同"为设计原则，构建采购与供应商管理、库存与仓储物流管理、协同与风险管控三大子系统，通过统一数据中台实现信息贯通，通过流程引擎实现业务自动化，最终支撑歌尔股份"922流程"全面标准化战略。</w:t>
      </w:r>
    </w:p>
    <w:p>
      <w:pPr/>
      <w:r>
        <w:t>第四幕·价值兑现（Result）：系统上线后，预期实现采购周期缩短30%、库存周转率提升20%、供应商异常响应时间缩短50%、跨部门协同效率提升40%，从根本上降低类似"砍单"事件对企业经营的冲击。</w:t>
      </w:r>
    </w:p>
    <w:p>
      <w:pPr>
        <w:pStyle w:val="Heading2"/>
      </w:pPr>
      <w:r>
        <w:t>2.2 系统设计原则</w:t>
      </w:r>
    </w:p>
    <w:p>
      <w:pPr/>
      <w:r>
        <w:t>（1）数据驱动原则：以数据为核心驱动力，实现从需求预测、采购决策、库存优化到风险预警的全链路数据贯通，避免"信息孤岛"。</w:t>
      </w:r>
    </w:p>
    <w:p>
      <w:pPr/>
      <w:r>
        <w:t>（2）流程标准化原则：对标歌尔"922流程"战略，将各BG（业务集团）的采购、供应商管理、库存管理流程统一标准化，减少人工处理环节，提升执行一致性。</w:t>
      </w:r>
    </w:p>
    <w:p>
      <w:pPr/>
      <w:r>
        <w:t>（3）协同共享原则：打破"部门墙"，构建MC、OC、PC、采购、仓储、关务等部门共用的协同作业平台，实现信息实时透明共享。</w:t>
      </w:r>
    </w:p>
    <w:p>
      <w:pPr/>
      <w:r>
        <w:t>（4）风险可控原则：建立覆盖客户订单波动、供应商经营异常、物料价格波动、地缘政治风险等多维度的风险预警机制，实现从"事后救火"到"事前防范"的转变。</w:t>
      </w:r>
    </w:p>
    <w:p>
      <w:pPr/>
      <w:r>
        <w:t>（5）全球化适配原则：支持多语言（中/英/越）、多币种（CNY/USD/VND）、多时区、多关务政策的全球化运营需求。</w:t>
      </w:r>
    </w:p>
    <w:p>
      <w:pPr/>
      <w:r>
        <w:t>（6）可扩展性原则：采用微服务架构和模块化设计，支持业务功能的灵活扩展和第三方系统的无缝集成。</w:t>
      </w:r>
    </w:p>
    <w:p>
      <w:pPr>
        <w:pStyle w:val="Heading2"/>
      </w:pPr>
      <w:r>
        <w:t>2.3 系统总体架构</w:t>
      </w:r>
    </w:p>
    <w:p>
      <w:pPr/>
      <w:r>
        <w:t>系统采用"1+3+N"的总体架构，即1个统一数据中台、3个核心业务子系统、N个外部系统集成接口：</w:t>
      </w:r>
    </w:p>
    <w:p>
      <w:pPr>
        <w:jc w:val="center"/>
      </w:pPr>
      <w:r>
        <w:drawing>
          <wp:inline xmlns:a="http://schemas.openxmlformats.org/drawingml/2006/main" xmlns:pic="http://schemas.openxmlformats.org/drawingml/2006/picture">
            <wp:extent cx="5669280" cy="4244381"/>
            <wp:docPr id="1" name="Picture 1"/>
            <wp:cNvGraphicFramePr>
              <a:graphicFrameLocks noChangeAspect="1"/>
            </wp:cNvGraphicFramePr>
            <a:graphic>
              <a:graphicData uri="http://schemas.openxmlformats.org/drawingml/2006/picture">
                <pic:pic>
                  <pic:nvPicPr>
                    <pic:cNvPr id="0" name="01_architecture.png"/>
                    <pic:cNvPicPr/>
                  </pic:nvPicPr>
                  <pic:blipFill>
                    <a:blip r:embed="rId17"/>
                    <a:stretch>
                      <a:fillRect/>
                    </a:stretch>
                  </pic:blipFill>
                  <pic:spPr>
                    <a:xfrm>
                      <a:off x="0" y="0"/>
                      <a:ext cx="5669280" cy="4244381"/>
                    </a:xfrm>
                    <a:prstGeom prst="rect"/>
                  </pic:spPr>
                </pic:pic>
              </a:graphicData>
            </a:graphic>
          </wp:inline>
        </w:drawing>
      </w:r>
    </w:p>
    <w:p>
      <w:pPr>
        <w:jc w:val="center"/>
      </w:pPr>
      <w:r>
        <w:rPr>
          <w:rFonts w:ascii="宋体" w:hAnsi="宋体" w:eastAsia="宋体"/>
          <w:b/>
          <w:sz w:val="20"/>
        </w:rPr>
        <w:t>图2-1 歌尔股份物资供应管理系统总体架构图</w:t>
      </w:r>
    </w:p>
    <w:p>
      <w:pPr/>
      <w:r>
        <w:t>■ 表现层：Web端（管理后台）+ 移动端（审批/预警推送）+ 供应商门户（供应商自助平台）</w:t>
      </w:r>
    </w:p>
    <w:p>
      <w:pPr/>
      <w:r>
        <w:t>■ 业务层：三大核心子系统——采购与供应商管理子系统、库存与仓储物流管理子系统、协同与风险管控子系统</w:t>
      </w:r>
    </w:p>
    <w:p>
      <w:pPr/>
      <w:r>
        <w:t>■ 数据中台层：统一主数据管理（物料、供应商、客户）+ 数据仓库 + BI分析引擎</w:t>
      </w:r>
    </w:p>
    <w:p>
      <w:pPr/>
      <w:r>
        <w:t>■ 集成层：与现有ERP（SAP/Oracle）、G-SRM、WMS、BI、FSSC财务系统、DMS物流系统、关务报关系统的标准化API集成</w:t>
      </w:r>
    </w:p>
    <w:p>
      <w:pPr/>
      <w:r>
        <w:t>■ 基础设施层：云原生部署（支持国内+越南双区域部署），基于容器化的弹性扩缩容</w:t>
      </w:r>
    </w:p>
    <w:p>
      <w:pPr>
        <w:pStyle w:val="Heading2"/>
      </w:pPr>
      <w:r>
        <w:t>2.4 总体业务流程设计</w:t>
      </w:r>
    </w:p>
    <w:p>
      <w:pPr/>
      <w:r>
        <w:t>基于访谈所获取的歌尔股份现有物资供应管理流程，优化后的端到端业务流程如下：</w:t>
      </w:r>
    </w:p>
    <w:p>
      <w:pPr>
        <w:jc w:val="center"/>
      </w:pPr>
      <w:r>
        <w:drawing>
          <wp:inline xmlns:a="http://schemas.openxmlformats.org/drawingml/2006/main" xmlns:pic="http://schemas.openxmlformats.org/drawingml/2006/picture">
            <wp:extent cx="5943600" cy="3285582"/>
            <wp:docPr id="2" name="Picture 2"/>
            <wp:cNvGraphicFramePr>
              <a:graphicFrameLocks noChangeAspect="1"/>
            </wp:cNvGraphicFramePr>
            <a:graphic>
              <a:graphicData uri="http://schemas.openxmlformats.org/drawingml/2006/picture">
                <pic:pic>
                  <pic:nvPicPr>
                    <pic:cNvPr id="0" name="02_business_process.png"/>
                    <pic:cNvPicPr/>
                  </pic:nvPicPr>
                  <pic:blipFill>
                    <a:blip r:embed="rId18"/>
                    <a:stretch>
                      <a:fillRect/>
                    </a:stretch>
                  </pic:blipFill>
                  <pic:spPr>
                    <a:xfrm>
                      <a:off x="0" y="0"/>
                      <a:ext cx="5943600" cy="3285582"/>
                    </a:xfrm>
                    <a:prstGeom prst="rect"/>
                  </pic:spPr>
                </pic:pic>
              </a:graphicData>
            </a:graphic>
          </wp:inline>
        </w:drawing>
      </w:r>
    </w:p>
    <w:p>
      <w:pPr>
        <w:jc w:val="center"/>
      </w:pPr>
      <w:r>
        <w:rPr>
          <w:rFonts w:ascii="宋体" w:hAnsi="宋体" w:eastAsia="宋体"/>
          <w:b/>
          <w:sz w:val="20"/>
        </w:rPr>
        <w:t>图2-2 端到端物资供应管理业务流程图</w:t>
      </w:r>
    </w:p>
    <w:p>
      <w:pPr/>
      <w:r>
        <w:t>客户MPS/FCS需求 → 需求预测与MRP运算（库存子系统） → 智能采购建议生成（采购子系统） → 供应商自动匹配与询价（采购子系统） → 采购订单下达与跟踪 → 物流与关务协同（库存子系统） → 原材料入库与IQC检验（库存子系统） → 上线生产 → 全链路风险实时监控与跨部门协同（协同与风控子系统）</w:t>
      </w:r>
    </w:p>
    <w:p>
      <w:pPr/>
      <w:r>
        <w:t>与现有流程相比，优化后的流程新增了四个关键能力：（1）智能采购建议——基于历史数据和需求预测自动生成最优采购方案；（2）供应商自动匹配——根据物料类型、交期要求、成本预算自动推荐最优供应商组合；（3）全链路风险监控——从订单接收到生产上线的全过程实时风险扫描；（4）922流程标准化——通过统一工作流引擎实现各BG流程一致执行。</w:t>
      </w:r>
    </w:p>
    <w:p>
      <w:pPr>
        <w:pStyle w:val="Heading2"/>
      </w:pPr>
      <w:r>
        <w:t>2.5 子系统划分与关联</w:t>
      </w:r>
    </w:p>
    <w:p>
      <w:pPr/>
      <w:r>
        <w:t>本系统将物资供应链管理全流程划分为三大子系统，每个子系统覆盖供应链的关键环节，三者通过统一数据中台实现信息贯通和业务协同：</w:t>
      </w:r>
    </w:p>
    <w:p>
      <w:pPr/>
      <w:r>
        <w:t>（1）采购与供应商管理子系统——覆盖供应链"源头管控"环节：从采购需求接收、智能询比价、订单管理到合同成本分析，以及供应商准入、分类分级、多维绩效评估和协同门户的全生命周期管理。解决采购周期长、成本高、供应商管理粗放等痛点。</w:t>
      </w:r>
    </w:p>
    <w:p>
      <w:pPr/>
      <w:r>
        <w:t>（2）库存与仓储物流管理子系统——覆盖供应链"过程管理"环节：从客户FCS需求预测、MRP运算、智能补货到出入库管理、IQC检验，以及物流跟踪、关务协同的全链条管理。解决库存失衡、帐实不一致、物流不透明等痛点。</w:t>
      </w:r>
    </w:p>
    <w:p>
      <w:pPr/>
      <w:r>
        <w:t>（3）协同与风险管控子系统——覆盖供应链"全局保障"环节：包括统一工作流引擎（支撑922流程）、跨部门消息任务中心、数据看板、外部系统集成，以及多维风险识别、量化评估、智能预警和应急预案管理。解决部门墙、风险预警缺失等痛点。</w:t>
      </w:r>
    </w:p>
    <w:p>
      <w:pPr>
        <w:jc w:val="center"/>
      </w:pPr>
      <w:r>
        <w:drawing>
          <wp:inline xmlns:a="http://schemas.openxmlformats.org/drawingml/2006/main" xmlns:pic="http://schemas.openxmlformats.org/drawingml/2006/picture">
            <wp:extent cx="5029200" cy="5031010"/>
            <wp:docPr id="3" name="Picture 3"/>
            <wp:cNvGraphicFramePr>
              <a:graphicFrameLocks noChangeAspect="1"/>
            </wp:cNvGraphicFramePr>
            <a:graphic>
              <a:graphicData uri="http://schemas.openxmlformats.org/drawingml/2006/picture">
                <pic:pic>
                  <pic:nvPicPr>
                    <pic:cNvPr id="0" name="06_interconnection.png"/>
                    <pic:cNvPicPr/>
                  </pic:nvPicPr>
                  <pic:blipFill>
                    <a:blip r:embed="rId19"/>
                    <a:stretch>
                      <a:fillRect/>
                    </a:stretch>
                  </pic:blipFill>
                  <pic:spPr>
                    <a:xfrm>
                      <a:off x="0" y="0"/>
                      <a:ext cx="5029200" cy="5031010"/>
                    </a:xfrm>
                    <a:prstGeom prst="rect"/>
                  </pic:spPr>
                </pic:pic>
              </a:graphicData>
            </a:graphic>
          </wp:inline>
        </w:drawing>
      </w:r>
    </w:p>
    <w:p>
      <w:pPr>
        <w:jc w:val="center"/>
      </w:pPr>
      <w:r>
        <w:rPr>
          <w:rFonts w:ascii="宋体" w:hAnsi="宋体" w:eastAsia="宋体"/>
          <w:b/>
          <w:sz w:val="20"/>
        </w:rPr>
        <w:t>图2-3 三大子系统关联与数据流图</w:t>
      </w:r>
    </w:p>
    <w:p>
      <w:pPr>
        <w:pStyle w:val="Heading1"/>
      </w:pPr>
      <w:r>
        <w:t>第三章 子系统详细设计</w:t>
      </w:r>
    </w:p>
    <w:p>
      <w:pPr>
        <w:pStyle w:val="Heading2"/>
      </w:pPr>
      <w:r>
        <w:t>3.1 采购与供应商管理子系统</w:t>
      </w:r>
    </w:p>
    <w:p>
      <w:pPr>
        <w:pStyle w:val="Heading3"/>
      </w:pPr>
      <w:r>
        <w:t>3.1.1 设计背景与目标</w:t>
      </w:r>
    </w:p>
    <w:p>
      <w:pPr/>
      <w:r>
        <w:t>歌尔股份采购环节的核心矛盾在于：一方面，客户端严格执行"无订单不生产"原则，一切物料需求来源于客户FCS；另一方面，采购执行面临周期过长（国内2周/越南3周）、成本偏高、强势供方议价困难、信息不透明等问题。在2024年整机代工毛利率不足10%的严峻形势下，每降低1%的采购成本即可为企业多创造约10亿元利润空间。</w:t>
      </w:r>
    </w:p>
    <w:p>
      <w:pPr/>
      <w:r>
        <w:t>同时，供应商管理方面存在绩效评估不系统、缺乏风险预警机制、协同效率低、新供应商准入周期长等显著短板。现有G-SRM系统于2023年9月上线，基础功能已具备，但在供应商全生命周期管理和多维绩效评估方面仍有显著不足。</w:t>
      </w:r>
    </w:p>
    <w:p>
      <w:pPr/>
      <w:r>
        <w:t>本子系统将采购管理与供应商管理进行整合，实现"采购即选商、选商即采购"的一体化运作，通过流程自动化和数据智能化，实现"快速、低成本、透明"的全链条采购与供应商管理。</w:t>
      </w:r>
    </w:p>
    <w:p>
      <w:pPr>
        <w:pStyle w:val="Heading3"/>
      </w:pPr>
      <w:r>
        <w:t>3.1.2 功能模块设计</w:t>
      </w:r>
    </w:p>
    <w:p>
      <w:pPr>
        <w:jc w:val="center"/>
      </w:pPr>
      <w:r>
        <w:drawing>
          <wp:inline xmlns:a="http://schemas.openxmlformats.org/drawingml/2006/main" xmlns:pic="http://schemas.openxmlformats.org/drawingml/2006/picture">
            <wp:extent cx="5669280" cy="4244381"/>
            <wp:docPr id="4" name="Picture 4"/>
            <wp:cNvGraphicFramePr>
              <a:graphicFrameLocks noChangeAspect="1"/>
            </wp:cNvGraphicFramePr>
            <a:graphic>
              <a:graphicData uri="http://schemas.openxmlformats.org/drawingml/2006/picture">
                <pic:pic>
                  <pic:nvPicPr>
                    <pic:cNvPr id="0" name="03_procurement_supplier.png"/>
                    <pic:cNvPicPr/>
                  </pic:nvPicPr>
                  <pic:blipFill>
                    <a:blip r:embed="rId20"/>
                    <a:stretch>
                      <a:fillRect/>
                    </a:stretch>
                  </pic:blipFill>
                  <pic:spPr>
                    <a:xfrm>
                      <a:off x="0" y="0"/>
                      <a:ext cx="5669280" cy="4244381"/>
                    </a:xfrm>
                    <a:prstGeom prst="rect"/>
                  </pic:spPr>
                </pic:pic>
              </a:graphicData>
            </a:graphic>
          </wp:inline>
        </w:drawing>
      </w:r>
    </w:p>
    <w:p>
      <w:pPr>
        <w:jc w:val="center"/>
      </w:pPr>
      <w:r>
        <w:rPr>
          <w:rFonts w:ascii="宋体" w:hAnsi="宋体" w:eastAsia="宋体"/>
          <w:b/>
          <w:sz w:val="20"/>
        </w:rPr>
        <w:t>图3-1 采购与供应商管理子系统功能模块与业务流程图</w:t>
      </w:r>
    </w:p>
    <w:p>
      <w:pPr/>
      <w:r>
        <w:t>一、采购管理功能模块</w:t>
      </w:r>
    </w:p>
    <w:p>
      <w:pPr/>
      <w:r>
        <w:t>（1）采购需求管理模块</w:t>
      </w:r>
    </w:p>
    <w:p>
      <w:pPr/>
      <w:r>
        <w:t>功能描述：接收MC输出的物料需求计划（MRP），自动关联BOM（物料清单）和库存数据，生成采购需求单。系统自动识别"常规补货"和"NPI/首单寻源"两种场景，分别触发不同的采购流程。</w:t>
      </w:r>
    </w:p>
    <w:p>
      <w:pPr/>
      <w:r>
        <w:t>业务规则：①需求单自动关联OC订单编号和客户FCS版本号，确保可追溯；②系统自动检查安全库存水位，低于阈值时触发预补货建议；③NPI场景自动推送至sourcing团队启动寻源流程。</w:t>
      </w:r>
    </w:p>
    <w:p>
      <w:pPr/>
      <w:r>
        <w:t>解决的痛点：消除MC与采购之间的信息传递延迟，减少人工转单错误，缩短需求到采购的响应时间。</w:t>
      </w:r>
    </w:p>
    <w:p>
      <w:pPr/>
      <w:r>
        <w:t>（2）智能询比价模块</w:t>
      </w:r>
    </w:p>
    <w:p>
      <w:pPr/>
      <w:r>
        <w:t>功能描述：针对同一物料自动向多个合格供应商发送询价请求（RFQ），供应商通过供应商门户在线报价。系统自动汇总报价，按照"价格、交期、质量评分、历史履约率"四维加权评分模型生成比价分析报告，推荐最优供应商组合。</w:t>
      </w:r>
    </w:p>
    <w:p>
      <w:pPr/>
      <w:r>
        <w:t>业务规则：①强势/寡头供方标记机制——对于客指或独家供应的物料，系统自动标记并提示风险，建议启动备选供方开发；②支持线上竞价（电子招投标），提升价格竞争透明度；③历史价格趋势分析，辅助采购人员进行年度降价谈判。</w:t>
      </w:r>
    </w:p>
    <w:p>
      <w:pPr/>
      <w:r>
        <w:t>解决的痛点：解决"采购信息不透明"和"采购成本偏高"问题，降低对强势供方的议价弱势。</w:t>
      </w:r>
    </w:p>
    <w:p>
      <w:pPr/>
      <w:r>
        <w:t>（3）采购订单管理模块</w:t>
      </w:r>
    </w:p>
    <w:p>
      <w:pPr/>
      <w:r>
        <w:t>功能描述：一键生成采购订单（PO），自动推送至供应商门户。支持订单确认、变更、取消的全生命周期管理。订单执行过程中，供应商实时更新生产进度和发货状态，采购方在系统中可视化跟踪每一笔订单的执行状态。</w:t>
      </w:r>
    </w:p>
    <w:p>
      <w:pPr/>
      <w:r>
        <w:t>业务规则：①PO自动关联合同条款（leadtime、付款条件、质量标准）；②订单变更需双方线上确认，保留完整变更记录；③超期未确认订单自动预警，触发催单流程。</w:t>
      </w:r>
    </w:p>
    <w:p>
      <w:pPr/>
      <w:r>
        <w:t>解决的痛点：解决"供应商响应不及时"问题，实现订单执行全过程可视化。</w:t>
      </w:r>
    </w:p>
    <w:p>
      <w:pPr/>
      <w:r>
        <w:t>（4）合同与成本管理模块</w:t>
      </w:r>
    </w:p>
    <w:p>
      <w:pPr/>
      <w:r>
        <w:t>功能描述：管理与供应商之间的框架合同、价格协议、保密协议等。内置成本分析工具，支持物料成本构成分解（原材料+加工+物流+关税）、TCO（总拥有成本）分析、以及现金折扣vs账期的资金成本权衡分析。</w:t>
      </w:r>
    </w:p>
    <w:p>
      <w:pPr/>
      <w:r>
        <w:t>业务规则：①年度降价协议线上签署与执行跟踪；②价格异常波动（超过设定阈值）自动触发预警；③合同到期自动提醒续签或重新招标。</w:t>
      </w:r>
    </w:p>
    <w:p>
      <w:pPr/>
      <w:r>
        <w:t>解决的痛点：解决"付款策略缺乏系统分析"问题，为采购决策提供数据支撑。</w:t>
      </w:r>
    </w:p>
    <w:p>
      <w:pPr/>
      <w:r>
        <w:t>二、供应商管理功能模块</w:t>
      </w:r>
    </w:p>
    <w:p>
      <w:pPr/>
      <w:r>
        <w:t>（5）供应商准入管理模块</w:t>
      </w:r>
    </w:p>
    <w:p>
      <w:pPr/>
      <w:r>
        <w:t>功能描述：管理供应商从信息收集、资质审核、现场审计、样品试制到MT（管理团队）评审的完整准入流程。系统内置标准化评审模板，支持在线评分和审批流转，将原本需要2个月以上的准入周期压缩至1个月以内。</w:t>
      </w:r>
    </w:p>
    <w:p>
      <w:pPr/>
      <w:r>
        <w:t>业务规则：①供应商自助注册并提交资质文件（营业执照、体系认证、财务报表等）；②系统自动进行工商信息验证和信用评级（对接第三方征信平台）；③评审任务自动分发至sourcing、品质、工程等评审角色；④MT评审结果线上记录，审批通过后自动激活供应商编码。</w:t>
      </w:r>
    </w:p>
    <w:p>
      <w:pPr/>
      <w:r>
        <w:t>解决的痛点：缩短新供应商准入周期，降低人工协调成本，提升准入流程的透明度和规范性。</w:t>
      </w:r>
    </w:p>
    <w:p>
      <w:pPr/>
      <w:r>
        <w:t>（6）供应商分类分级管理模块</w:t>
      </w:r>
    </w:p>
    <w:p>
      <w:pPr/>
      <w:r>
        <w:t>功能描述：基于卡拉杰克矩阵（Kraljic Matrix），将供应商按"采购金额影响"和"供应风险"两个维度分为四类：战略供应商、杠杆供应商、瓶颈供应商、一般供应商。同时引入"客指供方"、"寡头供方"等特殊标签，实施差异化管理策略。</w:t>
      </w:r>
    </w:p>
    <w:p>
      <w:pPr/>
      <w:r>
        <w:t>管理策略：①战略供应商——深度协同、联合创新、长期合同；②杠杆供应商——充分竞争、动态比价、灵活切换；③瓶颈供应商（含寡头供方）——安全库存储备、替代开发、风险对冲；④一般供应商——标准化采购、效率优先。</w:t>
      </w:r>
    </w:p>
    <w:p>
      <w:pPr/>
      <w:r>
        <w:t>（7）多维绩效评估模块</w:t>
      </w:r>
    </w:p>
    <w:p>
      <w:pPr/>
      <w:r>
        <w:t>功能描述：在现有"每3个月打分一次"的基础上，构建更加全面、动态的供应商绩效评估体系。评估维度从单一评分扩展为"QCDS"四维模型：Quality（质量，权重30%）、Cost（成本，权重25%）、Delivery（交付，权重30%）、Service（服务，权重15%），每个维度细分为具体的KPI指标。</w:t>
      </w:r>
    </w:p>
    <w:p>
      <w:pPr/>
      <w:r>
        <w:t>业务规则：①评分数据自动采集（质量、交付数据从ERP/WMS自动抓取），减少人工打分偏差；②月度自动评分+季度综合评审+年度战略评估三级评估机制；③评分结果与供应商分级联动——连续两个季度评分低于阈值自动触发整改或淘汰流程。</w:t>
      </w:r>
    </w:p>
    <w:p>
      <w:pPr/>
      <w:r>
        <w:t>（8）供应商协同门户模块</w:t>
      </w:r>
    </w:p>
    <w:p>
      <w:pPr/>
      <w:r>
        <w:t>功能描述：面向供应商的自助服务平台，供应商可实时查看订单状态、库存需求预测、付款进度、绩效评分等信息。</w:t>
      </w:r>
    </w:p>
    <w:p>
      <w:pPr/>
      <w:r>
        <w:t>功能清单：①订单协同——PO确认、发货通知、到货反馈；②预测共享——向核心供应商开放未来3个月的需求预测（基于客户FCS）；③对账协同——发票提交、对账确认、付款状态查询；④绩效反馈——供应商查看自身评分和改善建议。</w:t>
      </w:r>
    </w:p>
    <w:p>
      <w:pPr>
        <w:pStyle w:val="Heading3"/>
      </w:pPr>
      <w:r>
        <w:t>3.1.3 业务流程设计</w:t>
      </w:r>
    </w:p>
    <w:p>
      <w:pPr/>
      <w:r>
        <w:t>采购管理的端到端流程设计如下：</w:t>
      </w:r>
    </w:p>
    <w:p>
      <w:pPr/>
      <w:r>
        <w:t>MRP需求导入 → 需求审核（MC确认） → 自动检查库存/在途 → 生成采购申请 → 审批流转（协同子系统） → 询比价/竞标 → 供应商匹配与推荐 → 比价确认 → 生成PO → 供应商确认 → 订单执行跟踪 → 到货入库触发（库存子系统联动） → 对账结算 → 归档</w:t>
      </w:r>
    </w:p>
    <w:p>
      <w:pPr/>
      <w:r>
        <w:t>供应商全生命周期管理流程：</w:t>
      </w:r>
    </w:p>
    <w:p>
      <w:pPr/>
      <w:r>
        <w:t>供应商寻源 → 信息收集与资质初筛 → 现场审计/样品试制 → MT评审 → 准入审批 → 编码激活 → 首单试用 → 正式合作 → 周期绩效评估 → 等级升降 → 战略合作/整改/淘汰</w:t>
      </w:r>
    </w:p>
    <w:p>
      <w:pPr>
        <w:pStyle w:val="Heading2"/>
      </w:pPr>
      <w:r>
        <w:t>3.2 库存与仓储物流管理子系统</w:t>
      </w:r>
    </w:p>
    <w:p>
      <w:pPr>
        <w:pStyle w:val="Heading3"/>
      </w:pPr>
      <w:r>
        <w:t>3.2.1 设计背景与目标</w:t>
      </w:r>
    </w:p>
    <w:p>
      <w:pPr/>
      <w:r>
        <w:t>歌尔股份2024年末存货余额104.79亿元，虽然同比下降2.93%，但在总资产中占比仍高达12.97%。企业同时采用安全库存、JIT、VMI三种库存管理模式，但三者之间缺乏统一的优化策略。需求预测完全依赖客户FCS，前3个月准确率80%，但客户周度更新的频率意味着计划频繁调整。</w:t>
      </w:r>
    </w:p>
    <w:p>
      <w:pPr/>
      <w:r>
        <w:t>访谈明确指出"帐实不一致，物料丢失"等问题。同时，随着越南工厂产能扩张，跨国物流与关务协同的复杂度显著提升，原有库存管理体系已无法满足全球化供应链的精细化管理需求。</w:t>
      </w:r>
    </w:p>
    <w:p>
      <w:pPr/>
      <w:r>
        <w:t>本子系统将库存管理、仓储管理与物流关务进行整合，目标是构建"预测驱动、实时可视、智能优化、全球协同"的库存与物流一体化管理能力，覆盖从需求预测到生产上线的全过程。</w:t>
      </w:r>
    </w:p>
    <w:p>
      <w:pPr>
        <w:pStyle w:val="Heading3"/>
      </w:pPr>
      <w:r>
        <w:t>3.2.2 功能模块设计</w:t>
      </w:r>
    </w:p>
    <w:p>
      <w:pPr>
        <w:jc w:val="center"/>
      </w:pPr>
      <w:r>
        <w:drawing>
          <wp:inline xmlns:a="http://schemas.openxmlformats.org/drawingml/2006/main" xmlns:pic="http://schemas.openxmlformats.org/drawingml/2006/picture">
            <wp:extent cx="5669280" cy="3885927"/>
            <wp:docPr id="5" name="Picture 5"/>
            <wp:cNvGraphicFramePr>
              <a:graphicFrameLocks noChangeAspect="1"/>
            </wp:cNvGraphicFramePr>
            <a:graphic>
              <a:graphicData uri="http://schemas.openxmlformats.org/drawingml/2006/picture">
                <pic:pic>
                  <pic:nvPicPr>
                    <pic:cNvPr id="0" name="04_inventory_logistics.png"/>
                    <pic:cNvPicPr/>
                  </pic:nvPicPr>
                  <pic:blipFill>
                    <a:blip r:embed="rId21"/>
                    <a:stretch>
                      <a:fillRect/>
                    </a:stretch>
                  </pic:blipFill>
                  <pic:spPr>
                    <a:xfrm>
                      <a:off x="0" y="0"/>
                      <a:ext cx="5669280" cy="3885927"/>
                    </a:xfrm>
                    <a:prstGeom prst="rect"/>
                  </pic:spPr>
                </pic:pic>
              </a:graphicData>
            </a:graphic>
          </wp:inline>
        </w:drawing>
      </w:r>
    </w:p>
    <w:p>
      <w:pPr>
        <w:jc w:val="center"/>
      </w:pPr>
      <w:r>
        <w:rPr>
          <w:rFonts w:ascii="宋体" w:hAnsi="宋体" w:eastAsia="宋体"/>
          <w:b/>
          <w:sz w:val="20"/>
        </w:rPr>
        <w:t>图3-2 库存与仓储物流管理子系统功能模块与业务流程图</w:t>
      </w:r>
    </w:p>
    <w:p>
      <w:pPr/>
      <w:r>
        <w:t>（1）需求预测与计划模块</w:t>
      </w:r>
    </w:p>
    <w:p>
      <w:pPr/>
      <w:r>
        <w:t>功能描述：以客户FCS为核心输入，结合历史消耗数据、季节性因素、产品生命周期阶段等信息，构建多层次需求预测模型。在客户FCS的基础上，增加系统自有的辅助预测能力，将综合预测准确率从80%提升至85%以上。</w:t>
      </w:r>
    </w:p>
    <w:p>
      <w:pPr/>
      <w:r>
        <w:t>功能设计：①FCS自动导入与版本管理——每次客户更新FCS时自动触发需求计划重算；②需求波动分析——自动比较连续多期FCS的变化幅度，识别异常波动并预警；③安全库存动态计算——根据物料的leadtime、需求波动率、服务水平要求自动计算最优安全库存量；④ABC-XYZ分类分析——按照采购金额（ABC）和需求波动性（XYZ）对物料进行二维分类，实施差异化的库存策略。</w:t>
      </w:r>
    </w:p>
    <w:p>
      <w:pPr/>
      <w:r>
        <w:t>（2）出入库与库存可视化模块</w:t>
      </w:r>
    </w:p>
    <w:p>
      <w:pPr/>
      <w:r>
        <w:t>功能描述：与WMS（仓库管理系统）深度集成，实现原材料入库（含IQC检验结果关联）、领料出库、退料、报废等全过程数据实时同步。构建库存看板，实时展示各仓库、各物料类别的库存水位、在途数量、待检数量等关键指标。</w:t>
      </w:r>
    </w:p>
    <w:p>
      <w:pPr/>
      <w:r>
        <w:t>业务规则：①入库自动关联PO和IQC检验结果——不合格品自动隔离并触发供应商退货流程；②库存数据每5分钟与ERP同步一次，确保"帐实一致"；③物料批次追溯——支持按批次号、供应商、入库日期等多维度追溯，解决"物料丢失"问题；④呆滞物料预警——超过设定天数未使用的物料自动标记并推送处理建议。</w:t>
      </w:r>
    </w:p>
    <w:p>
      <w:pPr/>
      <w:r>
        <w:t>（3）智能补货与库存优化模块</w:t>
      </w:r>
    </w:p>
    <w:p>
      <w:pPr/>
      <w:r>
        <w:t>功能描述：基于需求预测和当前库存水位，自动生成补货建议。针对不同库存模式（安全库存、JIT、VMI），采用差异化的补货策略和参数设置。</w:t>
      </w:r>
    </w:p>
    <w:p>
      <w:pPr/>
      <w:r>
        <w:t>策略设计：①安全库存模式——当库存低于安全库存+在途量时，自动生成补货需求推送至采购子系统；②JIT模式——根据PC排产计划，按照生产节拍计算精确到小时的物料到货时间要求；③VMI模式——向供应商开放库存水位数据，由供应商主动补货，系统监控库存上下限；④混合模式优化——基于物料特性和供应商能力，智能推荐最优的库存管理模式。</w:t>
      </w:r>
    </w:p>
    <w:p>
      <w:pPr/>
      <w:r>
        <w:t>（4）物流跟踪管理模块</w:t>
      </w:r>
    </w:p>
    <w:p>
      <w:pPr/>
      <w:r>
        <w:t>功能描述：实现从供应商发货到工厂入库的全程物流可视化跟踪。支持国内物流和国际物流（尤其越南↔中国）双线管理，对接DMS物流系统获取实时运输状态，自动计算预计到货时间（ETA），当ETA偏离计划到货时间时自动触发预警。</w:t>
      </w:r>
    </w:p>
    <w:p>
      <w:pPr/>
      <w:r>
        <w:t>业务规则：①物流节点状态实时推送（发货→在途→到港→清关→入厂）；②多式联运协同——支持海运+陆运组合运输的全程跟踪；③物流异常自动预警——延误、损毁、滞港等异常事件即时通知相关责任人；④运输成本分析——按路线、方式、供应商维度统计运输成本，优化物流决策。</w:t>
      </w:r>
    </w:p>
    <w:p>
      <w:pPr/>
      <w:r>
        <w:t>（5）关务协同管理模块</w:t>
      </w:r>
    </w:p>
    <w:p>
      <w:pPr/>
      <w:r>
        <w:t>功能描述：针对歌尔股份越南工厂的跨国供应链场景，提供报关单据管理、海关监管数据对接、多币种/多关税政策适配等功能。与关务报关系统无缝集成，实现进出口合规校验自动化。</w:t>
      </w:r>
    </w:p>
    <w:p>
      <w:pPr/>
      <w:r>
        <w:t>业务规则：①报关单据自动生成与校验——基于PO和装箱单自动生成报关所需单据；②关税计算——自动匹配HS编码和适用税率，计算关税成本并纳入TCO分析；③合规检查——自动校验进出口管制清单、原产地证明等合规要求；④多币种结算——支持CNY/USD/VND等多币种的汇率自动转换和成本核算。</w:t>
      </w:r>
    </w:p>
    <w:p>
      <w:pPr>
        <w:pStyle w:val="Heading3"/>
      </w:pPr>
      <w:r>
        <w:t>3.2.3 业务流程设计</w:t>
      </w:r>
    </w:p>
    <w:p>
      <w:pPr/>
      <w:r>
        <w:t>库存与物流管理闭环流程：</w:t>
      </w:r>
    </w:p>
    <w:p>
      <w:pPr/>
      <w:r>
        <w:t>FCS导入 → 需求预测 → MRP运算 → 安全库存检查 → 补货建议生成 → 采购下单（采购子系统联动） → 物流跟踪 → 关务报关（越南场景） → 到货入库 → IQC检验 → 合格入库/不合格退货 → 生产领料 → 库存消耗更新 → 库存分析 → 策略优化</w:t>
      </w:r>
    </w:p>
    <w:p>
      <w:pPr>
        <w:pStyle w:val="Heading2"/>
      </w:pPr>
      <w:r>
        <w:t>3.3 协同与风险管控子系统</w:t>
      </w:r>
    </w:p>
    <w:p>
      <w:pPr>
        <w:pStyle w:val="Heading3"/>
      </w:pPr>
      <w:r>
        <w:t>3.3.1 设计背景与目标</w:t>
      </w:r>
    </w:p>
    <w:p>
      <w:pPr/>
      <w:r>
        <w:t>访谈中最突出、反复被提及的痛点就是"部门墙严重"。MC、OC、PC、采购、仓储、关务、品质等部门虽然各自使用信息化系统，但部门间信息传递不顺畅，加之"歌尔流失率高，部分员工能力欠缺"，导致沟通效率低下。</w:t>
      </w:r>
    </w:p>
    <w:p>
      <w:pPr/>
      <w:r>
        <w:t>同时，如果说"苹果砍单"事件是歌尔股份供应链管理的一次"压力测试"，那么测试的结果是不及格的。2022年因单一客户突然砍单导致净利润暴跌59%、计提18亿元减值、市值蒸发超千亿，其深层原因在于缺乏系统性的供应链风险预警和应急响应能力。</w:t>
      </w:r>
    </w:p>
    <w:p>
      <w:pPr/>
      <w:r>
        <w:t>歌尔目前正在全面推行"922流程"，旨在统一各BG流程标准、导入IT化、减少人工处理。本子系统将协同管理与风险管控进行整合，既是打通其他两个子系统的"连接器"和"保护伞"，也是解决"部门墙"问题和构建风险防线的核心抓手，实现从"事后救火"到"事前防范"的战略转变。</w:t>
      </w:r>
    </w:p>
    <w:p>
      <w:pPr>
        <w:pStyle w:val="Heading3"/>
      </w:pPr>
      <w:r>
        <w:t>3.3.2 功能模块设计</w:t>
      </w:r>
    </w:p>
    <w:p>
      <w:pPr>
        <w:jc w:val="center"/>
      </w:pPr>
      <w:r>
        <w:drawing>
          <wp:inline xmlns:a="http://schemas.openxmlformats.org/drawingml/2006/main" xmlns:pic="http://schemas.openxmlformats.org/drawingml/2006/picture">
            <wp:extent cx="5669280" cy="4244381"/>
            <wp:docPr id="6" name="Picture 6"/>
            <wp:cNvGraphicFramePr>
              <a:graphicFrameLocks noChangeAspect="1"/>
            </wp:cNvGraphicFramePr>
            <a:graphic>
              <a:graphicData uri="http://schemas.openxmlformats.org/drawingml/2006/picture">
                <pic:pic>
                  <pic:nvPicPr>
                    <pic:cNvPr id="0" name="05_collaboration_risk.png"/>
                    <pic:cNvPicPr/>
                  </pic:nvPicPr>
                  <pic:blipFill>
                    <a:blip r:embed="rId22"/>
                    <a:stretch>
                      <a:fillRect/>
                    </a:stretch>
                  </pic:blipFill>
                  <pic:spPr>
                    <a:xfrm>
                      <a:off x="0" y="0"/>
                      <a:ext cx="5669280" cy="4244381"/>
                    </a:xfrm>
                    <a:prstGeom prst="rect"/>
                  </pic:spPr>
                </pic:pic>
              </a:graphicData>
            </a:graphic>
          </wp:inline>
        </w:drawing>
      </w:r>
    </w:p>
    <w:p>
      <w:pPr>
        <w:jc w:val="center"/>
      </w:pPr>
      <w:r>
        <w:rPr>
          <w:rFonts w:ascii="宋体" w:hAnsi="宋体" w:eastAsia="宋体"/>
          <w:b/>
          <w:sz w:val="20"/>
        </w:rPr>
        <w:t>图3-3 协同与风险管控子系统功能模块图</w:t>
      </w:r>
    </w:p>
    <w:p>
      <w:pPr/>
      <w:r>
        <w:t>一、协同管理功能模块</w:t>
      </w:r>
    </w:p>
    <w:p>
      <w:pPr/>
      <w:r>
        <w:t>（1）统一工作流引擎模块</w:t>
      </w:r>
    </w:p>
    <w:p>
      <w:pPr/>
      <w:r>
        <w:t>功能描述：构建统一的BPM（业务流程管理）引擎，将采购审批、供应商准入评审、库存调拨、异常处理等跨部门流程全部纳入线上管理。所有流程节点、审批规则、时限要求均可配置，支持"922流程"标准化推广。</w:t>
      </w:r>
    </w:p>
    <w:p>
      <w:pPr/>
      <w:r>
        <w:t>功能设计：①可视化流程设计器——业务人员可自助配置流程节点和审批规则，无需IT介入；②审批替岗机制——员工离职或请假时自动将待办转派至替岗人员，解决"员工流失率高"导致的流程中断问题；③流程效率看板——统计各环节平均处理时长、超时率等指标，识别效率瓶颈；④移动端审批——支持手机端审批、催办、查看流程进度。</w:t>
      </w:r>
    </w:p>
    <w:p>
      <w:pPr/>
      <w:r>
        <w:t>（2）跨部门消息与任务中心模块</w:t>
      </w:r>
    </w:p>
    <w:p>
      <w:pPr/>
      <w:r>
        <w:t>功能描述：构建统一的消息通知中心，将来自ERP、SRM、WMS等多个系统的待办事项、预警信息、审批提醒等汇聚到一个平台。支持按角色、部门、紧急程度推送消息，确保关键信息不遗漏。</w:t>
      </w:r>
    </w:p>
    <w:p>
      <w:pPr/>
      <w:r>
        <w:t>功能设计：①任务看板——每位员工登录后看到自己所有待办任务的统一视图；②消息分级——紧急消息（如供应商断供预警）通过短信/企业微信即时推送；③任务跟踪——支持任务指派、进度更新、逾期提醒，确保跨部门协作任务不掉链子。</w:t>
      </w:r>
    </w:p>
    <w:p>
      <w:pPr/>
      <w:r>
        <w:t>（3）数据共享与看板模块</w:t>
      </w:r>
    </w:p>
    <w:p>
      <w:pPr/>
      <w:r>
        <w:t>功能描述：构建面向不同角色的数据看板，打破信息壁垒。</w:t>
      </w:r>
    </w:p>
    <w:p>
      <w:pPr/>
      <w:r>
        <w:t>看板设计：①经营总览看板——营收、订单、库存、供应商等核心指标一屏展示（OPM/管理层）；②采购运营看板——采购执行率、节省率、供应商响应时效（采购团队）；③库存健康看板——库存周转、呆滞率、安全库存覆盖率（MC/仓储）；④供应商表现看板——QCDS综合评分、Top10/Bottom10供应商排名（sourcing团队）。</w:t>
      </w:r>
    </w:p>
    <w:p>
      <w:pPr/>
      <w:r>
        <w:t>（4）外部系统集成模块</w:t>
      </w:r>
    </w:p>
    <w:p>
      <w:pPr/>
      <w:r>
        <w:t>功能描述：作为系统集成枢纽，实现与歌尔现有信息化系统的无缝数据对接。</w:t>
      </w:r>
    </w:p>
    <w:p>
      <w:pPr/>
      <w:r>
        <w:t>集成清单：①ERP（SAP/Oracle）——主数据同步、MRP结果、财务凭证；②G-SRM——供应商信息、订单数据双向同步；③WMS——出入库数据、库存快照实时同步；④BI系统——为BI提供清洗后的业务数据，支撑管理决策分析；⑤FSSC财务系统——付款申请、发票校验、账期管理；⑥DMS物流系统——物流跟踪、运输状态、到货预计；⑦关务报关系统——报关单据、海关监管数据（尤其越南工厂进出口场景）。</w:t>
      </w:r>
    </w:p>
    <w:p>
      <w:pPr/>
      <w:r>
        <w:t>二、风险管控功能模块</w:t>
      </w:r>
    </w:p>
    <w:p>
      <w:pPr/>
      <w:r>
        <w:t>（5）多维风险识别模块</w:t>
      </w:r>
    </w:p>
    <w:p>
      <w:pPr/>
      <w:r>
        <w:t>功能描述：建立覆盖供应链上下游的全方位风险识别体系，包含以下六大风险维度：①客户集中度风险——监控前五大客户营收占比和单一客户依赖度；②供应商经营风险——对接工商/征信数据，监控供应商财务健康和经营异常；③物料价格风险——跟踪大宗原材料价格波动（铜、铝、芯片等）；④库存风险——监控库存周转异常、呆滞积压、缺料断线风险；⑤地缘政治风险——关注中美贸易政策、越南投资环境变化等；⑥物流交付风险——监控运输延误、港口拥堵、海关政策变动等。</w:t>
      </w:r>
    </w:p>
    <w:p>
      <w:pPr/>
      <w:r>
        <w:t>（6）风险量化评估模块</w:t>
      </w:r>
    </w:p>
    <w:p>
      <w:pPr/>
      <w:r>
        <w:t>功能描述：对识别出的风险进行量化评估，采用"概率×影响"矩阵模型，将每项风险评估为"高/中/低"三个等级。系统自动计算风险暴露值（Risk Exposure Value），为管理层提供优先级排序。</w:t>
      </w:r>
    </w:p>
    <w:p>
      <w:pPr/>
      <w:r>
        <w:t>评估方法：①客户集中度风险——基于赫芬达尔指数（HHI）计算客户集中度，当HHI超过阈值时触发预警；②供应商风险——综合QCDS评分和外部信用评级，对低于阈值的供应商自动标记为高风险；③库存风险——基于库存周转天数的Z-Score分析，识别异常偏离的物料类别。</w:t>
      </w:r>
    </w:p>
    <w:p>
      <w:pPr/>
      <w:r>
        <w:t>（7）智能预警引擎模块</w:t>
      </w:r>
    </w:p>
    <w:p>
      <w:pPr/>
      <w:r>
        <w:t>功能描述：基于风险评估结果，构建多级预警机制。预警规则可灵活配置，支持"实时触发"和"定期扫描"两种模式。</w:t>
      </w:r>
    </w:p>
    <w:p>
      <w:pPr/>
      <w:r>
        <w:t>预警分级：①红色预警（一级）——如大客户FCS大幅下调超30%、核心供应商出现财务危机等，立即推送至管理层并启动应急预案；②橙色预警（二级）——如供应商连续两月OTD低于90%、物料价格波动超10%等，推送至部门经理并启动整改跟踪；③黄色预警（三级）——如单一物料库存偏离安全水位、新供方评审超期等，推送至具体责任人处理。</w:t>
      </w:r>
    </w:p>
    <w:p>
      <w:pPr/>
      <w:r>
        <w:t>（8）应急响应与预案管理模块</w:t>
      </w:r>
    </w:p>
    <w:p>
      <w:pPr/>
      <w:r>
        <w:t>功能描述：针对高风险场景预先配置应急响应预案，当风险触发时自动激活对应预案，确保快速、有序地应对供应链中断事件。</w:t>
      </w:r>
    </w:p>
    <w:p>
      <w:pPr/>
      <w:r>
        <w:t>预案示例：①大客户砍单预案——FCS下调超30%时：冻结相关物料采购、评估在手库存及在途订单、启动订单转移至其他客户可能性评估、计算潜在减值影响并预提准备；②核心供应商断供预案——自动触发备选供方紧急激活、安全库存释放、产线调整方案评估；③关税政策变动预案——自动重新计算TCO、评估供应来源切换方案（如国内→越南/越南→国内）。</w:t>
      </w:r>
    </w:p>
    <w:p>
      <w:pPr/>
      <w:r>
        <w:t>（9）风险报告与决策支持模块</w:t>
      </w:r>
    </w:p>
    <w:p>
      <w:pPr/>
      <w:r>
        <w:t>功能描述：自动生成周度/月度/季度供应链风险报告，涵盖风险态势总览、新增风险事件、在处理风险事件进展、风险趋势分析等。报告面向不同管理层级提供差异化的视角和粒度。</w:t>
      </w:r>
    </w:p>
    <w:p>
      <w:pPr>
        <w:pStyle w:val="Heading1"/>
      </w:pPr>
      <w:r>
        <w:t>第四章 系统实施路径与预期价值</w:t>
      </w:r>
    </w:p>
    <w:p>
      <w:pPr>
        <w:pStyle w:val="Heading2"/>
      </w:pPr>
      <w:r>
        <w:t>4.1 分阶段实施路径</w:t>
      </w:r>
    </w:p>
    <w:p>
      <w:pPr/>
      <w:r>
        <w:t>本系统建议分三个阶段实施，与三大子系统的优先级对应：</w:t>
      </w:r>
    </w:p>
    <w:p>
      <w:pPr/>
      <w:r>
        <w:t>第一阶段（第1-6个月）——采购与供应商管理子系统上线：优先落地采购需求管理、智能询比价、订单管理、供应商准入与绩效评估等核心功能，快速实现采购流程的在线化和透明化，为后续子系统建设奠定数据基础。</w:t>
      </w:r>
    </w:p>
    <w:p>
      <w:pPr/>
      <w:r>
        <w:t>第二阶段（第7-12个月）——库存与仓储物流管理子系统上线：在采购子系统数据贯通的基础上，上线需求预测、出入库管理、智能补货、物流跟踪和关务协同功能，实现"采购—库存—物流"的端到端打通。</w:t>
      </w:r>
    </w:p>
    <w:p>
      <w:pPr/>
      <w:r>
        <w:t>第三阶段（第13-18个月）——协同与风险管控子系统上线：在前两个子系统数据充分积累的基础上，上线统一工作流引擎、风险识别与预警、应急预案管理和决策看板，实现供应链全局的协同管控和智能预警。</w:t>
      </w:r>
    </w:p>
    <w:p>
      <w:pPr>
        <w:pStyle w:val="Heading2"/>
      </w:pPr>
      <w:r>
        <w:t>4.2 预期价值量化</w:t>
      </w:r>
    </w:p>
    <w:p>
      <w:pPr/>
      <w:r>
        <w:t>系统全面上线后，预期实现以下核心价值：</w:t>
      </w:r>
    </w:p>
    <w:p>
      <w:pPr/>
      <w:r>
        <w:t>（1）采购效率提升：采购周期缩短30%（国内从2周缩短至10天，越南从3周缩短至15天），采购流程自动化率提升至80%以上。</w:t>
      </w:r>
    </w:p>
    <w:p>
      <w:pPr/>
      <w:r>
        <w:t>（2）成本优化：通过智能询比价和TCO分析，综合采购成本降低3-5%，按2024年千亿营收规模计算，预计年节省3-5亿元。</w:t>
      </w:r>
    </w:p>
    <w:p>
      <w:pPr/>
      <w:r>
        <w:t>（3）库存优化：库存周转率提升20%（从约9.5次提升至11.4次），呆滞库存减少30%，帐实一致率提升至99%以上。</w:t>
      </w:r>
    </w:p>
    <w:p>
      <w:pPr/>
      <w:r>
        <w:t>（4）供应商管理升级：新供应商准入周期从2个月缩短至1个月以内，QCDS评估自动化覆盖率达100%，供应商异常响应时间缩短50%。</w:t>
      </w:r>
    </w:p>
    <w:p>
      <w:pPr/>
      <w:r>
        <w:t>（5）协同效率提升：跨部门协同效率提升40%，流程审批在线率达100%，信息传递延迟降低60%。</w:t>
      </w:r>
    </w:p>
    <w:p>
      <w:pPr/>
      <w:r>
        <w:t>（6）风险防控强化：供应链风险预警覆盖率达95%以上，重大风险事件响应时间从"天"级缩短至"小时"级。</w:t>
      </w:r>
    </w:p>
    <w:p>
      <w:pPr>
        <w:pStyle w:val="Heading2"/>
      </w:pPr>
      <w:r>
        <w:t>4.3 与歌尔"922流程"战略的对齐</w:t>
      </w:r>
    </w:p>
    <w:p>
      <w:pPr/>
      <w:r>
        <w:t>歌尔股份目前全面推行的"922流程"战略，旨在实现全流程标准化、统一各BG流程一致、导入IT化、减少人工处理。本系统设计与"922流程"高度对齐：</w:t>
      </w:r>
    </w:p>
    <w:p>
      <w:pPr/>
      <w:r>
        <w:t>（1）流程标准化：协同与风险管控子系统的统一工作流引擎，直接支撑各BG采购、供应商管理、库存管理流程的标准化落地，确保"一套流程、统一执行"。</w:t>
      </w:r>
    </w:p>
    <w:p>
      <w:pPr/>
      <w:r>
        <w:t>（2）IT化替代人工：采购与供应商管理子系统的智能询比价、库存与仓储物流管理子系统的自动补货、协同与风险管控子系统的智能预警，均通过系统自动化替代原有的人工判断和操作。</w:t>
      </w:r>
    </w:p>
    <w:p>
      <w:pPr/>
      <w:r>
        <w:t>（3）数据驱动决策：统一数据中台和BI分析引擎，为管理层提供实时、准确、多维度的数据支撑，推动从"经验驱动"向"数据驱动"的管理模式转型。</w:t>
      </w:r>
    </w:p>
    <w:p>
      <w:pPr>
        <w:pStyle w:val="Heading1"/>
      </w:pPr>
      <w:r>
        <w:t>第五章 结语</w:t>
      </w:r>
    </w:p>
    <w:p>
      <w:pPr/>
      <w:r>
        <w:t>歌尔股份有限公司作为全球消费电子制造业的头部企业，正站在一个关键的战略转折点上。2022年的"苹果砍单"事件是一记沉痛的警钟，2024年营收重回千亿、净利润增长145%的强劲复苏则证明了企业的韧性和潜力。然而，前五大客户营收占比64%的高集中度、整机代工毛利率不足10%的薄利困局、全球化供应链管理的复杂性升级，都意味着歌尔股份必须从供应链管理体系层面进行系统性变革。</w:t>
      </w:r>
    </w:p>
    <w:p>
      <w:pPr/>
      <w:r>
        <w:t>本文基于对歌尔股份内部人员的深度访谈和企业真实经营数据的系统分析，设计了覆盖采购与供应商管理、库存与仓储物流管理、协同与风险管控三大子系统的物资供应管理系统。三大子系统分别对应物资供应链管理的"源头管控"、"过程管理"和"全局保障"三大核心环节，形成了完整的闭环管理体系。这一系统设计讲述了一个完整的"故事"——从危机中汲取教训、诊断经营痛点、重构管理体系、最终实现价值兑现。每一个子系统的设计都不是孤立的功能堆砌，而是紧密围绕企业真实的经营痛点，以数据为纽带、以协同为骨架、以风险管控为保障，构建一个有机统一的整体。</w:t>
      </w:r>
    </w:p>
    <w:p>
      <w:pPr/>
      <w:r>
        <w:t>面向未来，这套系统将伴随歌尔股份"922流程"战略的推进而持续演进，从当前的流程标准化和IT化，逐步迈向AI赋能的智能供应链管理，最终助力歌尔股份实现从"被动响应式供应链"向"主动预见式供应链"的战略跨越。</w:t>
      </w:r>
    </w:p>
    <w:p>
      <w:pPr>
        <w:pStyle w:val="Heading1"/>
      </w:pPr>
      <w:r>
        <w:t>主要数据来源与参考文献</w:t>
      </w:r>
    </w:p>
    <w:p>
      <w:pPr/>
      <w:r>
        <w:t>1. 歌尔股份有限公司2022年年度报告（深交所巨潮资讯网: cninfo.com.cn）</w:t>
      </w:r>
    </w:p>
    <w:p>
      <w:pPr/>
      <w:r>
        <w:t>2. 歌尔股份有限公司2023年年度报告（深交所巨潮资讯网: cninfo.com.cn）</w:t>
      </w:r>
    </w:p>
    <w:p>
      <w:pPr/>
      <w:r>
        <w:t>3. 歌尔股份有限公司2024年年度报告（深交所巨潮资讯网: cninfo.com.cn, 公告编号1222912667）</w:t>
      </w:r>
    </w:p>
    <w:p>
      <w:pPr/>
      <w:r>
        <w:t>4. 歌尔股份2024年营收首破千亿，净利润增长144.9%（华尔街见闻, wallstreetcn.com, 2025-03-28）</w:t>
      </w:r>
    </w:p>
    <w:p>
      <w:pPr/>
      <w:r>
        <w:t>5. 歌尔股份：2024年净利润26.65亿元 同比增长144.93%（新浪财经, finance.sina.cn, 2025-03-27）</w:t>
      </w:r>
    </w:p>
    <w:p>
      <w:pPr/>
      <w:r>
        <w:t>6. 2024年歌尔股份资产负债、营收、成本利润及主营产品数据统计（华经产业研究院, huaon.com）</w:t>
      </w:r>
    </w:p>
    <w:p>
      <w:pPr/>
      <w:r>
        <w:t>7. 受苹果暂停AirPods代工影响，歌尔股份2022年净利大跌59.08%（腾讯新闻, news.qq.com, 2023-04-17）</w:t>
      </w:r>
    </w:p>
    <w:p>
      <w:pPr/>
      <w:r>
        <w:t>8. 难扛苹果压力，歌尔股份豪赌越南设厂（澎湃新闻, thepaper.cn）</w:t>
      </w:r>
    </w:p>
    <w:p>
      <w:pPr/>
      <w:r>
        <w:t>9. 歌尔股份，被1000亿困住！（雪球, xueqiu.com）</w:t>
      </w:r>
    </w:p>
    <w:p>
      <w:pPr/>
      <w:r>
        <w:t>10. 营收利润双下滑，歌尔股份遭苹果"砍单"的阵痛何时止（澎湃新闻, thepaper.cn）</w:t>
      </w:r>
    </w:p>
    <w:p>
      <w:pPr/>
      <w:r>
        <w:t>11. Goertek Full Year 2024 Earnings（Simply Wall St, simplywall.st）</w:t>
      </w:r>
    </w:p>
    <w:p>
      <w:pPr/>
      <w:r>
        <w:t>12. 歌尔股份内部访谈记录（访谈稿.docx，本项目一手资料）</w:t>
      </w:r>
    </w:p>
    <w:p>
      <w:pPr/>
      <w:r>
        <w:t>13. Goertek Inc. 2024 Annual Report English Version（goertek.com/en/Upload/202505/）</w:t>
      </w:r>
    </w:p>
    <w:p>
      <w:pPr/>
      <w:r>
        <w:t>14. 歌尔股份业绩强劲回暖：营收重回千亿，净利创近三年新高（腾讯新闻, news.qq.com, 2025-03-28）</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