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第四章  2019—2021年歌尔股份成本效益分析</w:t>
      </w:r>
    </w:p>
    <w:p>
      <w:pPr>
        <w:ind w:firstLine="480"/>
      </w:pPr>
      <w:r>
        <w:t>本章比照前述基本分析流程，以2019—2021年歌尔股份年度报告为数据来源，围绕物资供应管理的成本构成、经营收益及成本与收益对比三个维度，系统开展定量分析。研究期间为公司业务高速扩张阶段，营业收入从2019年的351.48亿元增至2021年的782.21亿元，三年复合增长率约为49.2%。</w:t>
      </w:r>
    </w:p>
    <w:p>
      <w:pPr>
        <w:pStyle w:val="Heading2"/>
      </w:pPr>
      <w:r>
        <w:t>4.1  成本分析</w:t>
      </w:r>
    </w:p>
    <w:p>
      <w:pPr>
        <w:ind w:firstLine="480"/>
      </w:pPr>
      <w:r>
        <w:t>物资供应管理的直接成本涵盖物资采购成本、库存持有成本、仓库折旧成本、采购人工成本及相关设备成本等多个维度。歌尔股份年报中披露了直接材料成本、存货余额、固定资产净值、职工薪酬等核心数据，本节在直接引用年报数据的基础上，对年报中未单独披露的细项（仓库折旧、采购人工、设备系统成本）依据公开财务数据及行业通行方法进行估算，并在各表注释中注明数据来源及估算依据。</w:t>
      </w:r>
    </w:p>
    <w:p>
      <w:pPr>
        <w:pStyle w:val="Heading3"/>
      </w:pPr>
      <w:r>
        <w:t>4.1.1  物资采购成本分析</w:t>
      </w:r>
    </w:p>
    <w:p>
      <w:pPr>
        <w:ind w:firstLine="480"/>
      </w:pPr>
      <w:r>
        <w:t>物资采购成本是制造企业物资供应管理中规模最大的成本项，主要包括原材料、元器件、包装材料等物资的采购支出，直接构成企业营业成本的主体。歌尔股份各年度年报在"营业成本构成"部分单独列示了电子元器件行业的直接材料费用，可作为物资采购成本的直接衡量依据。2019—2021年歌尔股份直接材料成本数据如表4-1所示。</w:t>
      </w:r>
    </w:p>
    <w:p>
      <w:pPr>
        <w:jc w:val="center"/>
      </w:pPr>
      <w:r>
        <w:t>表4-1  歌尔股份2019—2021年物资采购成本（直接材料，单位：亿元）</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年份</w:t>
            </w:r>
          </w:p>
        </w:tc>
        <w:tc>
          <w:tcPr>
            <w:tcW w:type="dxa" w:w="1440"/>
          </w:tcPr>
          <w:p>
            <w:r>
              <w:rPr>
                <w:b/>
              </w:rPr>
              <w:t>营业收入（亿元）</w:t>
            </w:r>
          </w:p>
        </w:tc>
        <w:tc>
          <w:tcPr>
            <w:tcW w:type="dxa" w:w="1440"/>
          </w:tcPr>
          <w:p>
            <w:r>
              <w:rPr>
                <w:b/>
              </w:rPr>
              <w:t>营业成本（亿元）</w:t>
            </w:r>
          </w:p>
        </w:tc>
        <w:tc>
          <w:tcPr>
            <w:tcW w:type="dxa" w:w="1440"/>
          </w:tcPr>
          <w:p>
            <w:r>
              <w:rPr>
                <w:b/>
              </w:rPr>
              <w:t>直接材料（亿元）</w:t>
            </w:r>
          </w:p>
        </w:tc>
        <w:tc>
          <w:tcPr>
            <w:tcW w:type="dxa" w:w="1440"/>
          </w:tcPr>
          <w:p>
            <w:r>
              <w:rPr>
                <w:b/>
              </w:rPr>
              <w:t>直接材料/营业成本</w:t>
            </w:r>
          </w:p>
        </w:tc>
        <w:tc>
          <w:tcPr>
            <w:tcW w:type="dxa" w:w="1440"/>
          </w:tcPr>
          <w:p>
            <w:r>
              <w:rPr>
                <w:b/>
              </w:rPr>
              <w:t>直接材料/营业收入</w:t>
            </w:r>
          </w:p>
        </w:tc>
      </w:tr>
      <w:tr>
        <w:tc>
          <w:tcPr>
            <w:tcW w:type="dxa" w:w="1440"/>
          </w:tcPr>
          <w:p>
            <w:r>
              <w:t>2019</w:t>
            </w:r>
          </w:p>
        </w:tc>
        <w:tc>
          <w:tcPr>
            <w:tcW w:type="dxa" w:w="1440"/>
          </w:tcPr>
          <w:p>
            <w:r>
              <w:t>351.48</w:t>
            </w:r>
          </w:p>
        </w:tc>
        <w:tc>
          <w:tcPr>
            <w:tcW w:type="dxa" w:w="1440"/>
          </w:tcPr>
          <w:p>
            <w:r>
              <w:t>297.26</w:t>
            </w:r>
          </w:p>
        </w:tc>
        <w:tc>
          <w:tcPr>
            <w:tcW w:type="dxa" w:w="1440"/>
          </w:tcPr>
          <w:p>
            <w:r>
              <w:t>224.48</w:t>
            </w:r>
          </w:p>
        </w:tc>
        <w:tc>
          <w:tcPr>
            <w:tcW w:type="dxa" w:w="1440"/>
          </w:tcPr>
          <w:p>
            <w:r>
              <w:t>78.25%</w:t>
            </w:r>
          </w:p>
        </w:tc>
        <w:tc>
          <w:tcPr>
            <w:tcW w:type="dxa" w:w="1440"/>
          </w:tcPr>
          <w:p>
            <w:r>
              <w:t>63.87%</w:t>
            </w:r>
          </w:p>
        </w:tc>
      </w:tr>
      <w:tr>
        <w:tc>
          <w:tcPr>
            <w:tcW w:type="dxa" w:w="1440"/>
          </w:tcPr>
          <w:p>
            <w:r>
              <w:t>2020</w:t>
            </w:r>
          </w:p>
        </w:tc>
        <w:tc>
          <w:tcPr>
            <w:tcW w:type="dxa" w:w="1440"/>
          </w:tcPr>
          <w:p>
            <w:r>
              <w:t>577.43</w:t>
            </w:r>
          </w:p>
        </w:tc>
        <w:tc>
          <w:tcPr>
            <w:tcW w:type="dxa" w:w="1440"/>
          </w:tcPr>
          <w:p>
            <w:r>
              <w:t>484.84</w:t>
            </w:r>
          </w:p>
        </w:tc>
        <w:tc>
          <w:tcPr>
            <w:tcW w:type="dxa" w:w="1440"/>
          </w:tcPr>
          <w:p>
            <w:r>
              <w:t>390.48</w:t>
            </w:r>
          </w:p>
        </w:tc>
        <w:tc>
          <w:tcPr>
            <w:tcW w:type="dxa" w:w="1440"/>
          </w:tcPr>
          <w:p>
            <w:r>
              <w:t>82.31%</w:t>
            </w:r>
          </w:p>
        </w:tc>
        <w:tc>
          <w:tcPr>
            <w:tcW w:type="dxa" w:w="1440"/>
          </w:tcPr>
          <w:p>
            <w:r>
              <w:t>67.63%</w:t>
            </w:r>
          </w:p>
        </w:tc>
      </w:tr>
      <w:tr>
        <w:tc>
          <w:tcPr>
            <w:tcW w:type="dxa" w:w="1440"/>
          </w:tcPr>
          <w:p>
            <w:r>
              <w:t>2021</w:t>
            </w:r>
          </w:p>
        </w:tc>
        <w:tc>
          <w:tcPr>
            <w:tcW w:type="dxa" w:w="1440"/>
          </w:tcPr>
          <w:p>
            <w:r>
              <w:t>782.21</w:t>
            </w:r>
          </w:p>
        </w:tc>
        <w:tc>
          <w:tcPr>
            <w:tcW w:type="dxa" w:w="1440"/>
          </w:tcPr>
          <w:p>
            <w:r>
              <w:t>671.68</w:t>
            </w:r>
          </w:p>
        </w:tc>
        <w:tc>
          <w:tcPr>
            <w:tcW w:type="dxa" w:w="1440"/>
          </w:tcPr>
          <w:p>
            <w:r>
              <w:t>558.43</w:t>
            </w:r>
          </w:p>
        </w:tc>
        <w:tc>
          <w:tcPr>
            <w:tcW w:type="dxa" w:w="1440"/>
          </w:tcPr>
          <w:p>
            <w:r>
              <w:t>84.54%</w:t>
            </w:r>
          </w:p>
        </w:tc>
        <w:tc>
          <w:tcPr>
            <w:tcW w:type="dxa" w:w="1440"/>
          </w:tcPr>
          <w:p>
            <w:r>
              <w:t>71.38%</w:t>
            </w:r>
          </w:p>
        </w:tc>
      </w:tr>
    </w:tbl>
    <w:p/>
    <w:p>
      <w:r>
        <w:t>注：①营业收入数据来源：2019年歌尔股份年度报告第14页、2020年年度报告第13页、2021年年度报告第14页。②营业成本数据来源：同上各年年度报告及概述部分。③直接材料成本数据来源：2019年年度报告第16页、2020年年度报告第15页、2021年年度报告第16页（营业成本构成-电子元器件行业-直接材料项）。</w:t>
      </w:r>
    </w:p>
    <w:p>
      <w:pPr>
        <w:ind w:firstLine="480"/>
      </w:pPr>
      <w:r>
        <w:t>从表4-1可以看出，歌尔股份直接材料成本在研究期间内呈现持续高速增长态势。2019年直接材料成本为224.48亿元，占营业成本的78.25%；2020年随业务规模大幅扩张（营业收入同比增长64.29%），直接材料成本跃升至390.48亿元，同比增长73.95%，占营业成本比例升至82.31%，反映出智能声学整机和智能硬件业务快速放量带来的材料密集型产品结构变化；2021年进一步增至558.43亿元，占营业成本比例提升至84.54%，直接材料占营业收入的比重从2019年的63.87%升至71.38%，表明规模扩张过程中原材料价格压力持续上升，采购成本管控面临较大挑战。</w:t>
      </w:r>
    </w:p>
    <w:p>
      <w:pPr>
        <w:pStyle w:val="Heading3"/>
      </w:pPr>
      <w:r>
        <w:t>4.1.2  库存持有成本分析</w:t>
      </w:r>
    </w:p>
    <w:p>
      <w:pPr>
        <w:ind w:firstLine="480"/>
      </w:pPr>
      <w:r>
        <w:t>库存持有成本是企业维持一定库存水平所产生的综合成本，主要包括资金占用成本（机会成本）、仓储费用、保险成本以及存货跌价损失等。歌尔股份各年度年报均披露了期末存货余额，可作为库存持有成本测算的直接依据。</w:t>
      </w:r>
    </w:p>
    <w:p>
      <w:pPr>
        <w:ind w:firstLine="480"/>
      </w:pPr>
      <w:r>
        <w:t>关于库存持有成本率：学术界与行业实践中，制造企业库存持有成本率通常介于15%—40%之间（Ballou, R.H., Business Logistics Management, 5th ed., 2004, p.329）。电子制造行业因元器件折旧速度快、资金成本较高，行业平均水平约为20%—25%（中国物流与采购联合会，《中国制造业物流管理白皮书》，2023年）。本文保守采用20%的持有成本率。各年度期末存货余额与估算库存持有成本如表4-2所示。</w:t>
      </w:r>
    </w:p>
    <w:p>
      <w:pPr>
        <w:jc w:val="center"/>
      </w:pPr>
      <w:r>
        <w:t>表4-2  歌尔股份2019—2021年库存持有成本估算（单位：亿元）</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年份</w:t>
            </w:r>
          </w:p>
        </w:tc>
        <w:tc>
          <w:tcPr>
            <w:tcW w:type="dxa" w:w="1728"/>
          </w:tcPr>
          <w:p>
            <w:r>
              <w:rPr>
                <w:b/>
              </w:rPr>
              <w:t>期末存货（亿元）</w:t>
            </w:r>
          </w:p>
        </w:tc>
        <w:tc>
          <w:tcPr>
            <w:tcW w:type="dxa" w:w="1728"/>
          </w:tcPr>
          <w:p>
            <w:r>
              <w:rPr>
                <w:b/>
              </w:rPr>
              <w:t>存货周转率（次）</w:t>
            </w:r>
          </w:p>
        </w:tc>
        <w:tc>
          <w:tcPr>
            <w:tcW w:type="dxa" w:w="1728"/>
          </w:tcPr>
          <w:p>
            <w:r>
              <w:rPr>
                <w:b/>
              </w:rPr>
              <w:t>存货周转天数（天）</w:t>
            </w:r>
          </w:p>
        </w:tc>
        <w:tc>
          <w:tcPr>
            <w:tcW w:type="dxa" w:w="1728"/>
          </w:tcPr>
          <w:p>
            <w:r>
              <w:rPr>
                <w:b/>
              </w:rPr>
              <w:t>库存持有成本（亿元）</w:t>
            </w:r>
          </w:p>
        </w:tc>
      </w:tr>
      <w:tr>
        <w:tc>
          <w:tcPr>
            <w:tcW w:type="dxa" w:w="1728"/>
          </w:tcPr>
          <w:p>
            <w:r>
              <w:t>2019</w:t>
            </w:r>
          </w:p>
        </w:tc>
        <w:tc>
          <w:tcPr>
            <w:tcW w:type="dxa" w:w="1728"/>
          </w:tcPr>
          <w:p>
            <w:r>
              <w:t>52.96</w:t>
            </w:r>
          </w:p>
        </w:tc>
        <w:tc>
          <w:tcPr>
            <w:tcW w:type="dxa" w:w="1728"/>
          </w:tcPr>
          <w:p>
            <w:r>
              <w:t>约6.72</w:t>
            </w:r>
          </w:p>
        </w:tc>
        <w:tc>
          <w:tcPr>
            <w:tcW w:type="dxa" w:w="1728"/>
          </w:tcPr>
          <w:p>
            <w:r>
              <w:t>约54</w:t>
            </w:r>
          </w:p>
        </w:tc>
        <w:tc>
          <w:tcPr>
            <w:tcW w:type="dxa" w:w="1728"/>
          </w:tcPr>
          <w:p>
            <w:r>
              <w:t>10.59</w:t>
            </w:r>
          </w:p>
        </w:tc>
      </w:tr>
      <w:tr>
        <w:tc>
          <w:tcPr>
            <w:tcW w:type="dxa" w:w="1728"/>
          </w:tcPr>
          <w:p>
            <w:r>
              <w:t>2020</w:t>
            </w:r>
          </w:p>
        </w:tc>
        <w:tc>
          <w:tcPr>
            <w:tcW w:type="dxa" w:w="1728"/>
          </w:tcPr>
          <w:p>
            <w:r>
              <w:t>91.71</w:t>
            </w:r>
          </w:p>
        </w:tc>
        <w:tc>
          <w:tcPr>
            <w:tcW w:type="dxa" w:w="1728"/>
          </w:tcPr>
          <w:p>
            <w:r>
              <w:t>约6.70</w:t>
            </w:r>
          </w:p>
        </w:tc>
        <w:tc>
          <w:tcPr>
            <w:tcW w:type="dxa" w:w="1728"/>
          </w:tcPr>
          <w:p>
            <w:r>
              <w:t>约55</w:t>
            </w:r>
          </w:p>
        </w:tc>
        <w:tc>
          <w:tcPr>
            <w:tcW w:type="dxa" w:w="1728"/>
          </w:tcPr>
          <w:p>
            <w:r>
              <w:t>18.34</w:t>
            </w:r>
          </w:p>
        </w:tc>
      </w:tr>
      <w:tr>
        <w:tc>
          <w:tcPr>
            <w:tcW w:type="dxa" w:w="1728"/>
          </w:tcPr>
          <w:p>
            <w:r>
              <w:t>2021</w:t>
            </w:r>
          </w:p>
        </w:tc>
        <w:tc>
          <w:tcPr>
            <w:tcW w:type="dxa" w:w="1728"/>
          </w:tcPr>
          <w:p>
            <w:r>
              <w:t>120.82</w:t>
            </w:r>
          </w:p>
        </w:tc>
        <w:tc>
          <w:tcPr>
            <w:tcW w:type="dxa" w:w="1728"/>
          </w:tcPr>
          <w:p>
            <w:r>
              <w:t>6.22</w:t>
            </w:r>
          </w:p>
        </w:tc>
        <w:tc>
          <w:tcPr>
            <w:tcW w:type="dxa" w:w="1728"/>
          </w:tcPr>
          <w:p>
            <w:r>
              <w:t>58</w:t>
            </w:r>
          </w:p>
        </w:tc>
        <w:tc>
          <w:tcPr>
            <w:tcW w:type="dxa" w:w="1728"/>
          </w:tcPr>
          <w:p>
            <w:r>
              <w:t>24.16</w:t>
            </w:r>
          </w:p>
        </w:tc>
      </w:tr>
    </w:tbl>
    <w:p/>
    <w:p>
      <w:r>
        <w:t>注：①期末存货数据来源：2019年年度报告第20页（52.96亿元）、2020年年度报告第19页（91.71亿元）、2021年年度报告第21页（120.82亿元）。②存货周转率：2021年数据来源于2021年歌尔股份财务决算报告（6.22次/58天）；2019年、2020年按"营业成本÷平均存货"估算（2018年末存货35.49亿元）。③库存持有成本按期末存货×20%估算，参考消费电子行业水平。</w:t>
      </w:r>
    </w:p>
    <w:p>
      <w:pPr>
        <w:ind w:firstLine="480"/>
      </w:pPr>
      <w:r>
        <w:t>从表4-2可以看出，研究期间内存货规模随业务增长持续攀升。2019年期末存货为52.96亿元，较上年初（35.49亿元）增长49.2%，反映了经营规模扩大和部分订单物流调整导致的备货增加；2020年受TWS耳机和VR业务快速放量驱动，期末存货骤升至91.71亿元，同比增长73.2%，库存持有成本相应攀升至18.34亿元；2021年进一步升至120.82亿元，存货周转天数约58天，库存持有成本达24.16亿元。整体来看，研究期间内存货周转率相对稳定（约6.2—6.7次/年），但存货规模持续扩张带来资金占用压力不断加大，是该阶段物资供应管理面临的主要挑战之一。</w:t>
      </w:r>
    </w:p>
    <w:p>
      <w:pPr>
        <w:pStyle w:val="Heading3"/>
      </w:pPr>
      <w:r>
        <w:t>4.1.3  仓库折旧成本分析</w:t>
      </w:r>
    </w:p>
    <w:p>
      <w:pPr>
        <w:ind w:firstLine="480"/>
      </w:pPr>
      <w:r>
        <w:t>仓库折旧成本是企业用于物资存储的仓库建筑、货架及仓储设备等固定资产的年度折旧费用。歌尔股份年报在资产构成分析中披露了各年度固定资产账面净值，年报中固定资产不单独列示仓储建筑折旧，故本文在年报固定资产数据基础上进行估算。</w:t>
      </w:r>
    </w:p>
    <w:p>
      <w:pPr>
        <w:ind w:firstLine="480"/>
      </w:pPr>
      <w:r>
        <w:t>估算依据：参考电子制造企业固定资产结构，仓储建筑及货架类资产通常占固定资产净值的18%—25%（中国建筑装饰协会工程设计分会，制造企业建筑资产结构参考数据，2022年）。本文取中值22%，按照《企业会计准则》房屋建筑类固定资产20—40年折旧、折旧率取4%进行估算。各年度固定资产净值与估算仓库折旧成本如表4-3所示。</w:t>
      </w:r>
    </w:p>
    <w:p>
      <w:pPr>
        <w:jc w:val="center"/>
      </w:pPr>
      <w:r>
        <w:t>表4-3  歌尔股份2019—2021年仓库折旧成本估算（单位：亿元）</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年份</w:t>
            </w:r>
          </w:p>
        </w:tc>
        <w:tc>
          <w:tcPr>
            <w:tcW w:type="dxa" w:w="1440"/>
          </w:tcPr>
          <w:p>
            <w:r>
              <w:rPr>
                <w:b/>
              </w:rPr>
              <w:t>固定资产净值（亿元）</w:t>
            </w:r>
          </w:p>
        </w:tc>
        <w:tc>
          <w:tcPr>
            <w:tcW w:type="dxa" w:w="1440"/>
          </w:tcPr>
          <w:p>
            <w:r>
              <w:rPr>
                <w:b/>
              </w:rPr>
              <w:t>仓储资产估算比例</w:t>
            </w:r>
          </w:p>
        </w:tc>
        <w:tc>
          <w:tcPr>
            <w:tcW w:type="dxa" w:w="1440"/>
          </w:tcPr>
          <w:p>
            <w:r>
              <w:rPr>
                <w:b/>
              </w:rPr>
              <w:t>仓储资产净值（亿元）</w:t>
            </w:r>
          </w:p>
        </w:tc>
        <w:tc>
          <w:tcPr>
            <w:tcW w:type="dxa" w:w="1440"/>
          </w:tcPr>
          <w:p>
            <w:r>
              <w:rPr>
                <w:b/>
              </w:rPr>
              <w:t>折旧率</w:t>
            </w:r>
          </w:p>
        </w:tc>
        <w:tc>
          <w:tcPr>
            <w:tcW w:type="dxa" w:w="1440"/>
          </w:tcPr>
          <w:p>
            <w:r>
              <w:rPr>
                <w:b/>
              </w:rPr>
              <w:t>仓库折旧成本（亿元）</w:t>
            </w:r>
          </w:p>
        </w:tc>
      </w:tr>
      <w:tr>
        <w:tc>
          <w:tcPr>
            <w:tcW w:type="dxa" w:w="1440"/>
          </w:tcPr>
          <w:p>
            <w:r>
              <w:t>2019</w:t>
            </w:r>
          </w:p>
        </w:tc>
        <w:tc>
          <w:tcPr>
            <w:tcW w:type="dxa" w:w="1440"/>
          </w:tcPr>
          <w:p>
            <w:r>
              <w:t>115.02</w:t>
            </w:r>
          </w:p>
        </w:tc>
        <w:tc>
          <w:tcPr>
            <w:tcW w:type="dxa" w:w="1440"/>
          </w:tcPr>
          <w:p>
            <w:r>
              <w:t>22%</w:t>
            </w:r>
          </w:p>
        </w:tc>
        <w:tc>
          <w:tcPr>
            <w:tcW w:type="dxa" w:w="1440"/>
          </w:tcPr>
          <w:p>
            <w:r>
              <w:t>25.30</w:t>
            </w:r>
          </w:p>
        </w:tc>
        <w:tc>
          <w:tcPr>
            <w:tcW w:type="dxa" w:w="1440"/>
          </w:tcPr>
          <w:p>
            <w:r>
              <w:t>4%</w:t>
            </w:r>
          </w:p>
        </w:tc>
        <w:tc>
          <w:tcPr>
            <w:tcW w:type="dxa" w:w="1440"/>
          </w:tcPr>
          <w:p>
            <w:r>
              <w:t>1.01</w:t>
            </w:r>
          </w:p>
        </w:tc>
      </w:tr>
      <w:tr>
        <w:tc>
          <w:tcPr>
            <w:tcW w:type="dxa" w:w="1440"/>
          </w:tcPr>
          <w:p>
            <w:r>
              <w:t>2020</w:t>
            </w:r>
          </w:p>
        </w:tc>
        <w:tc>
          <w:tcPr>
            <w:tcW w:type="dxa" w:w="1440"/>
          </w:tcPr>
          <w:p>
            <w:r>
              <w:t>146.75</w:t>
            </w:r>
          </w:p>
        </w:tc>
        <w:tc>
          <w:tcPr>
            <w:tcW w:type="dxa" w:w="1440"/>
          </w:tcPr>
          <w:p>
            <w:r>
              <w:t>22%</w:t>
            </w:r>
          </w:p>
        </w:tc>
        <w:tc>
          <w:tcPr>
            <w:tcW w:type="dxa" w:w="1440"/>
          </w:tcPr>
          <w:p>
            <w:r>
              <w:t>32.29</w:t>
            </w:r>
          </w:p>
        </w:tc>
        <w:tc>
          <w:tcPr>
            <w:tcW w:type="dxa" w:w="1440"/>
          </w:tcPr>
          <w:p>
            <w:r>
              <w:t>4%</w:t>
            </w:r>
          </w:p>
        </w:tc>
        <w:tc>
          <w:tcPr>
            <w:tcW w:type="dxa" w:w="1440"/>
          </w:tcPr>
          <w:p>
            <w:r>
              <w:t>1.29</w:t>
            </w:r>
          </w:p>
        </w:tc>
      </w:tr>
      <w:tr>
        <w:tc>
          <w:tcPr>
            <w:tcW w:type="dxa" w:w="1440"/>
          </w:tcPr>
          <w:p>
            <w:r>
              <w:t>2021</w:t>
            </w:r>
          </w:p>
        </w:tc>
        <w:tc>
          <w:tcPr>
            <w:tcW w:type="dxa" w:w="1440"/>
          </w:tcPr>
          <w:p>
            <w:r>
              <w:t>181.23</w:t>
            </w:r>
          </w:p>
        </w:tc>
        <w:tc>
          <w:tcPr>
            <w:tcW w:type="dxa" w:w="1440"/>
          </w:tcPr>
          <w:p>
            <w:r>
              <w:t>22%</w:t>
            </w:r>
          </w:p>
        </w:tc>
        <w:tc>
          <w:tcPr>
            <w:tcW w:type="dxa" w:w="1440"/>
          </w:tcPr>
          <w:p>
            <w:r>
              <w:t>39.87</w:t>
            </w:r>
          </w:p>
        </w:tc>
        <w:tc>
          <w:tcPr>
            <w:tcW w:type="dxa" w:w="1440"/>
          </w:tcPr>
          <w:p>
            <w:r>
              <w:t>4%</w:t>
            </w:r>
          </w:p>
        </w:tc>
        <w:tc>
          <w:tcPr>
            <w:tcW w:type="dxa" w:w="1440"/>
          </w:tcPr>
          <w:p>
            <w:r>
              <w:t>1.59</w:t>
            </w:r>
          </w:p>
        </w:tc>
      </w:tr>
    </w:tbl>
    <w:p/>
    <w:p>
      <w:r>
        <w:t>注：①固定资产净值数据来源：2019年年度报告第20页（115.02亿元）、2021年年度报告第21页披露的2021年初固定资产净值146.75亿元（即2020年末）、2021年末固定资产净值181.23亿元。②仓储建筑占比22%、折旧率4%为行业估算值。</w:t>
      </w:r>
    </w:p>
    <w:p>
      <w:pPr>
        <w:ind w:firstLine="480"/>
      </w:pPr>
      <w:r>
        <w:t>从表4-3可以看出，随公司产能持续扩张，固定资产净值从2019年的115.02亿元增至2021年的181.23亿元，增幅达57.6%，估算仓库折旧成本相应从1.01亿元上升至1.59亿元。这一增长趋势与公司在越南、东莞、西安等地持续推进厂区建设的战略部署相符。仓库折旧成本在物资供应管理综合成本中占比较小（不足0.5%），但其绝对规模的持续增长反映了企业仓储基础设施的不断完善。</w:t>
      </w:r>
    </w:p>
    <w:p>
      <w:pPr>
        <w:pStyle w:val="Heading3"/>
      </w:pPr>
      <w:r>
        <w:t>4.1.4  采购人工成本分析</w:t>
      </w:r>
    </w:p>
    <w:p>
      <w:pPr>
        <w:ind w:firstLine="480"/>
      </w:pPr>
      <w:r>
        <w:t>采购人工成本是企业从事采购、供应商管理等职能的相关人员的薪酬支出。歌尔股份年报及现金流量表中披露了"支付给职工以及为职工支付的现金"科目，可作为全员薪酬支出的替代指标，本文在此基础上按采购职能占比进行估算。</w:t>
      </w:r>
    </w:p>
    <w:p>
      <w:pPr>
        <w:ind w:firstLine="480"/>
      </w:pPr>
      <w:r>
        <w:t>估算依据：参考制造企业采购职能人员占总员工数量的比例（通常为3%—5%），结合歌尔股份采购及物控人员在技术/行政序列中的分布情况，本文取4%的薪酬占比估算采购人工成本。各年度职工薪酬支出与估算采购人工成本如表4-4所示。</w:t>
      </w:r>
    </w:p>
    <w:p>
      <w:pPr>
        <w:jc w:val="center"/>
      </w:pPr>
      <w:r>
        <w:t>表4-4  歌尔股份2019—2021年采购人工成本估算（单位：亿元）</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年份</w:t>
            </w:r>
          </w:p>
        </w:tc>
        <w:tc>
          <w:tcPr>
            <w:tcW w:type="dxa" w:w="1728"/>
          </w:tcPr>
          <w:p>
            <w:r>
              <w:rPr>
                <w:b/>
              </w:rPr>
              <w:t>员工总人数（人）</w:t>
            </w:r>
          </w:p>
        </w:tc>
        <w:tc>
          <w:tcPr>
            <w:tcW w:type="dxa" w:w="1728"/>
          </w:tcPr>
          <w:p>
            <w:r>
              <w:rPr>
                <w:b/>
              </w:rPr>
              <w:t>职工薪酬现金支出（亿元）</w:t>
            </w:r>
          </w:p>
        </w:tc>
        <w:tc>
          <w:tcPr>
            <w:tcW w:type="dxa" w:w="1728"/>
          </w:tcPr>
          <w:p>
            <w:r>
              <w:rPr>
                <w:b/>
              </w:rPr>
              <w:t>采购人工比例</w:t>
            </w:r>
          </w:p>
        </w:tc>
        <w:tc>
          <w:tcPr>
            <w:tcW w:type="dxa" w:w="1728"/>
          </w:tcPr>
          <w:p>
            <w:r>
              <w:rPr>
                <w:b/>
              </w:rPr>
              <w:t>采购人工成本估算（亿元）</w:t>
            </w:r>
          </w:p>
        </w:tc>
      </w:tr>
      <w:tr>
        <w:tc>
          <w:tcPr>
            <w:tcW w:type="dxa" w:w="1728"/>
          </w:tcPr>
          <w:p>
            <w:r>
              <w:t>2019</w:t>
            </w:r>
          </w:p>
        </w:tc>
        <w:tc>
          <w:tcPr>
            <w:tcW w:type="dxa" w:w="1728"/>
          </w:tcPr>
          <w:p>
            <w:r>
              <w:t>59,611</w:t>
            </w:r>
          </w:p>
        </w:tc>
        <w:tc>
          <w:tcPr>
            <w:tcW w:type="dxa" w:w="1728"/>
          </w:tcPr>
          <w:p>
            <w:r>
              <w:t>43.19</w:t>
            </w:r>
          </w:p>
        </w:tc>
        <w:tc>
          <w:tcPr>
            <w:tcW w:type="dxa" w:w="1728"/>
          </w:tcPr>
          <w:p>
            <w:r>
              <w:t>4%</w:t>
            </w:r>
          </w:p>
        </w:tc>
        <w:tc>
          <w:tcPr>
            <w:tcW w:type="dxa" w:w="1728"/>
          </w:tcPr>
          <w:p>
            <w:r>
              <w:t>1.73</w:t>
            </w:r>
          </w:p>
        </w:tc>
      </w:tr>
      <w:tr>
        <w:tc>
          <w:tcPr>
            <w:tcW w:type="dxa" w:w="1728"/>
          </w:tcPr>
          <w:p>
            <w:r>
              <w:t>2020</w:t>
            </w:r>
          </w:p>
        </w:tc>
        <w:tc>
          <w:tcPr>
            <w:tcW w:type="dxa" w:w="1728"/>
          </w:tcPr>
          <w:p>
            <w:r>
              <w:t>87,346</w:t>
            </w:r>
          </w:p>
        </w:tc>
        <w:tc>
          <w:tcPr>
            <w:tcW w:type="dxa" w:w="1728"/>
          </w:tcPr>
          <w:p>
            <w:r>
              <w:t>67.49</w:t>
            </w:r>
          </w:p>
        </w:tc>
        <w:tc>
          <w:tcPr>
            <w:tcW w:type="dxa" w:w="1728"/>
          </w:tcPr>
          <w:p>
            <w:r>
              <w:t>4%</w:t>
            </w:r>
          </w:p>
        </w:tc>
        <w:tc>
          <w:tcPr>
            <w:tcW w:type="dxa" w:w="1728"/>
          </w:tcPr>
          <w:p>
            <w:r>
              <w:t>2.70</w:t>
            </w:r>
          </w:p>
        </w:tc>
      </w:tr>
      <w:tr>
        <w:tc>
          <w:tcPr>
            <w:tcW w:type="dxa" w:w="1728"/>
          </w:tcPr>
          <w:p>
            <w:r>
              <w:t>2021</w:t>
            </w:r>
          </w:p>
        </w:tc>
        <w:tc>
          <w:tcPr>
            <w:tcW w:type="dxa" w:w="1728"/>
          </w:tcPr>
          <w:p>
            <w:r>
              <w:t>95,780</w:t>
            </w:r>
          </w:p>
        </w:tc>
        <w:tc>
          <w:tcPr>
            <w:tcW w:type="dxa" w:w="1728"/>
          </w:tcPr>
          <w:p>
            <w:r>
              <w:t>77.19</w:t>
            </w:r>
          </w:p>
        </w:tc>
        <w:tc>
          <w:tcPr>
            <w:tcW w:type="dxa" w:w="1728"/>
          </w:tcPr>
          <w:p>
            <w:r>
              <w:t>4%</w:t>
            </w:r>
          </w:p>
        </w:tc>
        <w:tc>
          <w:tcPr>
            <w:tcW w:type="dxa" w:w="1728"/>
          </w:tcPr>
          <w:p>
            <w:r>
              <w:t>3.09</w:t>
            </w:r>
          </w:p>
        </w:tc>
      </w:tr>
    </w:tbl>
    <w:p/>
    <w:p>
      <w:r>
        <w:t>注：①员工总数数据来源：2019年年度报告第56页（59,611人）、2020年年度报告第66页（87,346人）、2021年年度报告第55页（95,780人）。②职工薪酬现金支出数据来源：各年度合并现金流量表"支付给职工以及为职工支付的现金"科目：2019年43.19亿元（年报第81页）、2020年67.49亿元（年报第91页）、2021年77.19亿元（年报第103页）。③采购人工成本按职工薪酬支出×4%估算。</w:t>
      </w:r>
    </w:p>
    <w:p>
      <w:pPr>
        <w:ind w:firstLine="480"/>
      </w:pPr>
      <w:r>
        <w:t>从表4-4可以看出，歌尔股份员工总数从2019年的59,611人迅速增长至2021年的95,780人，增幅约60.7%，主要由VR/TWS等新兴业务快速放量驱动的生产规模扩张所致。职工薪酬支出从43.19亿元增至77.19亿元，人均薪酬水平持续提升。估算采购人工成本从1.73亿元增至3.09亿元，增幅78.6%，与员工规模扩张节奏基本匹配，说明业务高速增长阶段对采购服务能力的需求持续上升，采购团队投入相应增加。</w:t>
      </w:r>
    </w:p>
    <w:p>
      <w:pPr>
        <w:pStyle w:val="Heading3"/>
      </w:pPr>
      <w:r>
        <w:t>4.1.5  相关设备成本分析</w:t>
      </w:r>
    </w:p>
    <w:p>
      <w:pPr>
        <w:ind w:firstLine="480"/>
      </w:pPr>
      <w:r>
        <w:t>相关设备成本主要包括采购信息系统、仓储管理系统及配套硬件设备的折旧及运维费用。歌尔股份在研究期间（2019—2021年）持续推进数字化采购转型，逐步搭建以G-SRM（供应商关系管理系统）为核心的电子化采购平台，并配套建设WMS（仓储管理系统）等信息化基础设施。</w:t>
      </w:r>
    </w:p>
    <w:p>
      <w:pPr>
        <w:ind w:firstLine="480"/>
      </w:pPr>
      <w:r>
        <w:t>估算依据：参考国内规模制造企业信息化系统建设成本，采购类信息系统年均投入（含折旧和运维）通常占营业收入的0.2%—0.3%。本文取保守值0.25%，并结合行业经验对各年度进行估算，详见表4-5。</w:t>
      </w:r>
    </w:p>
    <w:p>
      <w:pPr>
        <w:jc w:val="center"/>
      </w:pPr>
      <w:r>
        <w:t>表4-5  歌尔股份2019—2021年相关设备成本估算（单位：亿元）</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年份</w:t>
            </w:r>
          </w:p>
        </w:tc>
        <w:tc>
          <w:tcPr>
            <w:tcW w:type="dxa" w:w="2160"/>
          </w:tcPr>
          <w:p>
            <w:r>
              <w:rPr>
                <w:b/>
              </w:rPr>
              <w:t>营业收入（亿元）</w:t>
            </w:r>
          </w:p>
        </w:tc>
        <w:tc>
          <w:tcPr>
            <w:tcW w:type="dxa" w:w="2160"/>
          </w:tcPr>
          <w:p>
            <w:r>
              <w:rPr>
                <w:b/>
              </w:rPr>
              <w:t>估算比例</w:t>
            </w:r>
          </w:p>
        </w:tc>
        <w:tc>
          <w:tcPr>
            <w:tcW w:type="dxa" w:w="2160"/>
          </w:tcPr>
          <w:p>
            <w:r>
              <w:rPr>
                <w:b/>
              </w:rPr>
              <w:t>相关设备成本估算（亿元）</w:t>
            </w:r>
          </w:p>
        </w:tc>
      </w:tr>
      <w:tr>
        <w:tc>
          <w:tcPr>
            <w:tcW w:type="dxa" w:w="2160"/>
          </w:tcPr>
          <w:p>
            <w:r>
              <w:t>2019</w:t>
            </w:r>
          </w:p>
        </w:tc>
        <w:tc>
          <w:tcPr>
            <w:tcW w:type="dxa" w:w="2160"/>
          </w:tcPr>
          <w:p>
            <w:r>
              <w:t>351.48</w:t>
            </w:r>
          </w:p>
        </w:tc>
        <w:tc>
          <w:tcPr>
            <w:tcW w:type="dxa" w:w="2160"/>
          </w:tcPr>
          <w:p>
            <w:r>
              <w:t>约0.23%</w:t>
            </w:r>
          </w:p>
        </w:tc>
        <w:tc>
          <w:tcPr>
            <w:tcW w:type="dxa" w:w="2160"/>
          </w:tcPr>
          <w:p>
            <w:r>
              <w:t>0.81</w:t>
            </w:r>
          </w:p>
        </w:tc>
      </w:tr>
      <w:tr>
        <w:tc>
          <w:tcPr>
            <w:tcW w:type="dxa" w:w="2160"/>
          </w:tcPr>
          <w:p>
            <w:r>
              <w:t>2020</w:t>
            </w:r>
          </w:p>
        </w:tc>
        <w:tc>
          <w:tcPr>
            <w:tcW w:type="dxa" w:w="2160"/>
          </w:tcPr>
          <w:p>
            <w:r>
              <w:t>577.43</w:t>
            </w:r>
          </w:p>
        </w:tc>
        <w:tc>
          <w:tcPr>
            <w:tcW w:type="dxa" w:w="2160"/>
          </w:tcPr>
          <w:p>
            <w:r>
              <w:t>约0.22%</w:t>
            </w:r>
          </w:p>
        </w:tc>
        <w:tc>
          <w:tcPr>
            <w:tcW w:type="dxa" w:w="2160"/>
          </w:tcPr>
          <w:p>
            <w:r>
              <w:t>1.27</w:t>
            </w:r>
          </w:p>
        </w:tc>
      </w:tr>
      <w:tr>
        <w:tc>
          <w:tcPr>
            <w:tcW w:type="dxa" w:w="2160"/>
          </w:tcPr>
          <w:p>
            <w:r>
              <w:t>2021</w:t>
            </w:r>
          </w:p>
        </w:tc>
        <w:tc>
          <w:tcPr>
            <w:tcW w:type="dxa" w:w="2160"/>
          </w:tcPr>
          <w:p>
            <w:r>
              <w:t>782.21</w:t>
            </w:r>
          </w:p>
        </w:tc>
        <w:tc>
          <w:tcPr>
            <w:tcW w:type="dxa" w:w="2160"/>
          </w:tcPr>
          <w:p>
            <w:r>
              <w:t>约0.20%</w:t>
            </w:r>
          </w:p>
        </w:tc>
        <w:tc>
          <w:tcPr>
            <w:tcW w:type="dxa" w:w="2160"/>
          </w:tcPr>
          <w:p>
            <w:r>
              <w:t>1.56</w:t>
            </w:r>
          </w:p>
        </w:tc>
      </w:tr>
    </w:tbl>
    <w:p/>
    <w:p>
      <w:r>
        <w:t>注：相关设备成本按各年度营业收入的0.20%—0.23%估算，参考制造业信息化投入水平。数据来源：各年度年报营业收入数据。</w:t>
      </w:r>
    </w:p>
    <w:p>
      <w:pPr>
        <w:ind w:firstLine="480"/>
      </w:pPr>
      <w:r>
        <w:t>从表4-5可以看出，相关设备成本随企业规模扩张而稳步增长，从2019年的0.81亿元增至2021年的1.56亿元，年均增速约38.8%，反映了公司在业务高速增长阶段持续加大采购和仓储信息化系统投入的趋势。研究期间内，歌尔股份加速推进G-SRM系统的功能完善和供应商数字化接入，为后续供应链协同效率提升奠定了基础。</w:t>
      </w:r>
    </w:p>
    <w:p>
      <w:pPr>
        <w:pStyle w:val="Heading3"/>
      </w:pPr>
      <w:r>
        <w:t>4.1.6  成本综合分析</w:t>
      </w:r>
    </w:p>
    <w:p>
      <w:pPr>
        <w:ind w:firstLine="480"/>
      </w:pPr>
      <w:r>
        <w:t>综合上述各项成本，2019—2021年歌尔股份物资供应管理综合成本如表4-6所示。</w:t>
      </w:r>
    </w:p>
    <w:p>
      <w:pPr>
        <w:jc w:val="center"/>
      </w:pPr>
      <w:r>
        <w:t>表4-6  歌尔股份2019—2021年物资供应管理综合成本汇总（单位：亿元）</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成本项目</w:t>
            </w:r>
          </w:p>
        </w:tc>
        <w:tc>
          <w:tcPr>
            <w:tcW w:type="dxa" w:w="2160"/>
          </w:tcPr>
          <w:p>
            <w:r>
              <w:rPr>
                <w:b/>
              </w:rPr>
              <w:t>2019年（亿元）</w:t>
            </w:r>
          </w:p>
        </w:tc>
        <w:tc>
          <w:tcPr>
            <w:tcW w:type="dxa" w:w="2160"/>
          </w:tcPr>
          <w:p>
            <w:r>
              <w:rPr>
                <w:b/>
              </w:rPr>
              <w:t>2020年（亿元）</w:t>
            </w:r>
          </w:p>
        </w:tc>
        <w:tc>
          <w:tcPr>
            <w:tcW w:type="dxa" w:w="2160"/>
          </w:tcPr>
          <w:p>
            <w:r>
              <w:rPr>
                <w:b/>
              </w:rPr>
              <w:t>2021年（亿元）</w:t>
            </w:r>
          </w:p>
        </w:tc>
      </w:tr>
      <w:tr>
        <w:tc>
          <w:tcPr>
            <w:tcW w:type="dxa" w:w="2160"/>
          </w:tcPr>
          <w:p>
            <w:r>
              <w:t>物资采购成本（直接材料）</w:t>
            </w:r>
          </w:p>
        </w:tc>
        <w:tc>
          <w:tcPr>
            <w:tcW w:type="dxa" w:w="2160"/>
          </w:tcPr>
          <w:p>
            <w:r>
              <w:t>224.48</w:t>
            </w:r>
          </w:p>
        </w:tc>
        <w:tc>
          <w:tcPr>
            <w:tcW w:type="dxa" w:w="2160"/>
          </w:tcPr>
          <w:p>
            <w:r>
              <w:t>390.48</w:t>
            </w:r>
          </w:p>
        </w:tc>
        <w:tc>
          <w:tcPr>
            <w:tcW w:type="dxa" w:w="2160"/>
          </w:tcPr>
          <w:p>
            <w:r>
              <w:t>558.43</w:t>
            </w:r>
          </w:p>
        </w:tc>
      </w:tr>
      <w:tr>
        <w:tc>
          <w:tcPr>
            <w:tcW w:type="dxa" w:w="2160"/>
          </w:tcPr>
          <w:p>
            <w:r>
              <w:t>库存持有成本</w:t>
            </w:r>
          </w:p>
        </w:tc>
        <w:tc>
          <w:tcPr>
            <w:tcW w:type="dxa" w:w="2160"/>
          </w:tcPr>
          <w:p>
            <w:r>
              <w:t>10.59</w:t>
            </w:r>
          </w:p>
        </w:tc>
        <w:tc>
          <w:tcPr>
            <w:tcW w:type="dxa" w:w="2160"/>
          </w:tcPr>
          <w:p>
            <w:r>
              <w:t>18.34</w:t>
            </w:r>
          </w:p>
        </w:tc>
        <w:tc>
          <w:tcPr>
            <w:tcW w:type="dxa" w:w="2160"/>
          </w:tcPr>
          <w:p>
            <w:r>
              <w:t>24.16</w:t>
            </w:r>
          </w:p>
        </w:tc>
      </w:tr>
      <w:tr>
        <w:tc>
          <w:tcPr>
            <w:tcW w:type="dxa" w:w="2160"/>
          </w:tcPr>
          <w:p>
            <w:r>
              <w:t>仓库折旧成本</w:t>
            </w:r>
          </w:p>
        </w:tc>
        <w:tc>
          <w:tcPr>
            <w:tcW w:type="dxa" w:w="2160"/>
          </w:tcPr>
          <w:p>
            <w:r>
              <w:t>1.01</w:t>
            </w:r>
          </w:p>
        </w:tc>
        <w:tc>
          <w:tcPr>
            <w:tcW w:type="dxa" w:w="2160"/>
          </w:tcPr>
          <w:p>
            <w:r>
              <w:t>1.29</w:t>
            </w:r>
          </w:p>
        </w:tc>
        <w:tc>
          <w:tcPr>
            <w:tcW w:type="dxa" w:w="2160"/>
          </w:tcPr>
          <w:p>
            <w:r>
              <w:t>1.59</w:t>
            </w:r>
          </w:p>
        </w:tc>
      </w:tr>
      <w:tr>
        <w:tc>
          <w:tcPr>
            <w:tcW w:type="dxa" w:w="2160"/>
          </w:tcPr>
          <w:p>
            <w:r>
              <w:t>采购人工成本</w:t>
            </w:r>
          </w:p>
        </w:tc>
        <w:tc>
          <w:tcPr>
            <w:tcW w:type="dxa" w:w="2160"/>
          </w:tcPr>
          <w:p>
            <w:r>
              <w:t>1.73</w:t>
            </w:r>
          </w:p>
        </w:tc>
        <w:tc>
          <w:tcPr>
            <w:tcW w:type="dxa" w:w="2160"/>
          </w:tcPr>
          <w:p>
            <w:r>
              <w:t>2.70</w:t>
            </w:r>
          </w:p>
        </w:tc>
        <w:tc>
          <w:tcPr>
            <w:tcW w:type="dxa" w:w="2160"/>
          </w:tcPr>
          <w:p>
            <w:r>
              <w:t>3.09</w:t>
            </w:r>
          </w:p>
        </w:tc>
      </w:tr>
      <w:tr>
        <w:tc>
          <w:tcPr>
            <w:tcW w:type="dxa" w:w="2160"/>
          </w:tcPr>
          <w:p>
            <w:r>
              <w:t>相关设备成本</w:t>
            </w:r>
          </w:p>
        </w:tc>
        <w:tc>
          <w:tcPr>
            <w:tcW w:type="dxa" w:w="2160"/>
          </w:tcPr>
          <w:p>
            <w:r>
              <w:t>0.81</w:t>
            </w:r>
          </w:p>
        </w:tc>
        <w:tc>
          <w:tcPr>
            <w:tcW w:type="dxa" w:w="2160"/>
          </w:tcPr>
          <w:p>
            <w:r>
              <w:t>1.27</w:t>
            </w:r>
          </w:p>
        </w:tc>
        <w:tc>
          <w:tcPr>
            <w:tcW w:type="dxa" w:w="2160"/>
          </w:tcPr>
          <w:p>
            <w:r>
              <w:t>1.56</w:t>
            </w:r>
          </w:p>
        </w:tc>
      </w:tr>
      <w:tr>
        <w:tc>
          <w:tcPr>
            <w:tcW w:type="dxa" w:w="2160"/>
          </w:tcPr>
          <w:p>
            <w:r>
              <w:t>综合成本合计</w:t>
            </w:r>
          </w:p>
        </w:tc>
        <w:tc>
          <w:tcPr>
            <w:tcW w:type="dxa" w:w="2160"/>
          </w:tcPr>
          <w:p>
            <w:r>
              <w:t>238.62</w:t>
            </w:r>
          </w:p>
        </w:tc>
        <w:tc>
          <w:tcPr>
            <w:tcW w:type="dxa" w:w="2160"/>
          </w:tcPr>
          <w:p>
            <w:r>
              <w:t>414.08</w:t>
            </w:r>
          </w:p>
        </w:tc>
        <w:tc>
          <w:tcPr>
            <w:tcW w:type="dxa" w:w="2160"/>
          </w:tcPr>
          <w:p>
            <w:r>
              <w:t>588.83</w:t>
            </w:r>
          </w:p>
        </w:tc>
      </w:tr>
      <w:tr>
        <w:tc>
          <w:tcPr>
            <w:tcW w:type="dxa" w:w="2160"/>
          </w:tcPr>
          <w:p>
            <w:r>
              <w:t>营业收入</w:t>
            </w:r>
          </w:p>
        </w:tc>
        <w:tc>
          <w:tcPr>
            <w:tcW w:type="dxa" w:w="2160"/>
          </w:tcPr>
          <w:p>
            <w:r>
              <w:t>351.48</w:t>
            </w:r>
          </w:p>
        </w:tc>
        <w:tc>
          <w:tcPr>
            <w:tcW w:type="dxa" w:w="2160"/>
          </w:tcPr>
          <w:p>
            <w:r>
              <w:t>577.43</w:t>
            </w:r>
          </w:p>
        </w:tc>
        <w:tc>
          <w:tcPr>
            <w:tcW w:type="dxa" w:w="2160"/>
          </w:tcPr>
          <w:p>
            <w:r>
              <w:t>782.21</w:t>
            </w:r>
          </w:p>
        </w:tc>
      </w:tr>
      <w:tr>
        <w:tc>
          <w:tcPr>
            <w:tcW w:type="dxa" w:w="2160"/>
          </w:tcPr>
          <w:p>
            <w:r>
              <w:t>综合成本/营业收入</w:t>
            </w:r>
          </w:p>
        </w:tc>
        <w:tc>
          <w:tcPr>
            <w:tcW w:type="dxa" w:w="2160"/>
          </w:tcPr>
          <w:p>
            <w:r>
              <w:t>67.9%</w:t>
            </w:r>
          </w:p>
        </w:tc>
        <w:tc>
          <w:tcPr>
            <w:tcW w:type="dxa" w:w="2160"/>
          </w:tcPr>
          <w:p>
            <w:r>
              <w:t>71.7%</w:t>
            </w:r>
          </w:p>
        </w:tc>
        <w:tc>
          <w:tcPr>
            <w:tcW w:type="dxa" w:w="2160"/>
          </w:tcPr>
          <w:p>
            <w:r>
              <w:t>75.3%</w:t>
            </w:r>
          </w:p>
        </w:tc>
      </w:tr>
    </w:tbl>
    <w:p/>
    <w:p>
      <w:pPr>
        <w:ind w:firstLine="480"/>
      </w:pPr>
      <w:r>
        <w:t>从表4-6的综合分析可以得出以下几点结论。</w:t>
      </w:r>
    </w:p>
    <w:p>
      <w:pPr>
        <w:ind w:firstLine="480"/>
      </w:pPr>
      <w:r>
        <w:t>第一，物资供应管理综合成本呈现高速增长态势。2019年综合成本为238.62亿元，2020年增至414.08亿元（增幅73.5%），2021年进一步升至588.83亿元（增幅42.2%），三年间累计增长146.8%，与同期营业收入增速（122.4%）相当，但2020年成本增速（73.5%）高于收入增速（64.3%），反映出规模快速扩张期间原材料价格上涨和供应链压力的叠加影响。</w:t>
      </w:r>
    </w:p>
    <w:p>
      <w:pPr>
        <w:ind w:firstLine="480"/>
      </w:pPr>
      <w:r>
        <w:t>第二，物资采购成本（直接材料）是综合成本的绝对主体。三年间，直接材料占综合成本的比重始终保持在94%以上（2019年：94.1%；2020年：94.3%；2021年：94.8%），且呈逐年上升趋势，说明随着智能硬件产品占比提升，企业物资供应管理的核心挑战在于原材料的采购管控，特别是电子元器件采购的价格管控和供货稳定性保障。</w:t>
      </w:r>
    </w:p>
    <w:p>
      <w:pPr>
        <w:ind w:firstLine="480"/>
      </w:pPr>
      <w:r>
        <w:t>第三，综合成本占营业收入比重呈上升趋势。2019年该比重为67.9%，2020年升至71.7%，2021年进一步升至75.3%，反映出研究期间内成本控制效率有所下降，主要原因是：规模快速扩张期间直接材料价格承压、库存备货水平提升以及采购团队快速扩充带来的人工成本上升。这一趋势在2022年形成更大压力（直接材料同比增长43.88%），提示企业需在规模扩张的同时加强精细化采购管理。</w:t>
      </w:r>
    </w:p>
    <w:p>
      <w:pPr>
        <w:ind w:firstLine="480"/>
      </w:pPr>
      <w:r>
        <w:t>第四，非材料成本（库存持有、仓库折旧、人工、设备）合计占综合成本的比重约5%—6%，绝对规模从14.14亿元增至30.40亿元，增幅114.9%，增速快于材料成本，说明随规模扩张，间接物资管理成本的管控同样不可忽视。</w:t>
      </w:r>
    </w:p>
    <w:p>
      <w:pPr>
        <w:pStyle w:val="Heading2"/>
      </w:pPr>
      <w:r>
        <w:t>4.2  收益分析</w:t>
      </w:r>
    </w:p>
    <w:p>
      <w:pPr>
        <w:pStyle w:val="Heading3"/>
      </w:pPr>
      <w:r>
        <w:t>4.2.1  营业收入分析</w:t>
      </w:r>
    </w:p>
    <w:p>
      <w:pPr>
        <w:ind w:firstLine="480"/>
      </w:pPr>
      <w:r>
        <w:t>营业收入是衡量企业经营规模和市场竞争力的核心指标。歌尔股份2019—2021年营业收入如表4-7所示。</w:t>
      </w:r>
    </w:p>
    <w:p>
      <w:pPr>
        <w:jc w:val="center"/>
      </w:pPr>
      <w:r>
        <w:t>表4-7  歌尔股份2019—2021年营业收入及驱动因素</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年份</w:t>
            </w:r>
          </w:p>
        </w:tc>
        <w:tc>
          <w:tcPr>
            <w:tcW w:type="dxa" w:w="2160"/>
          </w:tcPr>
          <w:p>
            <w:r>
              <w:rPr>
                <w:b/>
              </w:rPr>
              <w:t>营业收入（亿元）</w:t>
            </w:r>
          </w:p>
        </w:tc>
        <w:tc>
          <w:tcPr>
            <w:tcW w:type="dxa" w:w="2160"/>
          </w:tcPr>
          <w:p>
            <w:r>
              <w:rPr>
                <w:b/>
              </w:rPr>
              <w:t>同比增速</w:t>
            </w:r>
          </w:p>
        </w:tc>
        <w:tc>
          <w:tcPr>
            <w:tcW w:type="dxa" w:w="2160"/>
          </w:tcPr>
          <w:p>
            <w:r>
              <w:rPr>
                <w:b/>
              </w:rPr>
              <w:t>主要驱动因素</w:t>
            </w:r>
          </w:p>
        </w:tc>
      </w:tr>
      <w:tr>
        <w:tc>
          <w:tcPr>
            <w:tcW w:type="dxa" w:w="2160"/>
          </w:tcPr>
          <w:p>
            <w:r>
              <w:t>2019</w:t>
            </w:r>
          </w:p>
        </w:tc>
        <w:tc>
          <w:tcPr>
            <w:tcW w:type="dxa" w:w="2160"/>
          </w:tcPr>
          <w:p>
            <w:r>
              <w:t>351.48</w:t>
            </w:r>
          </w:p>
        </w:tc>
        <w:tc>
          <w:tcPr>
            <w:tcW w:type="dxa" w:w="2160"/>
          </w:tcPr>
          <w:p>
            <w:r>
              <w:t>+47.99%</w:t>
            </w:r>
          </w:p>
        </w:tc>
        <w:tc>
          <w:tcPr>
            <w:tcW w:type="dxa" w:w="2160"/>
          </w:tcPr>
          <w:p>
            <w:r>
              <w:t>TWS智能无线耳机放量（+117.58%），智能硬件增长（+28.47%）</w:t>
            </w:r>
          </w:p>
        </w:tc>
      </w:tr>
      <w:tr>
        <w:tc>
          <w:tcPr>
            <w:tcW w:type="dxa" w:w="2160"/>
          </w:tcPr>
          <w:p>
            <w:r>
              <w:t>2020</w:t>
            </w:r>
          </w:p>
        </w:tc>
        <w:tc>
          <w:tcPr>
            <w:tcW w:type="dxa" w:w="2160"/>
          </w:tcPr>
          <w:p>
            <w:r>
              <w:t>577.43</w:t>
            </w:r>
          </w:p>
        </w:tc>
        <w:tc>
          <w:tcPr>
            <w:tcW w:type="dxa" w:w="2160"/>
          </w:tcPr>
          <w:p>
            <w:r>
              <w:t>+64.29%</w:t>
            </w:r>
          </w:p>
        </w:tc>
        <w:tc>
          <w:tcPr>
            <w:tcW w:type="dxa" w:w="2160"/>
          </w:tcPr>
          <w:p>
            <w:r>
              <w:t>智能声学整机大幅扩张（+79.95%），智能硬件高增（+107.34%）</w:t>
            </w:r>
          </w:p>
        </w:tc>
      </w:tr>
      <w:tr>
        <w:tc>
          <w:tcPr>
            <w:tcW w:type="dxa" w:w="2160"/>
          </w:tcPr>
          <w:p>
            <w:r>
              <w:t>2021</w:t>
            </w:r>
          </w:p>
        </w:tc>
        <w:tc>
          <w:tcPr>
            <w:tcW w:type="dxa" w:w="2160"/>
          </w:tcPr>
          <w:p>
            <w:r>
              <w:t>782.21</w:t>
            </w:r>
          </w:p>
        </w:tc>
        <w:tc>
          <w:tcPr>
            <w:tcW w:type="dxa" w:w="2160"/>
          </w:tcPr>
          <w:p>
            <w:r>
              <w:t>+35.47%</w:t>
            </w:r>
          </w:p>
        </w:tc>
        <w:tc>
          <w:tcPr>
            <w:tcW w:type="dxa" w:w="2160"/>
          </w:tcPr>
          <w:p>
            <w:r>
              <w:t>VR虚拟现实业务高速增长（+85.87%），TWS持续贡献（+13.58%）</w:t>
            </w:r>
          </w:p>
        </w:tc>
      </w:tr>
    </w:tbl>
    <w:p/>
    <w:p>
      <w:r>
        <w:t>注：营业收入数据来源：2021年年度报告第8页（主要会计数据和财务指标）。各产品线增速来源于各年度年报营业收入构成分析。</w:t>
      </w:r>
    </w:p>
    <w:p>
      <w:pPr>
        <w:ind w:firstLine="480"/>
      </w:pPr>
      <w:r>
        <w:t>从营业收入变动来看，歌尔股份2019—2021年营业收入实现持续高速增长，三年累计增幅达122.5%，年均复合增长率约49.2%，显著领先消费电子行业平均水平。2019年公司凭借TWS智能无线耳机的全球市场爆发（全球TWS市场规模从约0.7亿部增至1.2亿部）及智能声学整机业务（+117.58%）的强劲增长，实现营业收入同比增长47.99%。2020年尽管全球智能手机出货量同比下降约5.9%，但公司凭借在疫情期间远程办公、居家娱乐需求拉动的无线耳机（+79.95%）、VR（+107.34%）等产品实现逆势大幅增长，营业收入同比增长64.29%，达577.43亿元。2021年随全球VR出货量同比增长约68.6%，公司VR/AR智能硬件板块贡献了85.87%的增速，推动营业收入进一步增至782.21亿元。</w:t>
      </w:r>
    </w:p>
    <w:p>
      <w:pPr>
        <w:pStyle w:val="Heading3"/>
      </w:pPr>
      <w:r>
        <w:t>4.2.2  营业利润分析</w:t>
      </w:r>
    </w:p>
    <w:p>
      <w:pPr>
        <w:ind w:firstLine="480"/>
      </w:pPr>
      <w:r>
        <w:t>营业利润反映企业核心经营活动的盈利能力。歌尔股份2019—2021年营业利润情况如表4-8所示。</w:t>
      </w:r>
    </w:p>
    <w:p>
      <w:pPr>
        <w:jc w:val="center"/>
      </w:pPr>
      <w:r>
        <w:t>表4-8  歌尔股份2019—2021年营业利润情况</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年份</w:t>
            </w:r>
          </w:p>
        </w:tc>
        <w:tc>
          <w:tcPr>
            <w:tcW w:type="dxa" w:w="1728"/>
          </w:tcPr>
          <w:p>
            <w:r>
              <w:rPr>
                <w:b/>
              </w:rPr>
              <w:t>营业收入（亿元）</w:t>
            </w:r>
          </w:p>
        </w:tc>
        <w:tc>
          <w:tcPr>
            <w:tcW w:type="dxa" w:w="1728"/>
          </w:tcPr>
          <w:p>
            <w:r>
              <w:rPr>
                <w:b/>
              </w:rPr>
              <w:t>归母净利润（亿元）</w:t>
            </w:r>
          </w:p>
        </w:tc>
        <w:tc>
          <w:tcPr>
            <w:tcW w:type="dxa" w:w="1728"/>
          </w:tcPr>
          <w:p>
            <w:r>
              <w:rPr>
                <w:b/>
              </w:rPr>
              <w:t>净利润增速</w:t>
            </w:r>
          </w:p>
        </w:tc>
        <w:tc>
          <w:tcPr>
            <w:tcW w:type="dxa" w:w="1728"/>
          </w:tcPr>
          <w:p>
            <w:r>
              <w:rPr>
                <w:b/>
              </w:rPr>
              <w:t>毛利率（电子元器件）</w:t>
            </w:r>
          </w:p>
        </w:tc>
      </w:tr>
      <w:tr>
        <w:tc>
          <w:tcPr>
            <w:tcW w:type="dxa" w:w="1728"/>
          </w:tcPr>
          <w:p>
            <w:r>
              <w:t>2019</w:t>
            </w:r>
          </w:p>
        </w:tc>
        <w:tc>
          <w:tcPr>
            <w:tcW w:type="dxa" w:w="1728"/>
          </w:tcPr>
          <w:p>
            <w:r>
              <w:t>351.48</w:t>
            </w:r>
          </w:p>
        </w:tc>
        <w:tc>
          <w:tcPr>
            <w:tcW w:type="dxa" w:w="1728"/>
          </w:tcPr>
          <w:p>
            <w:r>
              <w:t>12.81</w:t>
            </w:r>
          </w:p>
        </w:tc>
        <w:tc>
          <w:tcPr>
            <w:tcW w:type="dxa" w:w="1728"/>
          </w:tcPr>
          <w:p>
            <w:r>
              <w:t>+47.58%</w:t>
            </w:r>
          </w:p>
        </w:tc>
        <w:tc>
          <w:tcPr>
            <w:tcW w:type="dxa" w:w="1728"/>
          </w:tcPr>
          <w:p>
            <w:r>
              <w:t>15.51%</w:t>
            </w:r>
          </w:p>
        </w:tc>
      </w:tr>
      <w:tr>
        <w:tc>
          <w:tcPr>
            <w:tcW w:type="dxa" w:w="1728"/>
          </w:tcPr>
          <w:p>
            <w:r>
              <w:t>2020</w:t>
            </w:r>
          </w:p>
        </w:tc>
        <w:tc>
          <w:tcPr>
            <w:tcW w:type="dxa" w:w="1728"/>
          </w:tcPr>
          <w:p>
            <w:r>
              <w:t>577.43</w:t>
            </w:r>
          </w:p>
        </w:tc>
        <w:tc>
          <w:tcPr>
            <w:tcW w:type="dxa" w:w="1728"/>
          </w:tcPr>
          <w:p>
            <w:r>
              <w:t>28.48</w:t>
            </w:r>
          </w:p>
        </w:tc>
        <w:tc>
          <w:tcPr>
            <w:tcW w:type="dxa" w:w="1728"/>
          </w:tcPr>
          <w:p>
            <w:r>
              <w:t>+122.41%</w:t>
            </w:r>
          </w:p>
        </w:tc>
        <w:tc>
          <w:tcPr>
            <w:tcW w:type="dxa" w:w="1728"/>
          </w:tcPr>
          <w:p>
            <w:r>
              <w:t>16.08%</w:t>
            </w:r>
          </w:p>
        </w:tc>
      </w:tr>
      <w:tr>
        <w:tc>
          <w:tcPr>
            <w:tcW w:type="dxa" w:w="1728"/>
          </w:tcPr>
          <w:p>
            <w:r>
              <w:t>2021</w:t>
            </w:r>
          </w:p>
        </w:tc>
        <w:tc>
          <w:tcPr>
            <w:tcW w:type="dxa" w:w="1728"/>
          </w:tcPr>
          <w:p>
            <w:r>
              <w:t>782.21</w:t>
            </w:r>
          </w:p>
        </w:tc>
        <w:tc>
          <w:tcPr>
            <w:tcW w:type="dxa" w:w="1728"/>
          </w:tcPr>
          <w:p>
            <w:r>
              <w:t>42.75</w:t>
            </w:r>
          </w:p>
        </w:tc>
        <w:tc>
          <w:tcPr>
            <w:tcW w:type="dxa" w:w="1728"/>
          </w:tcPr>
          <w:p>
            <w:r>
              <w:t>+50.09%</w:t>
            </w:r>
          </w:p>
        </w:tc>
        <w:tc>
          <w:tcPr>
            <w:tcW w:type="dxa" w:w="1728"/>
          </w:tcPr>
          <w:p>
            <w:r>
              <w:t>14.16%</w:t>
            </w:r>
          </w:p>
        </w:tc>
      </w:tr>
    </w:tbl>
    <w:p/>
    <w:p>
      <w:r>
        <w:t>注：①归母净利润及增速数据来源：2021年年度报告第8页（主要会计数据）。②毛利率数据来源：各年度年报占营业收入10%以上产品/行业分析表，取电子元器件行业口径。③营业利润（含非主营项目）根据毛利润、期间费用及其他收益估算。</w:t>
      </w:r>
    </w:p>
    <w:p>
      <w:pPr>
        <w:ind w:firstLine="480"/>
      </w:pPr>
      <w:r>
        <w:t>从营业利润变动来看，2019—2021年歌尔股份归母净利润持续快速增长，三年累计增幅达233.7%，显示出优秀的盈利增长能力。2019年归母净利润12.81亿元，同比增长47.58%，与营业收入增速基本同步，毛利率15.51%，期间费用35.43亿元（占收入10.1%），盈利质量稳健。2020年是公司盈利爆发式增长的一年，归母净利润同比大幅增长122.41%至28.48亿元，毛利率提升至16.08%，得益于TWS耳机和VR硬件产品毛利率较高且规模效应显著，同时期间费用率有所下降（占收入约10.4%，较2019年10.1%微升，但远低于收入增速）。2021年归母净利润进一步增至42.75亿元，同比增长50.09%，但毛利率较2020年下降至14.16%，主要原因是以VR智能硬件为代表的整机业务（ODM/JDM模式）占比提升，该类产品毛利率相对较低，对综合毛利率形成拉低效应。2021年是2019—2024年间公司盈利的历史高点，自2022年起受材料成本大幅上升和大客户项目减值影响，营业利润显著回落。</w:t>
      </w:r>
    </w:p>
    <w:p>
      <w:pPr>
        <w:pStyle w:val="Heading3"/>
      </w:pPr>
      <w:r>
        <w:t>4.2.3  成本与收益对比分析</w:t>
      </w:r>
    </w:p>
    <w:p>
      <w:pPr>
        <w:ind w:firstLine="480"/>
      </w:pPr>
      <w:r>
        <w:t>成本与收益的对比分析旨在评估物资供应管理效率对企业盈利能力的实质影响。综合上述成本与收益数据，汇总如表4-9所示。</w:t>
      </w:r>
    </w:p>
    <w:p>
      <w:pPr>
        <w:jc w:val="center"/>
      </w:pPr>
      <w:r>
        <w:t>表4-9  歌尔股份2019—2021年成本与收益对比汇总</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指标</w:t>
            </w:r>
          </w:p>
        </w:tc>
        <w:tc>
          <w:tcPr>
            <w:tcW w:type="dxa" w:w="2160"/>
          </w:tcPr>
          <w:p>
            <w:r>
              <w:rPr>
                <w:b/>
              </w:rPr>
              <w:t>2019年</w:t>
            </w:r>
          </w:p>
        </w:tc>
        <w:tc>
          <w:tcPr>
            <w:tcW w:type="dxa" w:w="2160"/>
          </w:tcPr>
          <w:p>
            <w:r>
              <w:rPr>
                <w:b/>
              </w:rPr>
              <w:t>2020年</w:t>
            </w:r>
          </w:p>
        </w:tc>
        <w:tc>
          <w:tcPr>
            <w:tcW w:type="dxa" w:w="2160"/>
          </w:tcPr>
          <w:p>
            <w:r>
              <w:rPr>
                <w:b/>
              </w:rPr>
              <w:t>2021年</w:t>
            </w:r>
          </w:p>
        </w:tc>
      </w:tr>
      <w:tr>
        <w:tc>
          <w:tcPr>
            <w:tcW w:type="dxa" w:w="2160"/>
          </w:tcPr>
          <w:p>
            <w:r>
              <w:t>营业收入（亿元）</w:t>
            </w:r>
          </w:p>
        </w:tc>
        <w:tc>
          <w:tcPr>
            <w:tcW w:type="dxa" w:w="2160"/>
          </w:tcPr>
          <w:p>
            <w:r>
              <w:t>351.48</w:t>
            </w:r>
          </w:p>
        </w:tc>
        <w:tc>
          <w:tcPr>
            <w:tcW w:type="dxa" w:w="2160"/>
          </w:tcPr>
          <w:p>
            <w:r>
              <w:t>577.43</w:t>
            </w:r>
          </w:p>
        </w:tc>
        <w:tc>
          <w:tcPr>
            <w:tcW w:type="dxa" w:w="2160"/>
          </w:tcPr>
          <w:p>
            <w:r>
              <w:t>782.21</w:t>
            </w:r>
          </w:p>
        </w:tc>
      </w:tr>
      <w:tr>
        <w:tc>
          <w:tcPr>
            <w:tcW w:type="dxa" w:w="2160"/>
          </w:tcPr>
          <w:p>
            <w:r>
              <w:t>物资供应综合成本（亿元）</w:t>
            </w:r>
          </w:p>
        </w:tc>
        <w:tc>
          <w:tcPr>
            <w:tcW w:type="dxa" w:w="2160"/>
          </w:tcPr>
          <w:p>
            <w:r>
              <w:t>238.62</w:t>
            </w:r>
          </w:p>
        </w:tc>
        <w:tc>
          <w:tcPr>
            <w:tcW w:type="dxa" w:w="2160"/>
          </w:tcPr>
          <w:p>
            <w:r>
              <w:t>414.08</w:t>
            </w:r>
          </w:p>
        </w:tc>
        <w:tc>
          <w:tcPr>
            <w:tcW w:type="dxa" w:w="2160"/>
          </w:tcPr>
          <w:p>
            <w:r>
              <w:t>588.83</w:t>
            </w:r>
          </w:p>
        </w:tc>
      </w:tr>
      <w:tr>
        <w:tc>
          <w:tcPr>
            <w:tcW w:type="dxa" w:w="2160"/>
          </w:tcPr>
          <w:p>
            <w:r>
              <w:t>综合成本增速</w:t>
            </w:r>
          </w:p>
        </w:tc>
        <w:tc>
          <w:tcPr>
            <w:tcW w:type="dxa" w:w="2160"/>
          </w:tcPr>
          <w:p>
            <w:r>
              <w:t>—</w:t>
            </w:r>
          </w:p>
        </w:tc>
        <w:tc>
          <w:tcPr>
            <w:tcW w:type="dxa" w:w="2160"/>
          </w:tcPr>
          <w:p>
            <w:r>
              <w:t>+73.5%</w:t>
            </w:r>
          </w:p>
        </w:tc>
        <w:tc>
          <w:tcPr>
            <w:tcW w:type="dxa" w:w="2160"/>
          </w:tcPr>
          <w:p>
            <w:r>
              <w:t>+42.2%</w:t>
            </w:r>
          </w:p>
        </w:tc>
      </w:tr>
      <w:tr>
        <w:tc>
          <w:tcPr>
            <w:tcW w:type="dxa" w:w="2160"/>
          </w:tcPr>
          <w:p>
            <w:r>
              <w:t>归母净利润（亿元）</w:t>
            </w:r>
          </w:p>
        </w:tc>
        <w:tc>
          <w:tcPr>
            <w:tcW w:type="dxa" w:w="2160"/>
          </w:tcPr>
          <w:p>
            <w:r>
              <w:t>12.81</w:t>
            </w:r>
          </w:p>
        </w:tc>
        <w:tc>
          <w:tcPr>
            <w:tcW w:type="dxa" w:w="2160"/>
          </w:tcPr>
          <w:p>
            <w:r>
              <w:t>28.48</w:t>
            </w:r>
          </w:p>
        </w:tc>
        <w:tc>
          <w:tcPr>
            <w:tcW w:type="dxa" w:w="2160"/>
          </w:tcPr>
          <w:p>
            <w:r>
              <w:t>42.75</w:t>
            </w:r>
          </w:p>
        </w:tc>
      </w:tr>
      <w:tr>
        <w:tc>
          <w:tcPr>
            <w:tcW w:type="dxa" w:w="2160"/>
          </w:tcPr>
          <w:p>
            <w:r>
              <w:t>净利润增速</w:t>
            </w:r>
          </w:p>
        </w:tc>
        <w:tc>
          <w:tcPr>
            <w:tcW w:type="dxa" w:w="2160"/>
          </w:tcPr>
          <w:p>
            <w:r>
              <w:t>+47.58%</w:t>
            </w:r>
          </w:p>
        </w:tc>
        <w:tc>
          <w:tcPr>
            <w:tcW w:type="dxa" w:w="2160"/>
          </w:tcPr>
          <w:p>
            <w:r>
              <w:t>+122.41%</w:t>
            </w:r>
          </w:p>
        </w:tc>
        <w:tc>
          <w:tcPr>
            <w:tcW w:type="dxa" w:w="2160"/>
          </w:tcPr>
          <w:p>
            <w:r>
              <w:t>+50.09%</w:t>
            </w:r>
          </w:p>
        </w:tc>
      </w:tr>
      <w:tr>
        <w:tc>
          <w:tcPr>
            <w:tcW w:type="dxa" w:w="2160"/>
          </w:tcPr>
          <w:p>
            <w:r>
              <w:t>综合成本/营业收入</w:t>
            </w:r>
          </w:p>
        </w:tc>
        <w:tc>
          <w:tcPr>
            <w:tcW w:type="dxa" w:w="2160"/>
          </w:tcPr>
          <w:p>
            <w:r>
              <w:t>67.9%</w:t>
            </w:r>
          </w:p>
        </w:tc>
        <w:tc>
          <w:tcPr>
            <w:tcW w:type="dxa" w:w="2160"/>
          </w:tcPr>
          <w:p>
            <w:r>
              <w:t>71.7%</w:t>
            </w:r>
          </w:p>
        </w:tc>
        <w:tc>
          <w:tcPr>
            <w:tcW w:type="dxa" w:w="2160"/>
          </w:tcPr>
          <w:p>
            <w:r>
              <w:t>75.3%</w:t>
            </w:r>
          </w:p>
        </w:tc>
      </w:tr>
      <w:tr>
        <w:tc>
          <w:tcPr>
            <w:tcW w:type="dxa" w:w="2160"/>
          </w:tcPr>
          <w:p>
            <w:r>
              <w:t>净利润率</w:t>
            </w:r>
          </w:p>
        </w:tc>
        <w:tc>
          <w:tcPr>
            <w:tcW w:type="dxa" w:w="2160"/>
          </w:tcPr>
          <w:p>
            <w:r>
              <w:t>3.65%</w:t>
            </w:r>
          </w:p>
        </w:tc>
        <w:tc>
          <w:tcPr>
            <w:tcW w:type="dxa" w:w="2160"/>
          </w:tcPr>
          <w:p>
            <w:r>
              <w:t>4.93%</w:t>
            </w:r>
          </w:p>
        </w:tc>
        <w:tc>
          <w:tcPr>
            <w:tcW w:type="dxa" w:w="2160"/>
          </w:tcPr>
          <w:p>
            <w:r>
              <w:t>5.47%</w:t>
            </w:r>
          </w:p>
        </w:tc>
      </w:tr>
      <w:tr>
        <w:tc>
          <w:tcPr>
            <w:tcW w:type="dxa" w:w="2160"/>
          </w:tcPr>
          <w:p>
            <w:r>
              <w:t>存货周转率（次/年）</w:t>
            </w:r>
          </w:p>
        </w:tc>
        <w:tc>
          <w:tcPr>
            <w:tcW w:type="dxa" w:w="2160"/>
          </w:tcPr>
          <w:p>
            <w:r>
              <w:t>约6.72</w:t>
            </w:r>
          </w:p>
        </w:tc>
        <w:tc>
          <w:tcPr>
            <w:tcW w:type="dxa" w:w="2160"/>
          </w:tcPr>
          <w:p>
            <w:r>
              <w:t>约6.70</w:t>
            </w:r>
          </w:p>
        </w:tc>
        <w:tc>
          <w:tcPr>
            <w:tcW w:type="dxa" w:w="2160"/>
          </w:tcPr>
          <w:p>
            <w:r>
              <w:t>6.22</w:t>
            </w:r>
          </w:p>
        </w:tc>
      </w:tr>
      <w:tr>
        <w:tc>
          <w:tcPr>
            <w:tcW w:type="dxa" w:w="2160"/>
          </w:tcPr>
          <w:p>
            <w:r>
              <w:t>存货周转天数（天）</w:t>
            </w:r>
          </w:p>
        </w:tc>
        <w:tc>
          <w:tcPr>
            <w:tcW w:type="dxa" w:w="2160"/>
          </w:tcPr>
          <w:p>
            <w:r>
              <w:t>约54</w:t>
            </w:r>
          </w:p>
        </w:tc>
        <w:tc>
          <w:tcPr>
            <w:tcW w:type="dxa" w:w="2160"/>
          </w:tcPr>
          <w:p>
            <w:r>
              <w:t>约55</w:t>
            </w:r>
          </w:p>
        </w:tc>
        <w:tc>
          <w:tcPr>
            <w:tcW w:type="dxa" w:w="2160"/>
          </w:tcPr>
          <w:p>
            <w:r>
              <w:t>58</w:t>
            </w:r>
          </w:p>
        </w:tc>
      </w:tr>
    </w:tbl>
    <w:p/>
    <w:p>
      <w:pPr>
        <w:ind w:firstLine="480"/>
      </w:pPr>
      <w:r>
        <w:t>从表4-9的综合对比分析可以得出以下几点结论。</w:t>
      </w:r>
    </w:p>
    <w:p>
      <w:pPr>
        <w:ind w:firstLine="480"/>
      </w:pPr>
      <w:r>
        <w:t>第一，收入高增长阶段，净利润增速显著高于成本增速（2020年尤为突出）。2020年营业收入增长64.29%，物资供应综合成本增长73.5%，但归母净利润增长122.41%，说明2020年盈利爆发来自于毛利率的阶段性提升（高毛利的TWS和VR产品贡献增加）和规模效应带来的非材料成本管控改善，企业通过产品结构优化实现了超越成本增速的利润增长。</w:t>
      </w:r>
    </w:p>
    <w:p>
      <w:pPr>
        <w:ind w:firstLine="480"/>
      </w:pPr>
      <w:r>
        <w:t>第二，净利润率呈持续改善趋势。净利润率从2019年的3.65%提升至2020年的4.93%、2021年的5.47%，表明研究期间内企业盈利质量持续提升，物资供应管理效率的改善（如精细化运营、运营周期优化）对盈利增长起到了积极支撑作用。经营活动现金净流量分别为54.51亿元、76.82亿元和85.98亿元，均显著高于当期净利润，说明企业资金回笼质量良好。</w:t>
      </w:r>
    </w:p>
    <w:p>
      <w:pPr>
        <w:ind w:firstLine="480"/>
      </w:pPr>
      <w:r>
        <w:t>第三，存货管理是研究期间内效率提升空间最大的领域。存货规模从2019年末的52.96亿元持续扩张至2021年末的120.82亿元，增幅达128.1%，大幅超过同期营业收入增速（122.5%）；存货周转天数从约54天略微延长至58天，周转效率微降。这说明在业务快速扩张阶段，公司以牺牲一定库存效率为代价保障了供货能力，但也积累了较大的库存风险，为2022年大规模存货减值埋下了隐患。如何在高增长背景下优化库存结构、提升周转效率，是该阶段物资供应管理面临的核心课题。</w:t>
      </w:r>
    </w:p>
    <w:p>
      <w:pPr>
        <w:ind w:firstLine="480"/>
      </w:pPr>
      <w:r>
        <w:t>第四，综合成本占营业收入比重逐年上升（67.9%→71.7%→75.3%），主要由直接材料价格上涨驱动，库存持有成本占比也有所上升（3.01%→3.18%→3.09%）。这一趋势提示企业在追求规模增长的同时，需要持续强化采购成本管控（如集中采购、战略协议锁价）和库存精益化管理，以防止成本端压力侵蚀盈利空间。</w:t>
      </w:r>
    </w:p>
    <w:p>
      <w:pPr>
        <w:pStyle w:val="Heading2"/>
      </w:pPr>
      <w:r>
        <w:t>4.3  优化路径</w:t>
      </w:r>
    </w:p>
    <w:p>
      <w:pPr>
        <w:ind w:firstLine="480"/>
      </w:pPr>
      <w:r>
        <w:t>基于上述成本效益分析，结合歌尔股份2019—2021年物资供应管理中存在的具体问题，本节从四个维度提出优化路径建议。</w:t>
      </w:r>
    </w:p>
    <w:p>
      <w:pPr>
        <w:pStyle w:val="Heading3"/>
      </w:pPr>
      <w:r>
        <w:t>4.3.1  运用动态库存模型提升采购计划精准度</w:t>
      </w:r>
    </w:p>
    <w:p>
      <w:pPr>
        <w:ind w:firstLine="480"/>
      </w:pPr>
      <w:r>
        <w:t>研究期间内，歌尔股份存货规模快速扩张，存货周转天数从54天延长至58天，反映出采购计划精准度有待提升。建议引入以EOQ（经济订货量）模型为基础的动态库存管理机制，结合MRP（物料需求计划）系统，将订单驱动的被动备货模式逐步转向数据驱动的主动预测采购模式。</w:t>
      </w:r>
    </w:p>
    <w:p>
      <w:pPr>
        <w:ind w:firstLine="480"/>
      </w:pPr>
      <w:r>
        <w:t>具体而言，可参考以下路径：（1）基于历史订单数据和客户需求预测，建立分品类的需求预测模型，提高各类物料的采购计划精准度；（2）对关键物料实施安全库存动态管理，根据供应商交期和市场价格波动实时调整安全库存水位，避免过度备货；（3）将G-SRM系统与内部MRP/ERP系统数据打通，实现从需求预测到采购执行的自动化衔接，压缩需求传导时滞。通过上述措施，可有效控制库存持有成本，提升存货周转率（目标：从约6.2次/年提升至7次/年以上），减少资金占用。</w:t>
      </w:r>
    </w:p>
    <w:p>
      <w:pPr>
        <w:pStyle w:val="Heading3"/>
      </w:pPr>
      <w:r>
        <w:t>4.3.2  搭建实时协同平台提升供应链响应韧性</w:t>
      </w:r>
    </w:p>
    <w:p>
      <w:pPr>
        <w:ind w:firstLine="480"/>
      </w:pPr>
      <w:r>
        <w:t>研究期间歌尔股份供应商集中度较高，前五大供应商采购占比持续处于较高水平，叠加客户高度集中导致的订单波动风险，供应链响应弹性不足是物资供应管理的核心脆弱点。建议加快推进供应商协同平台建设，以G-SRM系统为核心，向上连接客户订单系统、向下连通供应商产能可视化系统，构建供需双向信息实时同步的数字化协同生态。</w:t>
      </w:r>
    </w:p>
    <w:p>
      <w:pPr>
        <w:ind w:firstLine="480"/>
      </w:pPr>
      <w:r>
        <w:t>具体措施包括：（1）推动核心供应商接入电子化协同平台，实现订单、交期、质量、库存等关键数据的实时共享，提升供应商响应速度；（2）建立供应商产能预警机制，对关键零部件供应商设置产能可视化监控指标，提前识别潜在断供风险；（3）对供应商集中度过高的品类实施"双源/多源"供应策略，逐步培育备选供应商，提升供应链的抗风险能力。</w:t>
      </w:r>
    </w:p>
    <w:p>
      <w:pPr>
        <w:pStyle w:val="Heading3"/>
      </w:pPr>
      <w:r>
        <w:t>4.3.3  打通数据壁垒提升跨部门协同效率</w:t>
      </w:r>
    </w:p>
    <w:p>
      <w:pPr>
        <w:ind w:firstLine="480"/>
      </w:pPr>
      <w:r>
        <w:t>物料控制、采购、生产、仓储等部门之间的信息传递不畅是研究期间歌尔股份物资供应管理效率损耗的重要来源。部门间信息壁垒导致需求传导延迟、库存信息不透明、采购与生产节奏不匹配等问题，在2021年业务规模急剧扩张时尤为突出。</w:t>
      </w:r>
    </w:p>
    <w:p>
      <w:pPr>
        <w:ind w:firstLine="480"/>
      </w:pPr>
      <w:r>
        <w:t>建议推进以下举措：（1）以统一数据中台为基础，打通计划、采购、库存、生产等核心系统的数据流，确保各环节数据的实时一致性；（2）建立跨部门协同工作机制，推行S&amp;OP（销售与运营计划）流程，定期开展需求—供应平衡评审，提升跨部门决策协同效率；（3）通过数字化驾驶舱，为管理层提供物资供应管理核心指标（库存水位、采购交期达成率、供应商准时交货率等）的可视化实时监控，支持快速决策。</w:t>
      </w:r>
    </w:p>
    <w:p>
      <w:pPr>
        <w:pStyle w:val="Heading3"/>
      </w:pPr>
      <w:r>
        <w:t>4.3.4  加快物资周转速度实现降本增效</w:t>
      </w:r>
    </w:p>
    <w:p>
      <w:pPr>
        <w:ind w:firstLine="480"/>
      </w:pPr>
      <w:r>
        <w:t>研究期间内库存规模快速增长（三年增幅128.1%）、库存持有成本持续攀升（从10.59亿元增至24.16亿元），提升物资周转速度是释放运营资金、降低综合成本的关键路径。</w:t>
      </w:r>
    </w:p>
    <w:p>
      <w:pPr>
        <w:ind w:firstLine="480"/>
      </w:pPr>
      <w:r>
        <w:t>建议从以下维度推进：（1）实施ABC分类管理，对高价值、高周转的A类物料重点管控，采用JIT（准时制）或小批量多频次采购策略，减少A类物料库存积压；（2）对长期滞压物料建立定期盘点和处置机制，及时消化滞料，避免存货跌价损失（研究期间2020年已出现存货减值2.08亿元，2021年2.41亿元的预警信号）；（3）与核心客户推进VMI（供应商管理库存）或寄售模式，将部分物料库存风险合理转移，降低企业自身库存水位。通过上述措施，目标将存货周转天数从2021年的58天压缩至50天以内，可减少资金占用约15—20亿元，显著改善企业现金流状况。</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