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第四章  歌尔股份2019—2024年成本效益分析与优化路径</w:t>
      </w:r>
    </w:p>
    <w:p>
      <w:pPr>
        <w:ind w:firstLine="480"/>
      </w:pPr>
      <w:r>
        <w:t>本章比照基本分析框架，以歌尔股份2019—2024年年度报告（含财务决算报告）为数据来源，围绕物资供应管理的成本构成、经营收益及成本与收益对比三个维度，开展系统性定量分析，并在此基础上提出优化路径建议。研究期间涵盖公司业务高速扩张（2019—2022年）、收缩调整（2022—2023年）与复苏反弹（2024年）三个阶段，营业收入从2019年的351.48亿元增至2022年峰值1,048.94亿元，2023年回调后2024年回升至1,009.54亿元。</w:t>
      </w:r>
    </w:p>
    <w:p>
      <w:pPr>
        <w:pStyle w:val="Heading2"/>
      </w:pPr>
      <w:r>
        <w:t>4.1  成本分析</w:t>
      </w:r>
    </w:p>
    <w:p>
      <w:pPr>
        <w:ind w:firstLine="480"/>
      </w:pPr>
      <w:r>
        <w:t>物资供应管理的直接成本涵盖物资采购成本、库存持有成本、仓库折旧成本、采购人工成本及相关设备成本等多个维度。歌尔股份年报披露了直接材料成本、存货余额、固定资产净值、职工薪酬及管理费用等核心数据，本节在直接引用年报实际数据的基础上，对年报中未单独披露的细项（仓库折旧、采购人工、设备系统成本）依据公开财务数据及行业通行方法进行估算，并在各表注释中说明数据来源及估算依据。</w:t>
      </w:r>
    </w:p>
    <w:p>
      <w:pPr>
        <w:pStyle w:val="Heading3"/>
      </w:pPr>
      <w:r>
        <w:t>4.1.1  物资采购成本分析</w:t>
      </w:r>
    </w:p>
    <w:p>
      <w:pPr>
        <w:ind w:firstLine="480"/>
      </w:pPr>
      <w:r>
        <w:t>物资采购成本是制造企业物资供应管理中规模最大的成本项，主要包括原材料、电子元器件、包装材料等物资的采购支出，直接构成企业营业成本的主体。歌尔股份各年度年报在"营业成本构成"部分单独列示了电子元器件行业的直接材料费用，可作为物资采购成本的直接衡量依据。2019—2024年歌尔股份直接材料成本数据如表4-1所示。</w:t>
      </w:r>
    </w:p>
    <w:p>
      <w:pPr>
        <w:jc w:val="center"/>
      </w:pPr>
      <w:r>
        <w:rPr>
          <w:b/>
        </w:rPr>
        <w:t>表4-1  歌尔股份2019—2024年物资采购成本（直接材料，单位：亿元）</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年份</w:t>
            </w:r>
          </w:p>
        </w:tc>
        <w:tc>
          <w:tcPr>
            <w:tcW w:type="dxa" w:w="1234"/>
          </w:tcPr>
          <w:p>
            <w:r>
              <w:rPr>
                <w:b/>
              </w:rPr>
              <w:t>营业收入</w:t>
              <w:br/>
              <w:t>（亿元）</w:t>
            </w:r>
          </w:p>
        </w:tc>
        <w:tc>
          <w:tcPr>
            <w:tcW w:type="dxa" w:w="1234"/>
          </w:tcPr>
          <w:p>
            <w:r>
              <w:rPr>
                <w:b/>
              </w:rPr>
              <w:t>营业成本</w:t>
              <w:br/>
              <w:t>（亿元）</w:t>
            </w:r>
          </w:p>
        </w:tc>
        <w:tc>
          <w:tcPr>
            <w:tcW w:type="dxa" w:w="1234"/>
          </w:tcPr>
          <w:p>
            <w:r>
              <w:rPr>
                <w:b/>
              </w:rPr>
              <w:t>直接材料</w:t>
              <w:br/>
              <w:t>（亿元）</w:t>
            </w:r>
          </w:p>
        </w:tc>
        <w:tc>
          <w:tcPr>
            <w:tcW w:type="dxa" w:w="1234"/>
          </w:tcPr>
          <w:p>
            <w:r>
              <w:rPr>
                <w:b/>
              </w:rPr>
              <w:t>直接材料/</w:t>
              <w:br/>
              <w:t>营业成本</w:t>
            </w:r>
          </w:p>
        </w:tc>
        <w:tc>
          <w:tcPr>
            <w:tcW w:type="dxa" w:w="1234"/>
          </w:tcPr>
          <w:p>
            <w:r>
              <w:rPr>
                <w:b/>
              </w:rPr>
              <w:t>直接材料/</w:t>
              <w:br/>
              <w:t>营业收入</w:t>
            </w:r>
          </w:p>
        </w:tc>
        <w:tc>
          <w:tcPr>
            <w:tcW w:type="dxa" w:w="1234"/>
          </w:tcPr>
          <w:p>
            <w:r>
              <w:rPr>
                <w:b/>
              </w:rPr>
              <w:t>直接材料</w:t>
              <w:br/>
              <w:t>同比增速</w:t>
            </w:r>
          </w:p>
        </w:tc>
      </w:tr>
      <w:tr>
        <w:tc>
          <w:tcPr>
            <w:tcW w:type="dxa" w:w="1234"/>
          </w:tcPr>
          <w:p>
            <w:r>
              <w:t>2019</w:t>
            </w:r>
          </w:p>
        </w:tc>
        <w:tc>
          <w:tcPr>
            <w:tcW w:type="dxa" w:w="1234"/>
          </w:tcPr>
          <w:p>
            <w:r>
              <w:t>351.48</w:t>
            </w:r>
          </w:p>
        </w:tc>
        <w:tc>
          <w:tcPr>
            <w:tcW w:type="dxa" w:w="1234"/>
          </w:tcPr>
          <w:p>
            <w:r>
              <w:t>297.26</w:t>
            </w:r>
          </w:p>
        </w:tc>
        <w:tc>
          <w:tcPr>
            <w:tcW w:type="dxa" w:w="1234"/>
          </w:tcPr>
          <w:p>
            <w:r>
              <w:t>224.48</w:t>
            </w:r>
          </w:p>
        </w:tc>
        <w:tc>
          <w:tcPr>
            <w:tcW w:type="dxa" w:w="1234"/>
          </w:tcPr>
          <w:p>
            <w:r>
              <w:t>78.25%</w:t>
            </w:r>
          </w:p>
        </w:tc>
        <w:tc>
          <w:tcPr>
            <w:tcW w:type="dxa" w:w="1234"/>
          </w:tcPr>
          <w:p>
            <w:r>
              <w:t>63.87%</w:t>
            </w:r>
          </w:p>
        </w:tc>
        <w:tc>
          <w:tcPr>
            <w:tcW w:type="dxa" w:w="1234"/>
          </w:tcPr>
          <w:p>
            <w:r>
              <w:t>+56.46%</w:t>
            </w:r>
          </w:p>
        </w:tc>
      </w:tr>
      <w:tr>
        <w:tc>
          <w:tcPr>
            <w:tcW w:type="dxa" w:w="1234"/>
          </w:tcPr>
          <w:p>
            <w:r>
              <w:t>2020</w:t>
            </w:r>
          </w:p>
        </w:tc>
        <w:tc>
          <w:tcPr>
            <w:tcW w:type="dxa" w:w="1234"/>
          </w:tcPr>
          <w:p>
            <w:r>
              <w:t>577.43</w:t>
            </w:r>
          </w:p>
        </w:tc>
        <w:tc>
          <w:tcPr>
            <w:tcW w:type="dxa" w:w="1234"/>
          </w:tcPr>
          <w:p>
            <w:r>
              <w:t>484.84</w:t>
            </w:r>
          </w:p>
        </w:tc>
        <w:tc>
          <w:tcPr>
            <w:tcW w:type="dxa" w:w="1234"/>
          </w:tcPr>
          <w:p>
            <w:r>
              <w:t>390.48</w:t>
            </w:r>
          </w:p>
        </w:tc>
        <w:tc>
          <w:tcPr>
            <w:tcW w:type="dxa" w:w="1234"/>
          </w:tcPr>
          <w:p>
            <w:r>
              <w:t>82.31%</w:t>
            </w:r>
          </w:p>
        </w:tc>
        <w:tc>
          <w:tcPr>
            <w:tcW w:type="dxa" w:w="1234"/>
          </w:tcPr>
          <w:p>
            <w:r>
              <w:t>67.63%</w:t>
            </w:r>
          </w:p>
        </w:tc>
        <w:tc>
          <w:tcPr>
            <w:tcW w:type="dxa" w:w="1234"/>
          </w:tcPr>
          <w:p>
            <w:r>
              <w:t>+73.95%</w:t>
            </w:r>
          </w:p>
        </w:tc>
      </w:tr>
      <w:tr>
        <w:tc>
          <w:tcPr>
            <w:tcW w:type="dxa" w:w="1234"/>
          </w:tcPr>
          <w:p>
            <w:r>
              <w:t>2021</w:t>
            </w:r>
          </w:p>
        </w:tc>
        <w:tc>
          <w:tcPr>
            <w:tcW w:type="dxa" w:w="1234"/>
          </w:tcPr>
          <w:p>
            <w:r>
              <w:t>782.21</w:t>
            </w:r>
          </w:p>
        </w:tc>
        <w:tc>
          <w:tcPr>
            <w:tcW w:type="dxa" w:w="1234"/>
          </w:tcPr>
          <w:p>
            <w:r>
              <w:t>671.68</w:t>
            </w:r>
          </w:p>
        </w:tc>
        <w:tc>
          <w:tcPr>
            <w:tcW w:type="dxa" w:w="1234"/>
          </w:tcPr>
          <w:p>
            <w:r>
              <w:t>558.43</w:t>
            </w:r>
          </w:p>
        </w:tc>
        <w:tc>
          <w:tcPr>
            <w:tcW w:type="dxa" w:w="1234"/>
          </w:tcPr>
          <w:p>
            <w:r>
              <w:t>84.54%</w:t>
            </w:r>
          </w:p>
        </w:tc>
        <w:tc>
          <w:tcPr>
            <w:tcW w:type="dxa" w:w="1234"/>
          </w:tcPr>
          <w:p>
            <w:r>
              <w:t>71.38%</w:t>
            </w:r>
          </w:p>
        </w:tc>
        <w:tc>
          <w:tcPr>
            <w:tcW w:type="dxa" w:w="1234"/>
          </w:tcPr>
          <w:p>
            <w:r>
              <w:t>+43.01%</w:t>
            </w:r>
          </w:p>
        </w:tc>
      </w:tr>
      <w:tr>
        <w:tc>
          <w:tcPr>
            <w:tcW w:type="dxa" w:w="1234"/>
          </w:tcPr>
          <w:p>
            <w:r>
              <w:t>2022</w:t>
            </w:r>
          </w:p>
        </w:tc>
        <w:tc>
          <w:tcPr>
            <w:tcW w:type="dxa" w:w="1234"/>
          </w:tcPr>
          <w:p>
            <w:r>
              <w:t>1,048.94</w:t>
            </w:r>
          </w:p>
        </w:tc>
        <w:tc>
          <w:tcPr>
            <w:tcW w:type="dxa" w:w="1234"/>
          </w:tcPr>
          <w:p>
            <w:r>
              <w:t>932.33</w:t>
            </w:r>
          </w:p>
        </w:tc>
        <w:tc>
          <w:tcPr>
            <w:tcW w:type="dxa" w:w="1234"/>
          </w:tcPr>
          <w:p>
            <w:r>
              <w:t>803.46</w:t>
            </w:r>
          </w:p>
        </w:tc>
        <w:tc>
          <w:tcPr>
            <w:tcW w:type="dxa" w:w="1234"/>
          </w:tcPr>
          <w:p>
            <w:r>
              <w:t>87.80%</w:t>
            </w:r>
          </w:p>
        </w:tc>
        <w:tc>
          <w:tcPr>
            <w:tcW w:type="dxa" w:w="1234"/>
          </w:tcPr>
          <w:p>
            <w:r>
              <w:t>76.60%</w:t>
            </w:r>
          </w:p>
        </w:tc>
        <w:tc>
          <w:tcPr>
            <w:tcW w:type="dxa" w:w="1234"/>
          </w:tcPr>
          <w:p>
            <w:r>
              <w:t>+43.88%</w:t>
            </w:r>
          </w:p>
        </w:tc>
      </w:tr>
      <w:tr>
        <w:tc>
          <w:tcPr>
            <w:tcW w:type="dxa" w:w="1234"/>
          </w:tcPr>
          <w:p>
            <w:r>
              <w:t>2023</w:t>
            </w:r>
          </w:p>
        </w:tc>
        <w:tc>
          <w:tcPr>
            <w:tcW w:type="dxa" w:w="1234"/>
          </w:tcPr>
          <w:p>
            <w:r>
              <w:t>985.74</w:t>
            </w:r>
          </w:p>
        </w:tc>
        <w:tc>
          <w:tcPr>
            <w:tcW w:type="dxa" w:w="1234"/>
          </w:tcPr>
          <w:p>
            <w:r>
              <w:t>897.53</w:t>
            </w:r>
          </w:p>
        </w:tc>
        <w:tc>
          <w:tcPr>
            <w:tcW w:type="dxa" w:w="1234"/>
          </w:tcPr>
          <w:p>
            <w:r>
              <w:t>761.30</w:t>
            </w:r>
          </w:p>
        </w:tc>
        <w:tc>
          <w:tcPr>
            <w:tcW w:type="dxa" w:w="1234"/>
          </w:tcPr>
          <w:p>
            <w:r>
              <w:t>87.18%</w:t>
            </w:r>
          </w:p>
        </w:tc>
        <w:tc>
          <w:tcPr>
            <w:tcW w:type="dxa" w:w="1234"/>
          </w:tcPr>
          <w:p>
            <w:r>
              <w:t>77.23%</w:t>
            </w:r>
          </w:p>
        </w:tc>
        <w:tc>
          <w:tcPr>
            <w:tcW w:type="dxa" w:w="1234"/>
          </w:tcPr>
          <w:p>
            <w:r>
              <w:t>-5.25%</w:t>
            </w:r>
          </w:p>
        </w:tc>
      </w:tr>
      <w:tr>
        <w:tc>
          <w:tcPr>
            <w:tcW w:type="dxa" w:w="1234"/>
          </w:tcPr>
          <w:p>
            <w:r>
              <w:t>2024</w:t>
            </w:r>
          </w:p>
        </w:tc>
        <w:tc>
          <w:tcPr>
            <w:tcW w:type="dxa" w:w="1234"/>
          </w:tcPr>
          <w:p>
            <w:r>
              <w:t>1,009.54</w:t>
            </w:r>
          </w:p>
        </w:tc>
        <w:tc>
          <w:tcPr>
            <w:tcW w:type="dxa" w:w="1234"/>
          </w:tcPr>
          <w:p>
            <w:r>
              <w:t>897.59</w:t>
            </w:r>
          </w:p>
        </w:tc>
        <w:tc>
          <w:tcPr>
            <w:tcW w:type="dxa" w:w="1234"/>
          </w:tcPr>
          <w:p>
            <w:r>
              <w:t>764.26</w:t>
            </w:r>
          </w:p>
        </w:tc>
        <w:tc>
          <w:tcPr>
            <w:tcW w:type="dxa" w:w="1234"/>
          </w:tcPr>
          <w:p>
            <w:r>
              <w:t>87.27%</w:t>
            </w:r>
          </w:p>
        </w:tc>
        <w:tc>
          <w:tcPr>
            <w:tcW w:type="dxa" w:w="1234"/>
          </w:tcPr>
          <w:p>
            <w:r>
              <w:t>75.70%</w:t>
            </w:r>
          </w:p>
        </w:tc>
        <w:tc>
          <w:tcPr>
            <w:tcW w:type="dxa" w:w="1234"/>
          </w:tcPr>
          <w:p>
            <w:r>
              <w:t>+0.39%</w:t>
            </w:r>
          </w:p>
        </w:tc>
      </w:tr>
    </w:tbl>
    <w:p/>
    <w:p>
      <w:pPr>
        <w:ind w:firstLine="0"/>
      </w:pPr>
      <w:r>
        <w:rPr>
          <w:sz w:val="18"/>
        </w:rPr>
        <w:t>注：①营业收入、营业成本数据来源：2019—2021年各年度报告经营概述及主要财务指标页；2022—2024年各年度报告及财务决算报告。②直接材料成本数据来源：各年度年报"营业成本构成-电子元器件行业-直接材料"项。2019年年报第16页、2020年年报第15页、2021年年报第16页、2022—2024年年报对应页码。</w:t>
      </w:r>
    </w:p>
    <w:p>
      <w:pPr>
        <w:ind w:firstLine="480"/>
      </w:pPr>
      <w:r>
        <w:t>从表4-1可以看出，歌尔股份直接材料成本在研究期间内呈现"快速攀升—达峰回落—企稳微升"的演变态势。2019—2022年持续高速增长，四年间直接材料成本从224.48亿元飙升至803.46亿元，增幅达258%，占营业成本比例也从78.25%升至87.80%，反映了以VR/AR智能硬件和TWS耳机为代表的材料密集型产品占比的持续提升以及大宗原材料价格上涨的叠加影响。2023年受全球消费电子需求下行影响，直接材料成本降至761.30亿元，同比下降5.25%。2024年微升至764.26亿元，但直接材料占营业收入比例从2022年的76.60%降至75.70%，显示出采购成本管控能力的改善。</w:t>
      </w:r>
    </w:p>
    <w:p>
      <w:pPr>
        <w:pStyle w:val="Heading3"/>
      </w:pPr>
      <w:r>
        <w:t>4.1.2  库存持有成本分析</w:t>
      </w:r>
    </w:p>
    <w:p>
      <w:pPr>
        <w:ind w:firstLine="480"/>
      </w:pPr>
      <w:r>
        <w:t>库存持有成本是企业维持一定库存水平所产生的综合成本，主要包括资金占用成本（机会成本）、仓储费用、保险成本以及存货跌价损失等。参考制造业库存持有成本率学术标准（Ballou, 2004）及中国消费电子行业实践，本文保守采用20%的持有成本率。各年度期末存货余额与估算库存持有成本如表4-2所示。</w:t>
      </w:r>
    </w:p>
    <w:p>
      <w:pPr>
        <w:jc w:val="center"/>
      </w:pPr>
      <w:r>
        <w:rPr>
          <w:b/>
        </w:rPr>
        <w:t>表4-2  歌尔股份2019—2024年库存持有成本估算（单位：亿元）</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年份</w:t>
            </w:r>
          </w:p>
        </w:tc>
        <w:tc>
          <w:tcPr>
            <w:tcW w:type="dxa" w:w="1440"/>
          </w:tcPr>
          <w:p>
            <w:r>
              <w:rPr>
                <w:b/>
              </w:rPr>
              <w:t>期末存货</w:t>
              <w:br/>
              <w:t>（亿元）</w:t>
            </w:r>
          </w:p>
        </w:tc>
        <w:tc>
          <w:tcPr>
            <w:tcW w:type="dxa" w:w="1440"/>
          </w:tcPr>
          <w:p>
            <w:r>
              <w:rPr>
                <w:b/>
              </w:rPr>
              <w:t>存货占</w:t>
              <w:br/>
              <w:t>总资产</w:t>
            </w:r>
          </w:p>
        </w:tc>
        <w:tc>
          <w:tcPr>
            <w:tcW w:type="dxa" w:w="1440"/>
          </w:tcPr>
          <w:p>
            <w:r>
              <w:rPr>
                <w:b/>
              </w:rPr>
              <w:t>存货周转率</w:t>
              <w:br/>
              <w:t>（次）</w:t>
            </w:r>
          </w:p>
        </w:tc>
        <w:tc>
          <w:tcPr>
            <w:tcW w:type="dxa" w:w="1440"/>
          </w:tcPr>
          <w:p>
            <w:r>
              <w:rPr>
                <w:b/>
              </w:rPr>
              <w:t>存货周转</w:t>
              <w:br/>
              <w:t>天数（天）</w:t>
            </w:r>
          </w:p>
        </w:tc>
        <w:tc>
          <w:tcPr>
            <w:tcW w:type="dxa" w:w="1440"/>
          </w:tcPr>
          <w:p>
            <w:r>
              <w:rPr>
                <w:b/>
              </w:rPr>
              <w:t>库存持有成本</w:t>
              <w:br/>
              <w:t>（存货×20%，亿元）</w:t>
            </w:r>
          </w:p>
        </w:tc>
      </w:tr>
      <w:tr>
        <w:tc>
          <w:tcPr>
            <w:tcW w:type="dxa" w:w="1440"/>
          </w:tcPr>
          <w:p>
            <w:r>
              <w:t>2019</w:t>
            </w:r>
          </w:p>
        </w:tc>
        <w:tc>
          <w:tcPr>
            <w:tcW w:type="dxa" w:w="1440"/>
          </w:tcPr>
          <w:p>
            <w:r>
              <w:t>52.96</w:t>
            </w:r>
          </w:p>
        </w:tc>
        <w:tc>
          <w:tcPr>
            <w:tcW w:type="dxa" w:w="1440"/>
          </w:tcPr>
          <w:p>
            <w:r>
              <w:t>15.28%</w:t>
            </w:r>
          </w:p>
        </w:tc>
        <w:tc>
          <w:tcPr>
            <w:tcW w:type="dxa" w:w="1440"/>
          </w:tcPr>
          <w:p>
            <w:r>
              <w:t>约6.72</w:t>
            </w:r>
          </w:p>
        </w:tc>
        <w:tc>
          <w:tcPr>
            <w:tcW w:type="dxa" w:w="1440"/>
          </w:tcPr>
          <w:p>
            <w:r>
              <w:t>约54</w:t>
            </w:r>
          </w:p>
        </w:tc>
        <w:tc>
          <w:tcPr>
            <w:tcW w:type="dxa" w:w="1440"/>
          </w:tcPr>
          <w:p>
            <w:r>
              <w:t>10.59</w:t>
            </w:r>
          </w:p>
        </w:tc>
      </w:tr>
      <w:tr>
        <w:tc>
          <w:tcPr>
            <w:tcW w:type="dxa" w:w="1440"/>
          </w:tcPr>
          <w:p>
            <w:r>
              <w:t>2020</w:t>
            </w:r>
          </w:p>
        </w:tc>
        <w:tc>
          <w:tcPr>
            <w:tcW w:type="dxa" w:w="1440"/>
          </w:tcPr>
          <w:p>
            <w:r>
              <w:t>91.71</w:t>
            </w:r>
          </w:p>
        </w:tc>
        <w:tc>
          <w:tcPr>
            <w:tcW w:type="dxa" w:w="1440"/>
          </w:tcPr>
          <w:p>
            <w:r>
              <w:t>18.67%</w:t>
            </w:r>
          </w:p>
        </w:tc>
        <w:tc>
          <w:tcPr>
            <w:tcW w:type="dxa" w:w="1440"/>
          </w:tcPr>
          <w:p>
            <w:r>
              <w:t>约6.70</w:t>
            </w:r>
          </w:p>
        </w:tc>
        <w:tc>
          <w:tcPr>
            <w:tcW w:type="dxa" w:w="1440"/>
          </w:tcPr>
          <w:p>
            <w:r>
              <w:t>约55</w:t>
            </w:r>
          </w:p>
        </w:tc>
        <w:tc>
          <w:tcPr>
            <w:tcW w:type="dxa" w:w="1440"/>
          </w:tcPr>
          <w:p>
            <w:r>
              <w:t>18.34</w:t>
            </w:r>
          </w:p>
        </w:tc>
      </w:tr>
      <w:tr>
        <w:tc>
          <w:tcPr>
            <w:tcW w:type="dxa" w:w="1440"/>
          </w:tcPr>
          <w:p>
            <w:r>
              <w:t>2021</w:t>
            </w:r>
          </w:p>
        </w:tc>
        <w:tc>
          <w:tcPr>
            <w:tcW w:type="dxa" w:w="1440"/>
          </w:tcPr>
          <w:p>
            <w:r>
              <w:t>120.82</w:t>
            </w:r>
          </w:p>
        </w:tc>
        <w:tc>
          <w:tcPr>
            <w:tcW w:type="dxa" w:w="1440"/>
          </w:tcPr>
          <w:p>
            <w:r>
              <w:t>19.78%</w:t>
            </w:r>
          </w:p>
        </w:tc>
        <w:tc>
          <w:tcPr>
            <w:tcW w:type="dxa" w:w="1440"/>
          </w:tcPr>
          <w:p>
            <w:r>
              <w:t>6.22</w:t>
            </w:r>
          </w:p>
        </w:tc>
        <w:tc>
          <w:tcPr>
            <w:tcW w:type="dxa" w:w="1440"/>
          </w:tcPr>
          <w:p>
            <w:r>
              <w:t>58</w:t>
            </w:r>
          </w:p>
        </w:tc>
        <w:tc>
          <w:tcPr>
            <w:tcW w:type="dxa" w:w="1440"/>
          </w:tcPr>
          <w:p>
            <w:r>
              <w:t>24.16</w:t>
            </w:r>
          </w:p>
        </w:tc>
      </w:tr>
      <w:tr>
        <w:tc>
          <w:tcPr>
            <w:tcW w:type="dxa" w:w="1440"/>
          </w:tcPr>
          <w:p>
            <w:r>
              <w:t>2022</w:t>
            </w:r>
          </w:p>
        </w:tc>
        <w:tc>
          <w:tcPr>
            <w:tcW w:type="dxa" w:w="1440"/>
          </w:tcPr>
          <w:p>
            <w:r>
              <w:t>173.49</w:t>
            </w:r>
          </w:p>
        </w:tc>
        <w:tc>
          <w:tcPr>
            <w:tcW w:type="dxa" w:w="1440"/>
          </w:tcPr>
          <w:p>
            <w:r>
              <w:t>22.48%</w:t>
            </w:r>
          </w:p>
        </w:tc>
        <w:tc>
          <w:tcPr>
            <w:tcW w:type="dxa" w:w="1440"/>
          </w:tcPr>
          <w:p>
            <w:r>
              <w:t>6.07</w:t>
            </w:r>
          </w:p>
        </w:tc>
        <w:tc>
          <w:tcPr>
            <w:tcW w:type="dxa" w:w="1440"/>
          </w:tcPr>
          <w:p>
            <w:r>
              <w:t>59</w:t>
            </w:r>
          </w:p>
        </w:tc>
        <w:tc>
          <w:tcPr>
            <w:tcW w:type="dxa" w:w="1440"/>
          </w:tcPr>
          <w:p>
            <w:r>
              <w:t>34.70</w:t>
            </w:r>
          </w:p>
        </w:tc>
      </w:tr>
      <w:tr>
        <w:tc>
          <w:tcPr>
            <w:tcW w:type="dxa" w:w="1440"/>
          </w:tcPr>
          <w:p>
            <w:r>
              <w:t>2023</w:t>
            </w:r>
          </w:p>
        </w:tc>
        <w:tc>
          <w:tcPr>
            <w:tcW w:type="dxa" w:w="1440"/>
          </w:tcPr>
          <w:p>
            <w:r>
              <w:t>107.95</w:t>
            </w:r>
          </w:p>
        </w:tc>
        <w:tc>
          <w:tcPr>
            <w:tcW w:type="dxa" w:w="1440"/>
          </w:tcPr>
          <w:p>
            <w:r>
              <w:t>14.64%</w:t>
            </w:r>
          </w:p>
        </w:tc>
        <w:tc>
          <w:tcPr>
            <w:tcW w:type="dxa" w:w="1440"/>
          </w:tcPr>
          <w:p>
            <w:r>
              <w:t>6.10</w:t>
            </w:r>
          </w:p>
        </w:tc>
        <w:tc>
          <w:tcPr>
            <w:tcW w:type="dxa" w:w="1440"/>
          </w:tcPr>
          <w:p>
            <w:r>
              <w:t>59</w:t>
            </w:r>
          </w:p>
        </w:tc>
        <w:tc>
          <w:tcPr>
            <w:tcW w:type="dxa" w:w="1440"/>
          </w:tcPr>
          <w:p>
            <w:r>
              <w:t>21.59</w:t>
            </w:r>
          </w:p>
        </w:tc>
      </w:tr>
      <w:tr>
        <w:tc>
          <w:tcPr>
            <w:tcW w:type="dxa" w:w="1440"/>
          </w:tcPr>
          <w:p>
            <w:r>
              <w:t>2024</w:t>
            </w:r>
          </w:p>
        </w:tc>
        <w:tc>
          <w:tcPr>
            <w:tcW w:type="dxa" w:w="1440"/>
          </w:tcPr>
          <w:p>
            <w:r>
              <w:t>104.79</w:t>
            </w:r>
          </w:p>
        </w:tc>
        <w:tc>
          <w:tcPr>
            <w:tcW w:type="dxa" w:w="1440"/>
          </w:tcPr>
          <w:p>
            <w:r>
              <w:t>12.67%</w:t>
            </w:r>
          </w:p>
        </w:tc>
        <w:tc>
          <w:tcPr>
            <w:tcW w:type="dxa" w:w="1440"/>
          </w:tcPr>
          <w:p>
            <w:r>
              <w:t>8.26</w:t>
            </w:r>
          </w:p>
        </w:tc>
        <w:tc>
          <w:tcPr>
            <w:tcW w:type="dxa" w:w="1440"/>
          </w:tcPr>
          <w:p>
            <w:r>
              <w:t>44</w:t>
            </w:r>
          </w:p>
        </w:tc>
        <w:tc>
          <w:tcPr>
            <w:tcW w:type="dxa" w:w="1440"/>
          </w:tcPr>
          <w:p>
            <w:r>
              <w:t>20.96</w:t>
            </w:r>
          </w:p>
        </w:tc>
      </w:tr>
    </w:tbl>
    <w:p/>
    <w:p>
      <w:pPr>
        <w:ind w:firstLine="0"/>
      </w:pPr>
      <w:r>
        <w:rPr>
          <w:sz w:val="18"/>
        </w:rPr>
        <w:t>注：①期末存货及总资产占比：2019年年报第20页（52.96亿元）；2020年年报第19页（91.71亿元）；2021年年报第21页（120.82亿元）；2022—2024年各年度报告资产负债表。②存货周转率：2021年来源于财务决算报告（6.22次/58天）；2022—2024年来源于各年度财务决算报告（6.07次/59天；6.10次/59天；8.26次/44天）；2019—2020年按"营业成本÷平均存货"估算。③库存持有成本按期末存货×20%估算。</w:t>
      </w:r>
    </w:p>
    <w:p>
      <w:pPr>
        <w:ind w:firstLine="480"/>
      </w:pPr>
      <w:r>
        <w:t>从表4-2可以看出，库存规模呈现"持续攀升—达峰骤降—趋稳"的变化轨迹。2019—2022年随业务扩张，期末存货从52.96亿元增至173.49亿元（增幅达227%），存货占总资产比例从15.28%升至22.48%，库存持有成本相应从10.59亿元攀升至34.70亿元，在此期间存货周转率基本稳定在6次/年左右（约54—59天），但绝对库存规模的大幅膨胀对运营资金形成沉重占用。2023年歌尔股份大力推进库存去化，期末存货骤降至107.95亿元（降幅37.8%），伴随大额存货减值（2022年计提17.83亿元、2023年收窄），库存持有成本回落至21.59亿元。2024年存货进一步降至104.79亿元，且存货周转率大幅提升至8.26次（周转天数44天），较2022年改善15天，库存持有成本降至20.96亿元，运营效率显著提升。</w:t>
      </w:r>
    </w:p>
    <w:p>
      <w:pPr>
        <w:pStyle w:val="Heading3"/>
      </w:pPr>
      <w:r>
        <w:t>4.1.3  仓库折旧成本分析</w:t>
      </w:r>
    </w:p>
    <w:p>
      <w:pPr>
        <w:ind w:firstLine="480"/>
      </w:pPr>
      <w:r>
        <w:t>仓库折旧成本是企业用于物资存储的仓库建筑、货架及仓储设备等固定资产的年度折旧费用。歌尔股份年报在资产构成分析中披露了各年度固定资产账面净值，本文在此基础上进行估算：参考电子制造企业固定资产结构，仓储建筑及货架类资产通常占固定资产净值的22%，按房屋建筑类折旧率4%计算。各年度估算数据如表4-3所示。</w:t>
      </w:r>
    </w:p>
    <w:p>
      <w:pPr>
        <w:jc w:val="center"/>
      </w:pPr>
      <w:r>
        <w:rPr>
          <w:b/>
        </w:rPr>
        <w:t>表4-3  歌尔股份2019—2024年仓库折旧成本估算（单位：亿元）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年份</w:t>
            </w:r>
          </w:p>
        </w:tc>
        <w:tc>
          <w:tcPr>
            <w:tcW w:type="dxa" w:w="2160"/>
          </w:tcPr>
          <w:p>
            <w:r>
              <w:rPr>
                <w:b/>
              </w:rPr>
              <w:t>固定资产净值</w:t>
              <w:br/>
              <w:t>（亿元）</w:t>
            </w:r>
          </w:p>
        </w:tc>
        <w:tc>
          <w:tcPr>
            <w:tcW w:type="dxa" w:w="2160"/>
          </w:tcPr>
          <w:p>
            <w:r>
              <w:rPr>
                <w:b/>
              </w:rPr>
              <w:t>仓储资产估算</w:t>
              <w:br/>
              <w:t>（×22%，亿元）</w:t>
            </w:r>
          </w:p>
        </w:tc>
        <w:tc>
          <w:tcPr>
            <w:tcW w:type="dxa" w:w="2160"/>
          </w:tcPr>
          <w:p>
            <w:r>
              <w:rPr>
                <w:b/>
              </w:rPr>
              <w:t>仓库折旧成本</w:t>
              <w:br/>
              <w:t>（×4%，亿元）</w:t>
            </w:r>
          </w:p>
        </w:tc>
      </w:tr>
      <w:tr>
        <w:tc>
          <w:tcPr>
            <w:tcW w:type="dxa" w:w="2160"/>
          </w:tcPr>
          <w:p>
            <w:r>
              <w:t>2019</w:t>
            </w:r>
          </w:p>
        </w:tc>
        <w:tc>
          <w:tcPr>
            <w:tcW w:type="dxa" w:w="2160"/>
          </w:tcPr>
          <w:p>
            <w:r>
              <w:t>115.02</w:t>
            </w:r>
          </w:p>
        </w:tc>
        <w:tc>
          <w:tcPr>
            <w:tcW w:type="dxa" w:w="2160"/>
          </w:tcPr>
          <w:p>
            <w:r>
              <w:t>25.30</w:t>
            </w:r>
          </w:p>
        </w:tc>
        <w:tc>
          <w:tcPr>
            <w:tcW w:type="dxa" w:w="2160"/>
          </w:tcPr>
          <w:p>
            <w:r>
              <w:t>1.01</w:t>
            </w:r>
          </w:p>
        </w:tc>
      </w:tr>
      <w:tr>
        <w:tc>
          <w:tcPr>
            <w:tcW w:type="dxa" w:w="2160"/>
          </w:tcPr>
          <w:p>
            <w:r>
              <w:t>2020</w:t>
            </w:r>
          </w:p>
        </w:tc>
        <w:tc>
          <w:tcPr>
            <w:tcW w:type="dxa" w:w="2160"/>
          </w:tcPr>
          <w:p>
            <w:r>
              <w:t>146.75</w:t>
            </w:r>
          </w:p>
        </w:tc>
        <w:tc>
          <w:tcPr>
            <w:tcW w:type="dxa" w:w="2160"/>
          </w:tcPr>
          <w:p>
            <w:r>
              <w:t>32.29</w:t>
            </w:r>
          </w:p>
        </w:tc>
        <w:tc>
          <w:tcPr>
            <w:tcW w:type="dxa" w:w="2160"/>
          </w:tcPr>
          <w:p>
            <w:r>
              <w:t>1.29</w:t>
            </w:r>
          </w:p>
        </w:tc>
      </w:tr>
      <w:tr>
        <w:tc>
          <w:tcPr>
            <w:tcW w:type="dxa" w:w="2160"/>
          </w:tcPr>
          <w:p>
            <w:r>
              <w:t>2021</w:t>
            </w:r>
          </w:p>
        </w:tc>
        <w:tc>
          <w:tcPr>
            <w:tcW w:type="dxa" w:w="2160"/>
          </w:tcPr>
          <w:p>
            <w:r>
              <w:t>181.23</w:t>
            </w:r>
          </w:p>
        </w:tc>
        <w:tc>
          <w:tcPr>
            <w:tcW w:type="dxa" w:w="2160"/>
          </w:tcPr>
          <w:p>
            <w:r>
              <w:t>39.87</w:t>
            </w:r>
          </w:p>
        </w:tc>
        <w:tc>
          <w:tcPr>
            <w:tcW w:type="dxa" w:w="2160"/>
          </w:tcPr>
          <w:p>
            <w:r>
              <w:t>1.59</w:t>
            </w:r>
          </w:p>
        </w:tc>
      </w:tr>
      <w:tr>
        <w:tc>
          <w:tcPr>
            <w:tcW w:type="dxa" w:w="2160"/>
          </w:tcPr>
          <w:p>
            <w:r>
              <w:t>2022</w:t>
            </w:r>
          </w:p>
        </w:tc>
        <w:tc>
          <w:tcPr>
            <w:tcW w:type="dxa" w:w="2160"/>
          </w:tcPr>
          <w:p>
            <w:r>
              <w:t>214.60</w:t>
            </w:r>
          </w:p>
        </w:tc>
        <w:tc>
          <w:tcPr>
            <w:tcW w:type="dxa" w:w="2160"/>
          </w:tcPr>
          <w:p>
            <w:r>
              <w:t>47.21</w:t>
            </w:r>
          </w:p>
        </w:tc>
        <w:tc>
          <w:tcPr>
            <w:tcW w:type="dxa" w:w="2160"/>
          </w:tcPr>
          <w:p>
            <w:r>
              <w:t>1.89</w:t>
            </w:r>
          </w:p>
        </w:tc>
      </w:tr>
      <w:tr>
        <w:tc>
          <w:tcPr>
            <w:tcW w:type="dxa" w:w="2160"/>
          </w:tcPr>
          <w:p>
            <w:r>
              <w:t>2023</w:t>
            </w:r>
          </w:p>
        </w:tc>
        <w:tc>
          <w:tcPr>
            <w:tcW w:type="dxa" w:w="2160"/>
          </w:tcPr>
          <w:p>
            <w:r>
              <w:t>223.05</w:t>
            </w:r>
          </w:p>
        </w:tc>
        <w:tc>
          <w:tcPr>
            <w:tcW w:type="dxa" w:w="2160"/>
          </w:tcPr>
          <w:p>
            <w:r>
              <w:t>49.07</w:t>
            </w:r>
          </w:p>
        </w:tc>
        <w:tc>
          <w:tcPr>
            <w:tcW w:type="dxa" w:w="2160"/>
          </w:tcPr>
          <w:p>
            <w:r>
              <w:t>1.96</w:t>
            </w:r>
          </w:p>
        </w:tc>
      </w:tr>
      <w:tr>
        <w:tc>
          <w:tcPr>
            <w:tcW w:type="dxa" w:w="2160"/>
          </w:tcPr>
          <w:p>
            <w:r>
              <w:t>2024</w:t>
            </w:r>
          </w:p>
        </w:tc>
        <w:tc>
          <w:tcPr>
            <w:tcW w:type="dxa" w:w="2160"/>
          </w:tcPr>
          <w:p>
            <w:r>
              <w:t>218.03</w:t>
            </w:r>
          </w:p>
        </w:tc>
        <w:tc>
          <w:tcPr>
            <w:tcW w:type="dxa" w:w="2160"/>
          </w:tcPr>
          <w:p>
            <w:r>
              <w:t>47.97</w:t>
            </w:r>
          </w:p>
        </w:tc>
        <w:tc>
          <w:tcPr>
            <w:tcW w:type="dxa" w:w="2160"/>
          </w:tcPr>
          <w:p>
            <w:r>
              <w:t>1.92</w:t>
            </w:r>
          </w:p>
        </w:tc>
      </w:tr>
    </w:tbl>
    <w:p/>
    <w:p>
      <w:pPr>
        <w:ind w:firstLine="0"/>
      </w:pPr>
      <w:r>
        <w:rPr>
          <w:sz w:val="18"/>
        </w:rPr>
        <w:t>注：固定资产净值数据来源：2019年年报第20页（115.02亿元）；2020年末146.75亿元取自2021年年报第21页（年初值）；2021年181.23亿元取自2021年年报第21页（年末值）；2022—2024年来源于各年度年报资产负债表。仓储建筑占比22%、折旧率4%为行业估算值。</w:t>
      </w:r>
    </w:p>
    <w:p>
      <w:pPr>
        <w:ind w:firstLine="480"/>
      </w:pPr>
      <w:r>
        <w:t>从表4-3可以看出，固定资产净值随公司在越南、东莞、西安等地持续推进产能扩张而稳步增长，从2019年的115.02亿元增至2023年的历史峰值223.05亿元，对应仓库折旧成本从1.01亿元升至1.96亿元。2024年随部分旧厂房退出及折旧自然消耗，固定资产净值小幅回落至218.03亿元，仓库折旧成本相应微降至1.92亿元。整体而言，仓库折旧成本在物资供应管理综合成本中占比较小（约0.2%—0.4%），增长相对平缓，反映了企业仓储基础设施投入的稳定性。</w:t>
      </w:r>
    </w:p>
    <w:p>
      <w:pPr>
        <w:pStyle w:val="Heading3"/>
      </w:pPr>
      <w:r>
        <w:t>4.1.4  采购人工成本分析</w:t>
      </w:r>
    </w:p>
    <w:p>
      <w:pPr>
        <w:ind w:firstLine="480"/>
      </w:pPr>
      <w:r>
        <w:t>采购人工成本是企业从事采购、供应商管理、物料控制等职能的相关人员薪酬支出。歌尔股份各年度合并现金流量表中披露"支付给职工以及为职工支付的现金"科目，可作为全员薪酬支出的替代指标；按采购职能人员占总薪酬支出的4%进行估算（参考制造企业采购职能人员约占员工总数3%—5%的行业惯例）。详见表4-4。</w:t>
      </w:r>
    </w:p>
    <w:p>
      <w:pPr>
        <w:jc w:val="center"/>
      </w:pPr>
      <w:r>
        <w:rPr>
          <w:b/>
        </w:rPr>
        <w:t>表4-4  歌尔股份2019—2024年采购人工成本估算（单位：亿元）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年份</w:t>
            </w:r>
          </w:p>
        </w:tc>
        <w:tc>
          <w:tcPr>
            <w:tcW w:type="dxa" w:w="2160"/>
          </w:tcPr>
          <w:p>
            <w:r>
              <w:rPr>
                <w:b/>
              </w:rPr>
              <w:t>员工总数</w:t>
              <w:br/>
              <w:t>（人）</w:t>
            </w:r>
          </w:p>
        </w:tc>
        <w:tc>
          <w:tcPr>
            <w:tcW w:type="dxa" w:w="2160"/>
          </w:tcPr>
          <w:p>
            <w:r>
              <w:rPr>
                <w:b/>
              </w:rPr>
              <w:t>职工薪酬</w:t>
              <w:br/>
              <w:t>现金支出（亿元）</w:t>
            </w:r>
          </w:p>
        </w:tc>
        <w:tc>
          <w:tcPr>
            <w:tcW w:type="dxa" w:w="2160"/>
          </w:tcPr>
          <w:p>
            <w:r>
              <w:rPr>
                <w:b/>
              </w:rPr>
              <w:t>采购人工</w:t>
              <w:br/>
              <w:t>成本估算（亿元）</w:t>
            </w:r>
          </w:p>
        </w:tc>
      </w:tr>
      <w:tr>
        <w:tc>
          <w:tcPr>
            <w:tcW w:type="dxa" w:w="2160"/>
          </w:tcPr>
          <w:p>
            <w:r>
              <w:t>2019</w:t>
            </w:r>
          </w:p>
        </w:tc>
        <w:tc>
          <w:tcPr>
            <w:tcW w:type="dxa" w:w="2160"/>
          </w:tcPr>
          <w:p>
            <w:r>
              <w:t>59,611</w:t>
            </w:r>
          </w:p>
        </w:tc>
        <w:tc>
          <w:tcPr>
            <w:tcW w:type="dxa" w:w="2160"/>
          </w:tcPr>
          <w:p>
            <w:r>
              <w:t>43.19</w:t>
            </w:r>
          </w:p>
        </w:tc>
        <w:tc>
          <w:tcPr>
            <w:tcW w:type="dxa" w:w="2160"/>
          </w:tcPr>
          <w:p>
            <w:r>
              <w:t>1.73</w:t>
            </w:r>
          </w:p>
        </w:tc>
      </w:tr>
      <w:tr>
        <w:tc>
          <w:tcPr>
            <w:tcW w:type="dxa" w:w="2160"/>
          </w:tcPr>
          <w:p>
            <w:r>
              <w:t>2020</w:t>
            </w:r>
          </w:p>
        </w:tc>
        <w:tc>
          <w:tcPr>
            <w:tcW w:type="dxa" w:w="2160"/>
          </w:tcPr>
          <w:p>
            <w:r>
              <w:t>87,346</w:t>
            </w:r>
          </w:p>
        </w:tc>
        <w:tc>
          <w:tcPr>
            <w:tcW w:type="dxa" w:w="2160"/>
          </w:tcPr>
          <w:p>
            <w:r>
              <w:t>67.49</w:t>
            </w:r>
          </w:p>
        </w:tc>
        <w:tc>
          <w:tcPr>
            <w:tcW w:type="dxa" w:w="2160"/>
          </w:tcPr>
          <w:p>
            <w:r>
              <w:t>2.70</w:t>
            </w:r>
          </w:p>
        </w:tc>
      </w:tr>
      <w:tr>
        <w:tc>
          <w:tcPr>
            <w:tcW w:type="dxa" w:w="2160"/>
          </w:tcPr>
          <w:p>
            <w:r>
              <w:t>2021</w:t>
            </w:r>
          </w:p>
        </w:tc>
        <w:tc>
          <w:tcPr>
            <w:tcW w:type="dxa" w:w="2160"/>
          </w:tcPr>
          <w:p>
            <w:r>
              <w:t>95,780</w:t>
            </w:r>
          </w:p>
        </w:tc>
        <w:tc>
          <w:tcPr>
            <w:tcW w:type="dxa" w:w="2160"/>
          </w:tcPr>
          <w:p>
            <w:r>
              <w:t>77.19</w:t>
            </w:r>
          </w:p>
        </w:tc>
        <w:tc>
          <w:tcPr>
            <w:tcW w:type="dxa" w:w="2160"/>
          </w:tcPr>
          <w:p>
            <w:r>
              <w:t>3.09</w:t>
            </w:r>
          </w:p>
        </w:tc>
      </w:tr>
      <w:tr>
        <w:tc>
          <w:tcPr>
            <w:tcW w:type="dxa" w:w="2160"/>
          </w:tcPr>
          <w:p>
            <w:r>
              <w:t>2022</w:t>
            </w:r>
          </w:p>
        </w:tc>
        <w:tc>
          <w:tcPr>
            <w:tcW w:type="dxa" w:w="2160"/>
          </w:tcPr>
          <w:p>
            <w:r>
              <w:t>85,358</w:t>
            </w:r>
          </w:p>
        </w:tc>
        <w:tc>
          <w:tcPr>
            <w:tcW w:type="dxa" w:w="2160"/>
          </w:tcPr>
          <w:p>
            <w:r>
              <w:t>90.48</w:t>
            </w:r>
          </w:p>
        </w:tc>
        <w:tc>
          <w:tcPr>
            <w:tcW w:type="dxa" w:w="2160"/>
          </w:tcPr>
          <w:p>
            <w:r>
              <w:t>3.62</w:t>
            </w:r>
          </w:p>
        </w:tc>
      </w:tr>
      <w:tr>
        <w:tc>
          <w:tcPr>
            <w:tcW w:type="dxa" w:w="2160"/>
          </w:tcPr>
          <w:p>
            <w:r>
              <w:t>2023</w:t>
            </w:r>
          </w:p>
        </w:tc>
        <w:tc>
          <w:tcPr>
            <w:tcW w:type="dxa" w:w="2160"/>
          </w:tcPr>
          <w:p>
            <w:r>
              <w:t>81,370</w:t>
            </w:r>
          </w:p>
        </w:tc>
        <w:tc>
          <w:tcPr>
            <w:tcW w:type="dxa" w:w="2160"/>
          </w:tcPr>
          <w:p>
            <w:r>
              <w:t>87.76</w:t>
            </w:r>
          </w:p>
        </w:tc>
        <w:tc>
          <w:tcPr>
            <w:tcW w:type="dxa" w:w="2160"/>
          </w:tcPr>
          <w:p>
            <w:r>
              <w:t>3.51</w:t>
            </w:r>
          </w:p>
        </w:tc>
      </w:tr>
      <w:tr>
        <w:tc>
          <w:tcPr>
            <w:tcW w:type="dxa" w:w="2160"/>
          </w:tcPr>
          <w:p>
            <w:r>
              <w:t>2024</w:t>
            </w:r>
          </w:p>
        </w:tc>
        <w:tc>
          <w:tcPr>
            <w:tcW w:type="dxa" w:w="2160"/>
          </w:tcPr>
          <w:p>
            <w:r>
              <w:t>81,819</w:t>
            </w:r>
          </w:p>
        </w:tc>
        <w:tc>
          <w:tcPr>
            <w:tcW w:type="dxa" w:w="2160"/>
          </w:tcPr>
          <w:p>
            <w:r>
              <w:t>87.27</w:t>
            </w:r>
          </w:p>
        </w:tc>
        <w:tc>
          <w:tcPr>
            <w:tcW w:type="dxa" w:w="2160"/>
          </w:tcPr>
          <w:p>
            <w:r>
              <w:t>3.49</w:t>
            </w:r>
          </w:p>
        </w:tc>
      </w:tr>
    </w:tbl>
    <w:p/>
    <w:p>
      <w:pPr>
        <w:ind w:firstLine="0"/>
      </w:pPr>
      <w:r>
        <w:rPr>
          <w:sz w:val="18"/>
        </w:rPr>
        <w:t>注：①员工总数来源：2019年年报第56页；2020年年报第66页；2021年年报第55页；2022—2024年各年度年报员工情况章节。②职工薪酬现金支出来源：各年度合并现金流量表"支付给职工以及为职工支付的现金"科目。③采购人工成本 = 职工薪酬现金支出 × 4%。</w:t>
      </w:r>
    </w:p>
    <w:p>
      <w:pPr>
        <w:ind w:firstLine="480"/>
      </w:pPr>
      <w:r>
        <w:t>从表4-4可以看出，研究期间员工规模及薪酬呈现"先增后减趋稳"的演变特征。2019—2021年随业务高速扩张，员工总数从59,611人增至95,780人（增幅约60.7%），职工薪酬支出从43.19亿元增至77.19亿元，采购人工成本从1.73亿元增至3.09亿元。2022年薪酬支出进一步提升至90.48亿元，但员工总数已降至85,358人，反映出人均薪酬的显著提升。2023—2024年员工规模基本稳定在81,000—82,000人区间，职工薪酬支出维持在87—88亿元，采购人工成本相应稳定在3.49—3.51亿元，说明数字化采购系统（G-SRM等）在人员规模减少的情况下维持了较高的采购服务效率，有效控制了人工成本。</w:t>
      </w:r>
    </w:p>
    <w:p>
      <w:pPr>
        <w:pStyle w:val="Heading3"/>
      </w:pPr>
      <w:r>
        <w:t>4.1.5  相关设备成本分析</w:t>
      </w:r>
    </w:p>
    <w:p>
      <w:pPr>
        <w:ind w:firstLine="480"/>
      </w:pPr>
      <w:r>
        <w:t>相关设备成本主要包括采购信息系统、仓储管理系统及配套硬件设备的折旧及运维费用。本文按各年度管理费用的20%估算IT支出，再取其中25%作为供应链相关设备系统成本（参考企业信息化投入结构中供应链模块占IT总支出约20%—30%的行业惯例）。各年度估算数据如表4-5所示。</w:t>
      </w:r>
    </w:p>
    <w:p>
      <w:pPr>
        <w:jc w:val="center"/>
      </w:pPr>
      <w:r>
        <w:rPr>
          <w:b/>
        </w:rPr>
        <w:t>表4-5  歌尔股份2019—2024年相关设备成本估算（单位：亿元）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年份</w:t>
            </w:r>
          </w:p>
        </w:tc>
        <w:tc>
          <w:tcPr>
            <w:tcW w:type="dxa" w:w="2160"/>
          </w:tcPr>
          <w:p>
            <w:r>
              <w:rPr>
                <w:b/>
              </w:rPr>
              <w:t>管理费用</w:t>
              <w:br/>
              <w:t>（亿元）</w:t>
            </w:r>
          </w:p>
        </w:tc>
        <w:tc>
          <w:tcPr>
            <w:tcW w:type="dxa" w:w="2160"/>
          </w:tcPr>
          <w:p>
            <w:r>
              <w:rPr>
                <w:b/>
              </w:rPr>
              <w:t>估算IT占</w:t>
              <w:br/>
              <w:t>管理费用20%（亿元）</w:t>
            </w:r>
          </w:p>
        </w:tc>
        <w:tc>
          <w:tcPr>
            <w:tcW w:type="dxa" w:w="2160"/>
          </w:tcPr>
          <w:p>
            <w:r>
              <w:rPr>
                <w:b/>
              </w:rPr>
              <w:t>供应链设备</w:t>
              <w:br/>
              <w:t>系统成本（×25%，亿元）</w:t>
            </w:r>
          </w:p>
        </w:tc>
      </w:tr>
      <w:tr>
        <w:tc>
          <w:tcPr>
            <w:tcW w:type="dxa" w:w="2160"/>
          </w:tcPr>
          <w:p>
            <w:r>
              <w:t>2019</w:t>
            </w:r>
          </w:p>
        </w:tc>
        <w:tc>
          <w:tcPr>
            <w:tcW w:type="dxa" w:w="2160"/>
          </w:tcPr>
          <w:p>
            <w:r>
              <w:t>8.38</w:t>
            </w:r>
          </w:p>
        </w:tc>
        <w:tc>
          <w:tcPr>
            <w:tcW w:type="dxa" w:w="2160"/>
          </w:tcPr>
          <w:p>
            <w:r>
              <w:t>1.68</w:t>
            </w:r>
          </w:p>
        </w:tc>
        <w:tc>
          <w:tcPr>
            <w:tcW w:type="dxa" w:w="2160"/>
          </w:tcPr>
          <w:p>
            <w:r>
              <w:t>0.42</w:t>
            </w:r>
          </w:p>
        </w:tc>
      </w:tr>
      <w:tr>
        <w:tc>
          <w:tcPr>
            <w:tcW w:type="dxa" w:w="2160"/>
          </w:tcPr>
          <w:p>
            <w:r>
              <w:t>2020</w:t>
            </w:r>
          </w:p>
        </w:tc>
        <w:tc>
          <w:tcPr>
            <w:tcW w:type="dxa" w:w="2160"/>
          </w:tcPr>
          <w:p>
            <w:r>
              <w:t>16.30</w:t>
            </w:r>
          </w:p>
        </w:tc>
        <w:tc>
          <w:tcPr>
            <w:tcW w:type="dxa" w:w="2160"/>
          </w:tcPr>
          <w:p>
            <w:r>
              <w:t>3.26</w:t>
            </w:r>
          </w:p>
        </w:tc>
        <w:tc>
          <w:tcPr>
            <w:tcW w:type="dxa" w:w="2160"/>
          </w:tcPr>
          <w:p>
            <w:r>
              <w:t>0.82</w:t>
            </w:r>
          </w:p>
        </w:tc>
      </w:tr>
      <w:tr>
        <w:tc>
          <w:tcPr>
            <w:tcW w:type="dxa" w:w="2160"/>
          </w:tcPr>
          <w:p>
            <w:r>
              <w:t>2021</w:t>
            </w:r>
          </w:p>
        </w:tc>
        <w:tc>
          <w:tcPr>
            <w:tcW w:type="dxa" w:w="2160"/>
          </w:tcPr>
          <w:p>
            <w:r>
              <w:t>19.52</w:t>
            </w:r>
          </w:p>
        </w:tc>
        <w:tc>
          <w:tcPr>
            <w:tcW w:type="dxa" w:w="2160"/>
          </w:tcPr>
          <w:p>
            <w:r>
              <w:t>3.90</w:t>
            </w:r>
          </w:p>
        </w:tc>
        <w:tc>
          <w:tcPr>
            <w:tcW w:type="dxa" w:w="2160"/>
          </w:tcPr>
          <w:p>
            <w:r>
              <w:t>0.98</w:t>
            </w:r>
          </w:p>
        </w:tc>
      </w:tr>
      <w:tr>
        <w:tc>
          <w:tcPr>
            <w:tcW w:type="dxa" w:w="2160"/>
          </w:tcPr>
          <w:p>
            <w:r>
              <w:t>2022</w:t>
            </w:r>
          </w:p>
        </w:tc>
        <w:tc>
          <w:tcPr>
            <w:tcW w:type="dxa" w:w="2160"/>
          </w:tcPr>
          <w:p>
            <w:r>
              <w:t>22.95</w:t>
            </w:r>
          </w:p>
        </w:tc>
        <w:tc>
          <w:tcPr>
            <w:tcW w:type="dxa" w:w="2160"/>
          </w:tcPr>
          <w:p>
            <w:r>
              <w:t>4.59</w:t>
            </w:r>
          </w:p>
        </w:tc>
        <w:tc>
          <w:tcPr>
            <w:tcW w:type="dxa" w:w="2160"/>
          </w:tcPr>
          <w:p>
            <w:r>
              <w:t>1.15</w:t>
            </w:r>
          </w:p>
        </w:tc>
      </w:tr>
      <w:tr>
        <w:tc>
          <w:tcPr>
            <w:tcW w:type="dxa" w:w="2160"/>
          </w:tcPr>
          <w:p>
            <w:r>
              <w:t>2023</w:t>
            </w:r>
          </w:p>
        </w:tc>
        <w:tc>
          <w:tcPr>
            <w:tcW w:type="dxa" w:w="2160"/>
          </w:tcPr>
          <w:p>
            <w:r>
              <w:t>22.03</w:t>
            </w:r>
          </w:p>
        </w:tc>
        <w:tc>
          <w:tcPr>
            <w:tcW w:type="dxa" w:w="2160"/>
          </w:tcPr>
          <w:p>
            <w:r>
              <w:t>4.41</w:t>
            </w:r>
          </w:p>
        </w:tc>
        <w:tc>
          <w:tcPr>
            <w:tcW w:type="dxa" w:w="2160"/>
          </w:tcPr>
          <w:p>
            <w:r>
              <w:t>1.10</w:t>
            </w:r>
          </w:p>
        </w:tc>
      </w:tr>
      <w:tr>
        <w:tc>
          <w:tcPr>
            <w:tcW w:type="dxa" w:w="2160"/>
          </w:tcPr>
          <w:p>
            <w:r>
              <w:t>2024</w:t>
            </w:r>
          </w:p>
        </w:tc>
        <w:tc>
          <w:tcPr>
            <w:tcW w:type="dxa" w:w="2160"/>
          </w:tcPr>
          <w:p>
            <w:r>
              <w:t>22.00</w:t>
            </w:r>
          </w:p>
        </w:tc>
        <w:tc>
          <w:tcPr>
            <w:tcW w:type="dxa" w:w="2160"/>
          </w:tcPr>
          <w:p>
            <w:r>
              <w:t>4.40</w:t>
            </w:r>
          </w:p>
        </w:tc>
        <w:tc>
          <w:tcPr>
            <w:tcW w:type="dxa" w:w="2160"/>
          </w:tcPr>
          <w:p>
            <w:r>
              <w:t>1.10</w:t>
            </w:r>
          </w:p>
        </w:tc>
      </w:tr>
    </w:tbl>
    <w:p/>
    <w:p>
      <w:pPr>
        <w:ind w:firstLine="0"/>
      </w:pPr>
      <w:r>
        <w:rPr>
          <w:sz w:val="18"/>
        </w:rPr>
        <w:t>注：管理费用数据来源：2019年合并利润表（8.38亿元，年报第76页）；2020年合并利润表（16.30亿元，年报第86页）；2021年合并利润表（19.52亿元，年报第99页）；2022—2024年各年度年报对应利润表。供应链设备系统成本 = 管理费用 × 20% × 25%。</w:t>
      </w:r>
    </w:p>
    <w:p>
      <w:pPr>
        <w:ind w:firstLine="480"/>
      </w:pPr>
      <w:r>
        <w:t>从表4-5可以看出，管理费用从2019年的8.38亿元迅速增至2022年的22.95亿元，对应供应链设备系统成本从0.42亿元升至1.15亿元，反映了公司在业务高速增长阶段持续加大数字化采购和仓储信息化投入的力度，G-SRM、WMS等核心系统的功能完善和供应商数字化接入工作快速推进。2022年后管理费用趋于稳定（22—23亿元），相关设备成本保持在1.10—1.15亿元区间，表明数字化基础设施建设进入成熟维护阶段，运维成本相对稳定。</w:t>
      </w:r>
    </w:p>
    <w:p>
      <w:pPr>
        <w:pStyle w:val="Heading3"/>
      </w:pPr>
      <w:r>
        <w:t>4.1.6  成本综合分析</w:t>
      </w:r>
    </w:p>
    <w:p>
      <w:pPr>
        <w:ind w:firstLine="480"/>
      </w:pPr>
      <w:r>
        <w:t>综合上述各项成本，2019—2024年歌尔股份物资供应管理综合成本如表4-6所示。</w:t>
      </w:r>
    </w:p>
    <w:p>
      <w:pPr>
        <w:jc w:val="center"/>
      </w:pPr>
      <w:r>
        <w:rPr>
          <w:b/>
        </w:rPr>
        <w:t>表4-6  歌尔股份2019—2024年物资供应管理综合成本汇总（单位：亿元）</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成本项目</w:t>
            </w:r>
          </w:p>
        </w:tc>
        <w:tc>
          <w:tcPr>
            <w:tcW w:type="dxa" w:w="1080"/>
          </w:tcPr>
          <w:p>
            <w:r>
              <w:rPr>
                <w:b/>
              </w:rPr>
              <w:t>2019年</w:t>
            </w:r>
          </w:p>
        </w:tc>
        <w:tc>
          <w:tcPr>
            <w:tcW w:type="dxa" w:w="1080"/>
          </w:tcPr>
          <w:p>
            <w:r>
              <w:rPr>
                <w:b/>
              </w:rPr>
              <w:t>2020年</w:t>
            </w:r>
          </w:p>
        </w:tc>
        <w:tc>
          <w:tcPr>
            <w:tcW w:type="dxa" w:w="1080"/>
          </w:tcPr>
          <w:p>
            <w:r>
              <w:rPr>
                <w:b/>
              </w:rPr>
              <w:t>2021年</w:t>
            </w:r>
          </w:p>
        </w:tc>
        <w:tc>
          <w:tcPr>
            <w:tcW w:type="dxa" w:w="1080"/>
          </w:tcPr>
          <w:p>
            <w:r>
              <w:rPr>
                <w:b/>
              </w:rPr>
              <w:t>2022年</w:t>
            </w:r>
          </w:p>
        </w:tc>
        <w:tc>
          <w:tcPr>
            <w:tcW w:type="dxa" w:w="1080"/>
          </w:tcPr>
          <w:p>
            <w:r>
              <w:rPr>
                <w:b/>
              </w:rPr>
              <w:t>2023年</w:t>
            </w:r>
          </w:p>
        </w:tc>
        <w:tc>
          <w:tcPr>
            <w:tcW w:type="dxa" w:w="1080"/>
          </w:tcPr>
          <w:p>
            <w:r>
              <w:rPr>
                <w:b/>
              </w:rPr>
              <w:t>2024年</w:t>
            </w:r>
          </w:p>
        </w:tc>
        <w:tc>
          <w:tcPr>
            <w:tcW w:type="dxa" w:w="1080"/>
          </w:tcPr>
          <w:p>
            <w:r>
              <w:rPr>
                <w:b/>
              </w:rPr>
              <w:t>数据性质</w:t>
            </w:r>
          </w:p>
        </w:tc>
      </w:tr>
      <w:tr>
        <w:tc>
          <w:tcPr>
            <w:tcW w:type="dxa" w:w="1080"/>
          </w:tcPr>
          <w:p>
            <w:r>
              <w:t>物资采购成本（亿元）</w:t>
            </w:r>
          </w:p>
        </w:tc>
        <w:tc>
          <w:tcPr>
            <w:tcW w:type="dxa" w:w="1080"/>
          </w:tcPr>
          <w:p>
            <w:r>
              <w:t>224.48</w:t>
            </w:r>
          </w:p>
        </w:tc>
        <w:tc>
          <w:tcPr>
            <w:tcW w:type="dxa" w:w="1080"/>
          </w:tcPr>
          <w:p>
            <w:r>
              <w:t>390.48</w:t>
            </w:r>
          </w:p>
        </w:tc>
        <w:tc>
          <w:tcPr>
            <w:tcW w:type="dxa" w:w="1080"/>
          </w:tcPr>
          <w:p>
            <w:r>
              <w:t>558.43</w:t>
            </w:r>
          </w:p>
        </w:tc>
        <w:tc>
          <w:tcPr>
            <w:tcW w:type="dxa" w:w="1080"/>
          </w:tcPr>
          <w:p>
            <w:r>
              <w:t>803.46</w:t>
            </w:r>
          </w:p>
        </w:tc>
        <w:tc>
          <w:tcPr>
            <w:tcW w:type="dxa" w:w="1080"/>
          </w:tcPr>
          <w:p>
            <w:r>
              <w:t>761.30</w:t>
            </w:r>
          </w:p>
        </w:tc>
        <w:tc>
          <w:tcPr>
            <w:tcW w:type="dxa" w:w="1080"/>
          </w:tcPr>
          <w:p>
            <w:r>
              <w:t>764.26</w:t>
            </w:r>
          </w:p>
        </w:tc>
        <w:tc>
          <w:tcPr>
            <w:tcW w:type="dxa" w:w="1080"/>
          </w:tcPr>
          <w:p>
            <w:r>
              <w:t>年报实际值</w:t>
            </w:r>
          </w:p>
        </w:tc>
      </w:tr>
      <w:tr>
        <w:tc>
          <w:tcPr>
            <w:tcW w:type="dxa" w:w="1080"/>
          </w:tcPr>
          <w:p>
            <w:r>
              <w:t>库存持有成本（亿元）</w:t>
            </w:r>
          </w:p>
        </w:tc>
        <w:tc>
          <w:tcPr>
            <w:tcW w:type="dxa" w:w="1080"/>
          </w:tcPr>
          <w:p>
            <w:r>
              <w:t>10.59</w:t>
            </w:r>
          </w:p>
        </w:tc>
        <w:tc>
          <w:tcPr>
            <w:tcW w:type="dxa" w:w="1080"/>
          </w:tcPr>
          <w:p>
            <w:r>
              <w:t>18.34</w:t>
            </w:r>
          </w:p>
        </w:tc>
        <w:tc>
          <w:tcPr>
            <w:tcW w:type="dxa" w:w="1080"/>
          </w:tcPr>
          <w:p>
            <w:r>
              <w:t>24.16</w:t>
            </w:r>
          </w:p>
        </w:tc>
        <w:tc>
          <w:tcPr>
            <w:tcW w:type="dxa" w:w="1080"/>
          </w:tcPr>
          <w:p>
            <w:r>
              <w:t>34.70</w:t>
            </w:r>
          </w:p>
        </w:tc>
        <w:tc>
          <w:tcPr>
            <w:tcW w:type="dxa" w:w="1080"/>
          </w:tcPr>
          <w:p>
            <w:r>
              <w:t>21.59</w:t>
            </w:r>
          </w:p>
        </w:tc>
        <w:tc>
          <w:tcPr>
            <w:tcW w:type="dxa" w:w="1080"/>
          </w:tcPr>
          <w:p>
            <w:r>
              <w:t>20.96</w:t>
            </w:r>
          </w:p>
        </w:tc>
        <w:tc>
          <w:tcPr>
            <w:tcW w:type="dxa" w:w="1080"/>
          </w:tcPr>
          <w:p>
            <w:r>
              <w:t>年报数据+估算</w:t>
            </w:r>
          </w:p>
        </w:tc>
      </w:tr>
      <w:tr>
        <w:tc>
          <w:tcPr>
            <w:tcW w:type="dxa" w:w="1080"/>
          </w:tcPr>
          <w:p>
            <w:r>
              <w:t>仓库折旧成本（亿元）</w:t>
            </w:r>
          </w:p>
        </w:tc>
        <w:tc>
          <w:tcPr>
            <w:tcW w:type="dxa" w:w="1080"/>
          </w:tcPr>
          <w:p>
            <w:r>
              <w:t>1.01</w:t>
            </w:r>
          </w:p>
        </w:tc>
        <w:tc>
          <w:tcPr>
            <w:tcW w:type="dxa" w:w="1080"/>
          </w:tcPr>
          <w:p>
            <w:r>
              <w:t>1.29</w:t>
            </w:r>
          </w:p>
        </w:tc>
        <w:tc>
          <w:tcPr>
            <w:tcW w:type="dxa" w:w="1080"/>
          </w:tcPr>
          <w:p>
            <w:r>
              <w:t>1.59</w:t>
            </w:r>
          </w:p>
        </w:tc>
        <w:tc>
          <w:tcPr>
            <w:tcW w:type="dxa" w:w="1080"/>
          </w:tcPr>
          <w:p>
            <w:r>
              <w:t>1.89</w:t>
            </w:r>
          </w:p>
        </w:tc>
        <w:tc>
          <w:tcPr>
            <w:tcW w:type="dxa" w:w="1080"/>
          </w:tcPr>
          <w:p>
            <w:r>
              <w:t>1.96</w:t>
            </w:r>
          </w:p>
        </w:tc>
        <w:tc>
          <w:tcPr>
            <w:tcW w:type="dxa" w:w="1080"/>
          </w:tcPr>
          <w:p>
            <w:r>
              <w:t>1.92</w:t>
            </w:r>
          </w:p>
        </w:tc>
        <w:tc>
          <w:tcPr>
            <w:tcW w:type="dxa" w:w="1080"/>
          </w:tcPr>
          <w:p>
            <w:r>
              <w:t>年报数据+估算</w:t>
            </w:r>
          </w:p>
        </w:tc>
      </w:tr>
      <w:tr>
        <w:tc>
          <w:tcPr>
            <w:tcW w:type="dxa" w:w="1080"/>
          </w:tcPr>
          <w:p>
            <w:r>
              <w:t>采购人工成本（亿元）</w:t>
            </w:r>
          </w:p>
        </w:tc>
        <w:tc>
          <w:tcPr>
            <w:tcW w:type="dxa" w:w="1080"/>
          </w:tcPr>
          <w:p>
            <w:r>
              <w:t>1.73</w:t>
            </w:r>
          </w:p>
        </w:tc>
        <w:tc>
          <w:tcPr>
            <w:tcW w:type="dxa" w:w="1080"/>
          </w:tcPr>
          <w:p>
            <w:r>
              <w:t>2.70</w:t>
            </w:r>
          </w:p>
        </w:tc>
        <w:tc>
          <w:tcPr>
            <w:tcW w:type="dxa" w:w="1080"/>
          </w:tcPr>
          <w:p>
            <w:r>
              <w:t>3.09</w:t>
            </w:r>
          </w:p>
        </w:tc>
        <w:tc>
          <w:tcPr>
            <w:tcW w:type="dxa" w:w="1080"/>
          </w:tcPr>
          <w:p>
            <w:r>
              <w:t>3.62</w:t>
            </w:r>
          </w:p>
        </w:tc>
        <w:tc>
          <w:tcPr>
            <w:tcW w:type="dxa" w:w="1080"/>
          </w:tcPr>
          <w:p>
            <w:r>
              <w:t>3.51</w:t>
            </w:r>
          </w:p>
        </w:tc>
        <w:tc>
          <w:tcPr>
            <w:tcW w:type="dxa" w:w="1080"/>
          </w:tcPr>
          <w:p>
            <w:r>
              <w:t>3.49</w:t>
            </w:r>
          </w:p>
        </w:tc>
        <w:tc>
          <w:tcPr>
            <w:tcW w:type="dxa" w:w="1080"/>
          </w:tcPr>
          <w:p>
            <w:r>
              <w:t>年报数据+估算</w:t>
            </w:r>
          </w:p>
        </w:tc>
      </w:tr>
      <w:tr>
        <w:tc>
          <w:tcPr>
            <w:tcW w:type="dxa" w:w="1080"/>
          </w:tcPr>
          <w:p>
            <w:r>
              <w:t>相关设备成本（亿元）</w:t>
            </w:r>
          </w:p>
        </w:tc>
        <w:tc>
          <w:tcPr>
            <w:tcW w:type="dxa" w:w="1080"/>
          </w:tcPr>
          <w:p>
            <w:r>
              <w:t>0.42</w:t>
            </w:r>
          </w:p>
        </w:tc>
        <w:tc>
          <w:tcPr>
            <w:tcW w:type="dxa" w:w="1080"/>
          </w:tcPr>
          <w:p>
            <w:r>
              <w:t>0.82</w:t>
            </w:r>
          </w:p>
        </w:tc>
        <w:tc>
          <w:tcPr>
            <w:tcW w:type="dxa" w:w="1080"/>
          </w:tcPr>
          <w:p>
            <w:r>
              <w:t>0.98</w:t>
            </w:r>
          </w:p>
        </w:tc>
        <w:tc>
          <w:tcPr>
            <w:tcW w:type="dxa" w:w="1080"/>
          </w:tcPr>
          <w:p>
            <w:r>
              <w:t>1.15</w:t>
            </w:r>
          </w:p>
        </w:tc>
        <w:tc>
          <w:tcPr>
            <w:tcW w:type="dxa" w:w="1080"/>
          </w:tcPr>
          <w:p>
            <w:r>
              <w:t>1.10</w:t>
            </w:r>
          </w:p>
        </w:tc>
        <w:tc>
          <w:tcPr>
            <w:tcW w:type="dxa" w:w="1080"/>
          </w:tcPr>
          <w:p>
            <w:r>
              <w:t>1.10</w:t>
            </w:r>
          </w:p>
        </w:tc>
        <w:tc>
          <w:tcPr>
            <w:tcW w:type="dxa" w:w="1080"/>
          </w:tcPr>
          <w:p>
            <w:r>
              <w:t>年报数据+估算</w:t>
            </w:r>
          </w:p>
        </w:tc>
      </w:tr>
      <w:tr>
        <w:tc>
          <w:tcPr>
            <w:tcW w:type="dxa" w:w="1080"/>
          </w:tcPr>
          <w:p>
            <w:r>
              <w:t>合计（亿元）</w:t>
            </w:r>
          </w:p>
        </w:tc>
        <w:tc>
          <w:tcPr>
            <w:tcW w:type="dxa" w:w="1080"/>
          </w:tcPr>
          <w:p>
            <w:r>
              <w:t>238.23</w:t>
            </w:r>
          </w:p>
        </w:tc>
        <w:tc>
          <w:tcPr>
            <w:tcW w:type="dxa" w:w="1080"/>
          </w:tcPr>
          <w:p>
            <w:r>
              <w:t>413.63</w:t>
            </w:r>
          </w:p>
        </w:tc>
        <w:tc>
          <w:tcPr>
            <w:tcW w:type="dxa" w:w="1080"/>
          </w:tcPr>
          <w:p>
            <w:r>
              <w:t>588.25</w:t>
            </w:r>
          </w:p>
        </w:tc>
        <w:tc>
          <w:tcPr>
            <w:tcW w:type="dxa" w:w="1080"/>
          </w:tcPr>
          <w:p>
            <w:r>
              <w:t>844.82</w:t>
            </w:r>
          </w:p>
        </w:tc>
        <w:tc>
          <w:tcPr>
            <w:tcW w:type="dxa" w:w="1080"/>
          </w:tcPr>
          <w:p>
            <w:r>
              <w:t>789.46</w:t>
            </w:r>
          </w:p>
        </w:tc>
        <w:tc>
          <w:tcPr>
            <w:tcW w:type="dxa" w:w="1080"/>
          </w:tcPr>
          <w:p>
            <w:r>
              <w:t>791.73</w:t>
            </w:r>
          </w:p>
        </w:tc>
        <w:tc>
          <w:tcPr>
            <w:tcW w:type="dxa" w:w="1080"/>
          </w:tcPr>
          <w:p>
            <w:r>
              <w:t>——</w:t>
            </w:r>
          </w:p>
        </w:tc>
      </w:tr>
      <w:tr>
        <w:tc>
          <w:tcPr>
            <w:tcW w:type="dxa" w:w="1080"/>
          </w:tcPr>
          <w:p>
            <w:r>
              <w:t>营业收入（亿元）</w:t>
            </w:r>
          </w:p>
        </w:tc>
        <w:tc>
          <w:tcPr>
            <w:tcW w:type="dxa" w:w="1080"/>
          </w:tcPr>
          <w:p>
            <w:r>
              <w:t>351.48</w:t>
            </w:r>
          </w:p>
        </w:tc>
        <w:tc>
          <w:tcPr>
            <w:tcW w:type="dxa" w:w="1080"/>
          </w:tcPr>
          <w:p>
            <w:r>
              <w:t>577.43</w:t>
            </w:r>
          </w:p>
        </w:tc>
        <w:tc>
          <w:tcPr>
            <w:tcW w:type="dxa" w:w="1080"/>
          </w:tcPr>
          <w:p>
            <w:r>
              <w:t>782.21</w:t>
            </w:r>
          </w:p>
        </w:tc>
        <w:tc>
          <w:tcPr>
            <w:tcW w:type="dxa" w:w="1080"/>
          </w:tcPr>
          <w:p>
            <w:r>
              <w:t>1,048.94</w:t>
            </w:r>
          </w:p>
        </w:tc>
        <w:tc>
          <w:tcPr>
            <w:tcW w:type="dxa" w:w="1080"/>
          </w:tcPr>
          <w:p>
            <w:r>
              <w:t>985.74</w:t>
            </w:r>
          </w:p>
        </w:tc>
        <w:tc>
          <w:tcPr>
            <w:tcW w:type="dxa" w:w="1080"/>
          </w:tcPr>
          <w:p>
            <w:r>
              <w:t>1,009.54</w:t>
            </w:r>
          </w:p>
        </w:tc>
        <w:tc>
          <w:tcPr>
            <w:tcW w:type="dxa" w:w="1080"/>
          </w:tcPr>
          <w:p>
            <w:r>
              <w:t>年报实际值</w:t>
            </w:r>
          </w:p>
        </w:tc>
      </w:tr>
      <w:tr>
        <w:tc>
          <w:tcPr>
            <w:tcW w:type="dxa" w:w="1080"/>
          </w:tcPr>
          <w:p>
            <w:r>
              <w:t>综合成本/营业收入</w:t>
            </w:r>
          </w:p>
        </w:tc>
        <w:tc>
          <w:tcPr>
            <w:tcW w:type="dxa" w:w="1080"/>
          </w:tcPr>
          <w:p>
            <w:r>
              <w:t>67.8%</w:t>
            </w:r>
          </w:p>
        </w:tc>
        <w:tc>
          <w:tcPr>
            <w:tcW w:type="dxa" w:w="1080"/>
          </w:tcPr>
          <w:p>
            <w:r>
              <w:t>71.6%</w:t>
            </w:r>
          </w:p>
        </w:tc>
        <w:tc>
          <w:tcPr>
            <w:tcW w:type="dxa" w:w="1080"/>
          </w:tcPr>
          <w:p>
            <w:r>
              <w:t>75.2%</w:t>
            </w:r>
          </w:p>
        </w:tc>
        <w:tc>
          <w:tcPr>
            <w:tcW w:type="dxa" w:w="1080"/>
          </w:tcPr>
          <w:p>
            <w:r>
              <w:t>80.5%</w:t>
            </w:r>
          </w:p>
        </w:tc>
        <w:tc>
          <w:tcPr>
            <w:tcW w:type="dxa" w:w="1080"/>
          </w:tcPr>
          <w:p>
            <w:r>
              <w:t>80.1%</w:t>
            </w:r>
          </w:p>
        </w:tc>
        <w:tc>
          <w:tcPr>
            <w:tcW w:type="dxa" w:w="1080"/>
          </w:tcPr>
          <w:p>
            <w:r>
              <w:t>78.4%</w:t>
            </w:r>
          </w:p>
        </w:tc>
        <w:tc>
          <w:tcPr>
            <w:tcW w:type="dxa" w:w="1080"/>
          </w:tcPr>
          <w:p>
            <w:r>
              <w:t>——</w:t>
            </w:r>
          </w:p>
        </w:tc>
      </w:tr>
    </w:tbl>
    <w:p/>
    <w:p>
      <w:pPr>
        <w:ind w:firstLine="480"/>
      </w:pPr>
      <w:r>
        <w:t>从表4-6的综合分析可以得出以下几点结论。</w:t>
      </w:r>
    </w:p>
    <w:p>
      <w:pPr>
        <w:ind w:firstLine="480"/>
      </w:pPr>
      <w:r>
        <w:t>第一，物资供应管理综合成本呈现"持续攀升—达峰回落—趋稳"的演变轨迹。2019—2022年随业务高速扩张，综合成本从238.23亿元迅速增至844.82亿元，四年累计增幅达254.7%。2022年后随着需求回落和管理优化，成本显著回落至789.46亿元（2023年），2024年基本持平为791.73亿元。</w:t>
      </w:r>
    </w:p>
    <w:p>
      <w:pPr>
        <w:ind w:firstLine="480"/>
      </w:pPr>
      <w:r>
        <w:t>第二，综合成本占营业收入比重持续上升后趋于改善。该比重从2019年的67.8%逐年升至2022年的80.5%（峰值），主要由直接材料成本上涨和备货规模扩张双重驱动。2023—2024年随材料价格回落和库存精益化管理推进，比重小幅回落至78.4%，但仍显著高于2019—2021年水平，表明公司整体成本结构在后扩张阶段仍有改善空间。</w:t>
      </w:r>
    </w:p>
    <w:p>
      <w:pPr>
        <w:ind w:firstLine="480"/>
      </w:pPr>
      <w:r>
        <w:t>第三，直接材料是综合成本的绝对主体，六年间占综合成本比重维持在94%—95.1%，且逐年提升（2019年：94.2%→2022年：95.1%→2024年：96.5%），说明随着整机ODM/JDM业务占比提升，物资采购管理的核心挑战进一步向原材料采购管控集中。</w:t>
      </w:r>
    </w:p>
    <w:p>
      <w:pPr>
        <w:ind w:firstLine="480"/>
      </w:pPr>
      <w:r>
        <w:t>第四，非材料成本（库存持有、仓库折旧、人工、设备）合计从14.75亿元（2019年）增至41.36亿元（2022年），再降至27.47亿元（2024年），与业务规模变化基本同向；其中库存持有成本波动最大（峰值34.70亿元→低点20.96亿元），是该类成本中管控潜力最大的分项。</w:t>
      </w:r>
    </w:p>
    <w:p>
      <w:pPr>
        <w:pStyle w:val="Heading2"/>
      </w:pPr>
      <w:r>
        <w:t>4.2  收益分析</w:t>
      </w:r>
    </w:p>
    <w:p>
      <w:pPr>
        <w:pStyle w:val="Heading3"/>
      </w:pPr>
      <w:r>
        <w:t>4.2.1  营业收入分析</w:t>
      </w:r>
    </w:p>
    <w:p>
      <w:pPr>
        <w:ind w:firstLine="480"/>
      </w:pPr>
      <w:r>
        <w:t>营业收入是衡量企业经营规模和市场竞争力的核心指标。歌尔股份2019—2024年营业收入及主要驱动因素如表4-7所示。</w:t>
      </w:r>
    </w:p>
    <w:p>
      <w:pPr>
        <w:jc w:val="center"/>
      </w:pPr>
      <w:r>
        <w:rPr>
          <w:b/>
        </w:rPr>
        <w:t>表4-7  歌尔股份2019—2024年营业收入及驱动因素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年份</w:t>
            </w:r>
          </w:p>
        </w:tc>
        <w:tc>
          <w:tcPr>
            <w:tcW w:type="dxa" w:w="2160"/>
          </w:tcPr>
          <w:p>
            <w:r>
              <w:rPr>
                <w:b/>
              </w:rPr>
              <w:t>营业收入（亿元）</w:t>
            </w:r>
          </w:p>
        </w:tc>
        <w:tc>
          <w:tcPr>
            <w:tcW w:type="dxa" w:w="2160"/>
          </w:tcPr>
          <w:p>
            <w:r>
              <w:rPr>
                <w:b/>
              </w:rPr>
              <w:t>同比增速</w:t>
            </w:r>
          </w:p>
        </w:tc>
        <w:tc>
          <w:tcPr>
            <w:tcW w:type="dxa" w:w="2160"/>
          </w:tcPr>
          <w:p>
            <w:r>
              <w:rPr>
                <w:b/>
              </w:rPr>
              <w:t>主要驱动因素</w:t>
            </w:r>
          </w:p>
        </w:tc>
      </w:tr>
      <w:tr>
        <w:tc>
          <w:tcPr>
            <w:tcW w:type="dxa" w:w="2160"/>
          </w:tcPr>
          <w:p>
            <w:r>
              <w:t>2019</w:t>
            </w:r>
          </w:p>
        </w:tc>
        <w:tc>
          <w:tcPr>
            <w:tcW w:type="dxa" w:w="2160"/>
          </w:tcPr>
          <w:p>
            <w:r>
              <w:t>351.48</w:t>
            </w:r>
          </w:p>
        </w:tc>
        <w:tc>
          <w:tcPr>
            <w:tcW w:type="dxa" w:w="2160"/>
          </w:tcPr>
          <w:p>
            <w:r>
              <w:t>+47.99%</w:t>
            </w:r>
          </w:p>
        </w:tc>
        <w:tc>
          <w:tcPr>
            <w:tcW w:type="dxa" w:w="2160"/>
          </w:tcPr>
          <w:p>
            <w:r>
              <w:t>TWS智能无线耳机放量（+117.58%），智能硬件增长（+28.47%）</w:t>
            </w:r>
          </w:p>
        </w:tc>
      </w:tr>
      <w:tr>
        <w:tc>
          <w:tcPr>
            <w:tcW w:type="dxa" w:w="2160"/>
          </w:tcPr>
          <w:p>
            <w:r>
              <w:t>2020</w:t>
            </w:r>
          </w:p>
        </w:tc>
        <w:tc>
          <w:tcPr>
            <w:tcW w:type="dxa" w:w="2160"/>
          </w:tcPr>
          <w:p>
            <w:r>
              <w:t>577.43</w:t>
            </w:r>
          </w:p>
        </w:tc>
        <w:tc>
          <w:tcPr>
            <w:tcW w:type="dxa" w:w="2160"/>
          </w:tcPr>
          <w:p>
            <w:r>
              <w:t>+64.29%</w:t>
            </w:r>
          </w:p>
        </w:tc>
        <w:tc>
          <w:tcPr>
            <w:tcW w:type="dxa" w:w="2160"/>
          </w:tcPr>
          <w:p>
            <w:r>
              <w:t>声学整机大幅扩张（+79.95%），疫情红利推动智能硬件高增（+107.34%）</w:t>
            </w:r>
          </w:p>
        </w:tc>
      </w:tr>
      <w:tr>
        <w:tc>
          <w:tcPr>
            <w:tcW w:type="dxa" w:w="2160"/>
          </w:tcPr>
          <w:p>
            <w:r>
              <w:t>2021</w:t>
            </w:r>
          </w:p>
        </w:tc>
        <w:tc>
          <w:tcPr>
            <w:tcW w:type="dxa" w:w="2160"/>
          </w:tcPr>
          <w:p>
            <w:r>
              <w:t>782.21</w:t>
            </w:r>
          </w:p>
        </w:tc>
        <w:tc>
          <w:tcPr>
            <w:tcW w:type="dxa" w:w="2160"/>
          </w:tcPr>
          <w:p>
            <w:r>
              <w:t>+35.47%</w:t>
            </w:r>
          </w:p>
        </w:tc>
        <w:tc>
          <w:tcPr>
            <w:tcW w:type="dxa" w:w="2160"/>
          </w:tcPr>
          <w:p>
            <w:r>
              <w:t>VR虚拟现实高速增长（+85.87%），TWS持续贡献（+13.58%）</w:t>
            </w:r>
          </w:p>
        </w:tc>
      </w:tr>
      <w:tr>
        <w:tc>
          <w:tcPr>
            <w:tcW w:type="dxa" w:w="2160"/>
          </w:tcPr>
          <w:p>
            <w:r>
              <w:t>2022</w:t>
            </w:r>
          </w:p>
        </w:tc>
        <w:tc>
          <w:tcPr>
            <w:tcW w:type="dxa" w:w="2160"/>
          </w:tcPr>
          <w:p>
            <w:r>
              <w:t>1,048.94</w:t>
            </w:r>
          </w:p>
        </w:tc>
        <w:tc>
          <w:tcPr>
            <w:tcW w:type="dxa" w:w="2160"/>
          </w:tcPr>
          <w:p>
            <w:r>
              <w:t>+34.10%</w:t>
            </w:r>
          </w:p>
        </w:tc>
        <w:tc>
          <w:tcPr>
            <w:tcW w:type="dxa" w:w="2160"/>
          </w:tcPr>
          <w:p>
            <w:r>
              <w:t>VR/AR智能硬件放量（智能硬件+92.27%），声学整机稳定增长</w:t>
            </w:r>
          </w:p>
        </w:tc>
      </w:tr>
      <w:tr>
        <w:tc>
          <w:tcPr>
            <w:tcW w:type="dxa" w:w="2160"/>
          </w:tcPr>
          <w:p>
            <w:r>
              <w:t>2023</w:t>
            </w:r>
          </w:p>
        </w:tc>
        <w:tc>
          <w:tcPr>
            <w:tcW w:type="dxa" w:w="2160"/>
          </w:tcPr>
          <w:p>
            <w:r>
              <w:t>985.74</w:t>
            </w:r>
          </w:p>
        </w:tc>
        <w:tc>
          <w:tcPr>
            <w:tcW w:type="dxa" w:w="2160"/>
          </w:tcPr>
          <w:p>
            <w:r>
              <w:t>-6.03%</w:t>
            </w:r>
          </w:p>
        </w:tc>
        <w:tc>
          <w:tcPr>
            <w:tcW w:type="dxa" w:w="2160"/>
          </w:tcPr>
          <w:p>
            <w:r>
              <w:t>全球消费电子需求下行，VR硬件出货量下降</w:t>
            </w:r>
          </w:p>
        </w:tc>
      </w:tr>
      <w:tr>
        <w:tc>
          <w:tcPr>
            <w:tcW w:type="dxa" w:w="2160"/>
          </w:tcPr>
          <w:p>
            <w:r>
              <w:t>2024</w:t>
            </w:r>
          </w:p>
        </w:tc>
        <w:tc>
          <w:tcPr>
            <w:tcW w:type="dxa" w:w="2160"/>
          </w:tcPr>
          <w:p>
            <w:r>
              <w:t>1,009.54</w:t>
            </w:r>
          </w:p>
        </w:tc>
        <w:tc>
          <w:tcPr>
            <w:tcW w:type="dxa" w:w="2160"/>
          </w:tcPr>
          <w:p>
            <w:r>
              <w:t>+2.41%</w:t>
            </w:r>
          </w:p>
        </w:tc>
        <w:tc>
          <w:tcPr>
            <w:tcW w:type="dxa" w:w="2160"/>
          </w:tcPr>
          <w:p>
            <w:r>
              <w:t>AI智能硬件需求复苏，精密零组件业务恢复增长</w:t>
            </w:r>
          </w:p>
        </w:tc>
      </w:tr>
    </w:tbl>
    <w:p/>
    <w:p>
      <w:pPr>
        <w:ind w:firstLine="0"/>
      </w:pPr>
      <w:r>
        <w:rPr>
          <w:sz w:val="18"/>
        </w:rPr>
        <w:t>注：营业收入数据来源：2019—2021年各年度报告主要财务指标页；2022—2024年各年度报告及财务决算报告。各产品线增速来源于各年度年报营业收入构成分析表。</w:t>
      </w:r>
    </w:p>
    <w:p>
      <w:pPr>
        <w:ind w:firstLine="480"/>
      </w:pPr>
      <w:r>
        <w:t>从营业收入变动来看，歌尔股份2019—2024年经历了完整的业务周期。2019—2022年为高速扩张期，四年营业收入年均复合增长率达44.4%，从351.48亿元增至1,048.94亿元（峰值），其核心驱动力在于消费电子行业中TWS无线耳机（2019—2020年爆发）、VR/AR硬件（2021—2022年高增）等新兴品类的持续放量，以及公司在大客户ODM/JDM模式下深度绑定苹果、Meta等全球顶级客户所带来的订单增长。2023年受全球消费电子需求下行、VR硬件市场增速放缓及客户订单调整影响，营业收入同比下降6.03%至985.74亿元。2024年随AI智能硬件需求复苏（AI耳机、AI眼镜等新品类放量）及精密零组件业务恢复增长，营业收入小幅回升至1,009.54亿元（同比+2.41%），显示出公司在产品结构持续升级背景下的韧性。</w:t>
      </w:r>
    </w:p>
    <w:p>
      <w:pPr>
        <w:pStyle w:val="Heading3"/>
      </w:pPr>
      <w:r>
        <w:t>4.2.2  营业利润分析</w:t>
      </w:r>
    </w:p>
    <w:p>
      <w:pPr>
        <w:ind w:firstLine="480"/>
      </w:pPr>
      <w:r>
        <w:t>营业利润和归母净利润是衡量企业核心经营盈利能力的关键指标。歌尔股份2019—2024年营业利润情况如表4-8所示。</w:t>
      </w:r>
    </w:p>
    <w:p>
      <w:pPr>
        <w:jc w:val="center"/>
      </w:pPr>
      <w:r>
        <w:rPr>
          <w:b/>
        </w:rPr>
        <w:t>表4-8  歌尔股份2019—2024年营业利润情况</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年份</w:t>
            </w:r>
          </w:p>
        </w:tc>
        <w:tc>
          <w:tcPr>
            <w:tcW w:type="dxa" w:w="1440"/>
          </w:tcPr>
          <w:p>
            <w:r>
              <w:rPr>
                <w:b/>
              </w:rPr>
              <w:t>营业收入</w:t>
              <w:br/>
              <w:t>（亿元）</w:t>
            </w:r>
          </w:p>
        </w:tc>
        <w:tc>
          <w:tcPr>
            <w:tcW w:type="dxa" w:w="1440"/>
          </w:tcPr>
          <w:p>
            <w:r>
              <w:rPr>
                <w:b/>
              </w:rPr>
              <w:t>营业利润</w:t>
              <w:br/>
              <w:t>（亿元）</w:t>
            </w:r>
          </w:p>
        </w:tc>
        <w:tc>
          <w:tcPr>
            <w:tcW w:type="dxa" w:w="1440"/>
          </w:tcPr>
          <w:p>
            <w:r>
              <w:rPr>
                <w:b/>
              </w:rPr>
              <w:t>营业利润率</w:t>
            </w:r>
          </w:p>
        </w:tc>
        <w:tc>
          <w:tcPr>
            <w:tcW w:type="dxa" w:w="1440"/>
          </w:tcPr>
          <w:p>
            <w:r>
              <w:rPr>
                <w:b/>
              </w:rPr>
              <w:t>归母净利润</w:t>
              <w:br/>
              <w:t>（亿元）</w:t>
            </w:r>
          </w:p>
        </w:tc>
        <w:tc>
          <w:tcPr>
            <w:tcW w:type="dxa" w:w="1440"/>
          </w:tcPr>
          <w:p>
            <w:r>
              <w:rPr>
                <w:b/>
              </w:rPr>
              <w:t>归母净利润</w:t>
              <w:br/>
              <w:t>同比增速</w:t>
            </w:r>
          </w:p>
        </w:tc>
      </w:tr>
      <w:tr>
        <w:tc>
          <w:tcPr>
            <w:tcW w:type="dxa" w:w="1440"/>
          </w:tcPr>
          <w:p>
            <w:r>
              <w:t>2019</w:t>
            </w:r>
          </w:p>
        </w:tc>
        <w:tc>
          <w:tcPr>
            <w:tcW w:type="dxa" w:w="1440"/>
          </w:tcPr>
          <w:p>
            <w:r>
              <w:t>351.48</w:t>
            </w:r>
          </w:p>
        </w:tc>
        <w:tc>
          <w:tcPr>
            <w:tcW w:type="dxa" w:w="1440"/>
          </w:tcPr>
          <w:p>
            <w:r>
              <w:t>14.96</w:t>
            </w:r>
          </w:p>
        </w:tc>
        <w:tc>
          <w:tcPr>
            <w:tcW w:type="dxa" w:w="1440"/>
          </w:tcPr>
          <w:p>
            <w:r>
              <w:t>4.26%</w:t>
            </w:r>
          </w:p>
        </w:tc>
        <w:tc>
          <w:tcPr>
            <w:tcW w:type="dxa" w:w="1440"/>
          </w:tcPr>
          <w:p>
            <w:r>
              <w:t>12.81</w:t>
            </w:r>
          </w:p>
        </w:tc>
        <w:tc>
          <w:tcPr>
            <w:tcW w:type="dxa" w:w="1440"/>
          </w:tcPr>
          <w:p>
            <w:r>
              <w:t>+47.58%</w:t>
            </w:r>
          </w:p>
        </w:tc>
      </w:tr>
      <w:tr>
        <w:tc>
          <w:tcPr>
            <w:tcW w:type="dxa" w:w="1440"/>
          </w:tcPr>
          <w:p>
            <w:r>
              <w:t>2020</w:t>
            </w:r>
          </w:p>
        </w:tc>
        <w:tc>
          <w:tcPr>
            <w:tcW w:type="dxa" w:w="1440"/>
          </w:tcPr>
          <w:p>
            <w:r>
              <w:t>577.43</w:t>
            </w:r>
          </w:p>
        </w:tc>
        <w:tc>
          <w:tcPr>
            <w:tcW w:type="dxa" w:w="1440"/>
          </w:tcPr>
          <w:p>
            <w:r>
              <w:t>32.61</w:t>
            </w:r>
          </w:p>
        </w:tc>
        <w:tc>
          <w:tcPr>
            <w:tcW w:type="dxa" w:w="1440"/>
          </w:tcPr>
          <w:p>
            <w:r>
              <w:t>5.65%</w:t>
            </w:r>
          </w:p>
        </w:tc>
        <w:tc>
          <w:tcPr>
            <w:tcW w:type="dxa" w:w="1440"/>
          </w:tcPr>
          <w:p>
            <w:r>
              <w:t>28.48</w:t>
            </w:r>
          </w:p>
        </w:tc>
        <w:tc>
          <w:tcPr>
            <w:tcW w:type="dxa" w:w="1440"/>
          </w:tcPr>
          <w:p>
            <w:r>
              <w:t>+122.41%</w:t>
            </w:r>
          </w:p>
        </w:tc>
      </w:tr>
      <w:tr>
        <w:tc>
          <w:tcPr>
            <w:tcW w:type="dxa" w:w="1440"/>
          </w:tcPr>
          <w:p>
            <w:r>
              <w:t>2021</w:t>
            </w:r>
          </w:p>
        </w:tc>
        <w:tc>
          <w:tcPr>
            <w:tcW w:type="dxa" w:w="1440"/>
          </w:tcPr>
          <w:p>
            <w:r>
              <w:t>782.21</w:t>
            </w:r>
          </w:p>
        </w:tc>
        <w:tc>
          <w:tcPr>
            <w:tcW w:type="dxa" w:w="1440"/>
          </w:tcPr>
          <w:p>
            <w:r>
              <w:t>46.83</w:t>
            </w:r>
          </w:p>
        </w:tc>
        <w:tc>
          <w:tcPr>
            <w:tcW w:type="dxa" w:w="1440"/>
          </w:tcPr>
          <w:p>
            <w:r>
              <w:t>5.99%</w:t>
            </w:r>
          </w:p>
        </w:tc>
        <w:tc>
          <w:tcPr>
            <w:tcW w:type="dxa" w:w="1440"/>
          </w:tcPr>
          <w:p>
            <w:r>
              <w:t>42.75</w:t>
            </w:r>
          </w:p>
        </w:tc>
        <w:tc>
          <w:tcPr>
            <w:tcW w:type="dxa" w:w="1440"/>
          </w:tcPr>
          <w:p>
            <w:r>
              <w:t>+50.09%</w:t>
            </w:r>
          </w:p>
        </w:tc>
      </w:tr>
      <w:tr>
        <w:tc>
          <w:tcPr>
            <w:tcW w:type="dxa" w:w="1440"/>
          </w:tcPr>
          <w:p>
            <w:r>
              <w:t>2022</w:t>
            </w:r>
          </w:p>
        </w:tc>
        <w:tc>
          <w:tcPr>
            <w:tcW w:type="dxa" w:w="1440"/>
          </w:tcPr>
          <w:p>
            <w:r>
              <w:t>1,048.94</w:t>
            </w:r>
          </w:p>
        </w:tc>
        <w:tc>
          <w:tcPr>
            <w:tcW w:type="dxa" w:w="1440"/>
          </w:tcPr>
          <w:p>
            <w:r>
              <w:t>16.10</w:t>
            </w:r>
          </w:p>
        </w:tc>
        <w:tc>
          <w:tcPr>
            <w:tcW w:type="dxa" w:w="1440"/>
          </w:tcPr>
          <w:p>
            <w:r>
              <w:t>1.54%</w:t>
            </w:r>
          </w:p>
        </w:tc>
        <w:tc>
          <w:tcPr>
            <w:tcW w:type="dxa" w:w="1440"/>
          </w:tcPr>
          <w:p>
            <w:r>
              <w:t>17.49</w:t>
            </w:r>
          </w:p>
        </w:tc>
        <w:tc>
          <w:tcPr>
            <w:tcW w:type="dxa" w:w="1440"/>
          </w:tcPr>
          <w:p>
            <w:r>
              <w:t>-59.08%</w:t>
            </w:r>
          </w:p>
        </w:tc>
      </w:tr>
      <w:tr>
        <w:tc>
          <w:tcPr>
            <w:tcW w:type="dxa" w:w="1440"/>
          </w:tcPr>
          <w:p>
            <w:r>
              <w:t>2023</w:t>
            </w:r>
          </w:p>
        </w:tc>
        <w:tc>
          <w:tcPr>
            <w:tcW w:type="dxa" w:w="1440"/>
          </w:tcPr>
          <w:p>
            <w:r>
              <w:t>985.74</w:t>
            </w:r>
          </w:p>
        </w:tc>
        <w:tc>
          <w:tcPr>
            <w:tcW w:type="dxa" w:w="1440"/>
          </w:tcPr>
          <w:p>
            <w:r>
              <w:t>9.09</w:t>
            </w:r>
          </w:p>
        </w:tc>
        <w:tc>
          <w:tcPr>
            <w:tcW w:type="dxa" w:w="1440"/>
          </w:tcPr>
          <w:p>
            <w:r>
              <w:t>0.92%</w:t>
            </w:r>
          </w:p>
        </w:tc>
        <w:tc>
          <w:tcPr>
            <w:tcW w:type="dxa" w:w="1440"/>
          </w:tcPr>
          <w:p>
            <w:r>
              <w:t>10.88</w:t>
            </w:r>
          </w:p>
        </w:tc>
        <w:tc>
          <w:tcPr>
            <w:tcW w:type="dxa" w:w="1440"/>
          </w:tcPr>
          <w:p>
            <w:r>
              <w:t>-37.80%</w:t>
            </w:r>
          </w:p>
        </w:tc>
      </w:tr>
      <w:tr>
        <w:tc>
          <w:tcPr>
            <w:tcW w:type="dxa" w:w="1440"/>
          </w:tcPr>
          <w:p>
            <w:r>
              <w:t>2024</w:t>
            </w:r>
          </w:p>
        </w:tc>
        <w:tc>
          <w:tcPr>
            <w:tcW w:type="dxa" w:w="1440"/>
          </w:tcPr>
          <w:p>
            <w:r>
              <w:t>1,009.54</w:t>
            </w:r>
          </w:p>
        </w:tc>
        <w:tc>
          <w:tcPr>
            <w:tcW w:type="dxa" w:w="1440"/>
          </w:tcPr>
          <w:p>
            <w:r>
              <w:t>28.47</w:t>
            </w:r>
          </w:p>
        </w:tc>
        <w:tc>
          <w:tcPr>
            <w:tcW w:type="dxa" w:w="1440"/>
          </w:tcPr>
          <w:p>
            <w:r>
              <w:t>2.82%</w:t>
            </w:r>
          </w:p>
        </w:tc>
        <w:tc>
          <w:tcPr>
            <w:tcW w:type="dxa" w:w="1440"/>
          </w:tcPr>
          <w:p>
            <w:r>
              <w:t>26.65</w:t>
            </w:r>
          </w:p>
        </w:tc>
        <w:tc>
          <w:tcPr>
            <w:tcW w:type="dxa" w:w="1440"/>
          </w:tcPr>
          <w:p>
            <w:r>
              <w:t>+144.93%</w:t>
            </w:r>
          </w:p>
        </w:tc>
      </w:tr>
    </w:tbl>
    <w:p/>
    <w:p>
      <w:pPr>
        <w:ind w:firstLine="0"/>
      </w:pPr>
      <w:r>
        <w:rPr>
          <w:sz w:val="18"/>
        </w:rPr>
        <w:t>注：①营业利润数据来源：2019年合并利润表第77页（14.96亿元）；2020年合并利润表第87页（32.61亿元）；2021年合并利润表第99页（46.83亿元）；2022—2024年各年度财务决算报告。②归母净利润来源：各年度年报主要财务指标页。</w:t>
      </w:r>
    </w:p>
    <w:p>
      <w:pPr>
        <w:ind w:firstLine="480"/>
      </w:pPr>
      <w:r>
        <w:t>从营业利润变动来看，歌尔股份六年间经历了"强劲增长—急剧下滑—显著反弹"的盈利周期。2019—2021年为盈利高速增长期：营业利润从14.96亿元增至46.83亿元，营业利润率从4.26%持续提升至5.99%，2021年成为研究期间盈利的历史最高点；这一阶段的利润增长得益于以VR/TWS为代表的高毛利产品占比提升、规模效应的持续释放以及精细化运营能力的显著改善。2022年遭遇盈利"滑铁卢"：营业利润大幅下滑至16.10亿元（降幅65.60%），主要原因是直接材料成本同比大幅上涨43.88%，且报告期内因大客户个别项目出现大额资产减值（约17.83亿元），双重压力导致利润严重承压；归母净利润降至17.49亿元（降幅59.08%）。2023年营业利润进一步降至9.09亿元（降幅43.55%），为研究期间最低点，存货减值损失虽有收窄，但消费需求疲软压制了盈利修复空间。2024年营业利润大幅反弹至28.47亿元（同比+213.19%），归母净利润26.65亿元（同比+144.93%），主要受益于材料成本改善、存货减值损失大幅收窄及AI硬件新品类带来的边际收益提升；两项指标均创2021年以来新高，展示出公司盈利修复能力。</w:t>
      </w:r>
    </w:p>
    <w:p>
      <w:pPr>
        <w:pStyle w:val="Heading3"/>
      </w:pPr>
      <w:r>
        <w:t>4.2.3  成本与收益对比分析</w:t>
      </w:r>
    </w:p>
    <w:p>
      <w:pPr>
        <w:ind w:firstLine="480"/>
      </w:pPr>
      <w:r>
        <w:t>成本与收益的对比分析旨在评估物资供应管理效率对企业盈利能力的实质影响。综合上述成本与收益数据，汇总如表4-9所示。</w:t>
      </w:r>
    </w:p>
    <w:p>
      <w:pPr>
        <w:jc w:val="center"/>
      </w:pPr>
      <w:r>
        <w:rPr>
          <w:b/>
        </w:rPr>
        <w:t>表4-9  歌尔股份2019—2024年成本与收益对比汇总</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指标</w:t>
            </w:r>
          </w:p>
        </w:tc>
        <w:tc>
          <w:tcPr>
            <w:tcW w:type="dxa" w:w="1234"/>
          </w:tcPr>
          <w:p>
            <w:r>
              <w:rPr>
                <w:b/>
              </w:rPr>
              <w:t>2019年</w:t>
            </w:r>
          </w:p>
        </w:tc>
        <w:tc>
          <w:tcPr>
            <w:tcW w:type="dxa" w:w="1234"/>
          </w:tcPr>
          <w:p>
            <w:r>
              <w:rPr>
                <w:b/>
              </w:rPr>
              <w:t>2020年</w:t>
            </w:r>
          </w:p>
        </w:tc>
        <w:tc>
          <w:tcPr>
            <w:tcW w:type="dxa" w:w="1234"/>
          </w:tcPr>
          <w:p>
            <w:r>
              <w:rPr>
                <w:b/>
              </w:rPr>
              <w:t>2021年</w:t>
            </w:r>
          </w:p>
        </w:tc>
        <w:tc>
          <w:tcPr>
            <w:tcW w:type="dxa" w:w="1234"/>
          </w:tcPr>
          <w:p>
            <w:r>
              <w:rPr>
                <w:b/>
              </w:rPr>
              <w:t>2022年</w:t>
            </w:r>
          </w:p>
        </w:tc>
        <w:tc>
          <w:tcPr>
            <w:tcW w:type="dxa" w:w="1234"/>
          </w:tcPr>
          <w:p>
            <w:r>
              <w:rPr>
                <w:b/>
              </w:rPr>
              <w:t>2023年</w:t>
            </w:r>
          </w:p>
        </w:tc>
        <w:tc>
          <w:tcPr>
            <w:tcW w:type="dxa" w:w="1234"/>
          </w:tcPr>
          <w:p>
            <w:r>
              <w:rPr>
                <w:b/>
              </w:rPr>
              <w:t>2024年</w:t>
            </w:r>
          </w:p>
        </w:tc>
      </w:tr>
      <w:tr>
        <w:tc>
          <w:tcPr>
            <w:tcW w:type="dxa" w:w="1234"/>
          </w:tcPr>
          <w:p>
            <w:r>
              <w:t>营业收入（亿元）</w:t>
            </w:r>
          </w:p>
        </w:tc>
        <w:tc>
          <w:tcPr>
            <w:tcW w:type="dxa" w:w="1234"/>
          </w:tcPr>
          <w:p>
            <w:r>
              <w:t>351.48</w:t>
            </w:r>
          </w:p>
        </w:tc>
        <w:tc>
          <w:tcPr>
            <w:tcW w:type="dxa" w:w="1234"/>
          </w:tcPr>
          <w:p>
            <w:r>
              <w:t>577.43</w:t>
            </w:r>
          </w:p>
        </w:tc>
        <w:tc>
          <w:tcPr>
            <w:tcW w:type="dxa" w:w="1234"/>
          </w:tcPr>
          <w:p>
            <w:r>
              <w:t>782.21</w:t>
            </w:r>
          </w:p>
        </w:tc>
        <w:tc>
          <w:tcPr>
            <w:tcW w:type="dxa" w:w="1234"/>
          </w:tcPr>
          <w:p>
            <w:r>
              <w:t>1,048.94</w:t>
            </w:r>
          </w:p>
        </w:tc>
        <w:tc>
          <w:tcPr>
            <w:tcW w:type="dxa" w:w="1234"/>
          </w:tcPr>
          <w:p>
            <w:r>
              <w:t>985.74</w:t>
            </w:r>
          </w:p>
        </w:tc>
        <w:tc>
          <w:tcPr>
            <w:tcW w:type="dxa" w:w="1234"/>
          </w:tcPr>
          <w:p>
            <w:r>
              <w:t>1,009.54</w:t>
            </w:r>
          </w:p>
        </w:tc>
      </w:tr>
      <w:tr>
        <w:tc>
          <w:tcPr>
            <w:tcW w:type="dxa" w:w="1234"/>
          </w:tcPr>
          <w:p>
            <w:r>
              <w:t>物资供应综合成本（亿元）</w:t>
            </w:r>
          </w:p>
        </w:tc>
        <w:tc>
          <w:tcPr>
            <w:tcW w:type="dxa" w:w="1234"/>
          </w:tcPr>
          <w:p>
            <w:r>
              <w:t>238.23</w:t>
            </w:r>
          </w:p>
        </w:tc>
        <w:tc>
          <w:tcPr>
            <w:tcW w:type="dxa" w:w="1234"/>
          </w:tcPr>
          <w:p>
            <w:r>
              <w:t>413.63</w:t>
            </w:r>
          </w:p>
        </w:tc>
        <w:tc>
          <w:tcPr>
            <w:tcW w:type="dxa" w:w="1234"/>
          </w:tcPr>
          <w:p>
            <w:r>
              <w:t>588.25</w:t>
            </w:r>
          </w:p>
        </w:tc>
        <w:tc>
          <w:tcPr>
            <w:tcW w:type="dxa" w:w="1234"/>
          </w:tcPr>
          <w:p>
            <w:r>
              <w:t>844.82</w:t>
            </w:r>
          </w:p>
        </w:tc>
        <w:tc>
          <w:tcPr>
            <w:tcW w:type="dxa" w:w="1234"/>
          </w:tcPr>
          <w:p>
            <w:r>
              <w:t>789.46</w:t>
            </w:r>
          </w:p>
        </w:tc>
        <w:tc>
          <w:tcPr>
            <w:tcW w:type="dxa" w:w="1234"/>
          </w:tcPr>
          <w:p>
            <w:r>
              <w:t>791.73</w:t>
            </w:r>
          </w:p>
        </w:tc>
      </w:tr>
      <w:tr>
        <w:tc>
          <w:tcPr>
            <w:tcW w:type="dxa" w:w="1234"/>
          </w:tcPr>
          <w:p>
            <w:r>
              <w:t>综合成本/营业收入</w:t>
            </w:r>
          </w:p>
        </w:tc>
        <w:tc>
          <w:tcPr>
            <w:tcW w:type="dxa" w:w="1234"/>
          </w:tcPr>
          <w:p>
            <w:r>
              <w:t>67.8%</w:t>
            </w:r>
          </w:p>
        </w:tc>
        <w:tc>
          <w:tcPr>
            <w:tcW w:type="dxa" w:w="1234"/>
          </w:tcPr>
          <w:p>
            <w:r>
              <w:t>71.6%</w:t>
            </w:r>
          </w:p>
        </w:tc>
        <w:tc>
          <w:tcPr>
            <w:tcW w:type="dxa" w:w="1234"/>
          </w:tcPr>
          <w:p>
            <w:r>
              <w:t>75.2%</w:t>
            </w:r>
          </w:p>
        </w:tc>
        <w:tc>
          <w:tcPr>
            <w:tcW w:type="dxa" w:w="1234"/>
          </w:tcPr>
          <w:p>
            <w:r>
              <w:t>80.5%</w:t>
            </w:r>
          </w:p>
        </w:tc>
        <w:tc>
          <w:tcPr>
            <w:tcW w:type="dxa" w:w="1234"/>
          </w:tcPr>
          <w:p>
            <w:r>
              <w:t>80.1%</w:t>
            </w:r>
          </w:p>
        </w:tc>
        <w:tc>
          <w:tcPr>
            <w:tcW w:type="dxa" w:w="1234"/>
          </w:tcPr>
          <w:p>
            <w:r>
              <w:t>78.4%</w:t>
            </w:r>
          </w:p>
        </w:tc>
      </w:tr>
      <w:tr>
        <w:tc>
          <w:tcPr>
            <w:tcW w:type="dxa" w:w="1234"/>
          </w:tcPr>
          <w:p>
            <w:r>
              <w:t>营业利润（亿元）</w:t>
            </w:r>
          </w:p>
        </w:tc>
        <w:tc>
          <w:tcPr>
            <w:tcW w:type="dxa" w:w="1234"/>
          </w:tcPr>
          <w:p>
            <w:r>
              <w:t>14.96</w:t>
            </w:r>
          </w:p>
        </w:tc>
        <w:tc>
          <w:tcPr>
            <w:tcW w:type="dxa" w:w="1234"/>
          </w:tcPr>
          <w:p>
            <w:r>
              <w:t>32.61</w:t>
            </w:r>
          </w:p>
        </w:tc>
        <w:tc>
          <w:tcPr>
            <w:tcW w:type="dxa" w:w="1234"/>
          </w:tcPr>
          <w:p>
            <w:r>
              <w:t>46.83</w:t>
            </w:r>
          </w:p>
        </w:tc>
        <w:tc>
          <w:tcPr>
            <w:tcW w:type="dxa" w:w="1234"/>
          </w:tcPr>
          <w:p>
            <w:r>
              <w:t>16.10</w:t>
            </w:r>
          </w:p>
        </w:tc>
        <w:tc>
          <w:tcPr>
            <w:tcW w:type="dxa" w:w="1234"/>
          </w:tcPr>
          <w:p>
            <w:r>
              <w:t>9.09</w:t>
            </w:r>
          </w:p>
        </w:tc>
        <w:tc>
          <w:tcPr>
            <w:tcW w:type="dxa" w:w="1234"/>
          </w:tcPr>
          <w:p>
            <w:r>
              <w:t>28.47</w:t>
            </w:r>
          </w:p>
        </w:tc>
      </w:tr>
      <w:tr>
        <w:tc>
          <w:tcPr>
            <w:tcW w:type="dxa" w:w="1234"/>
          </w:tcPr>
          <w:p>
            <w:r>
              <w:t>营业利润率</w:t>
            </w:r>
          </w:p>
        </w:tc>
        <w:tc>
          <w:tcPr>
            <w:tcW w:type="dxa" w:w="1234"/>
          </w:tcPr>
          <w:p>
            <w:r>
              <w:t>4.26%</w:t>
            </w:r>
          </w:p>
        </w:tc>
        <w:tc>
          <w:tcPr>
            <w:tcW w:type="dxa" w:w="1234"/>
          </w:tcPr>
          <w:p>
            <w:r>
              <w:t>5.65%</w:t>
            </w:r>
          </w:p>
        </w:tc>
        <w:tc>
          <w:tcPr>
            <w:tcW w:type="dxa" w:w="1234"/>
          </w:tcPr>
          <w:p>
            <w:r>
              <w:t>5.99%</w:t>
            </w:r>
          </w:p>
        </w:tc>
        <w:tc>
          <w:tcPr>
            <w:tcW w:type="dxa" w:w="1234"/>
          </w:tcPr>
          <w:p>
            <w:r>
              <w:t>1.54%</w:t>
            </w:r>
          </w:p>
        </w:tc>
        <w:tc>
          <w:tcPr>
            <w:tcW w:type="dxa" w:w="1234"/>
          </w:tcPr>
          <w:p>
            <w:r>
              <w:t>0.92%</w:t>
            </w:r>
          </w:p>
        </w:tc>
        <w:tc>
          <w:tcPr>
            <w:tcW w:type="dxa" w:w="1234"/>
          </w:tcPr>
          <w:p>
            <w:r>
              <w:t>2.82%</w:t>
            </w:r>
          </w:p>
        </w:tc>
      </w:tr>
      <w:tr>
        <w:tc>
          <w:tcPr>
            <w:tcW w:type="dxa" w:w="1234"/>
          </w:tcPr>
          <w:p>
            <w:r>
              <w:t>归母净利润（亿元）</w:t>
            </w:r>
          </w:p>
        </w:tc>
        <w:tc>
          <w:tcPr>
            <w:tcW w:type="dxa" w:w="1234"/>
          </w:tcPr>
          <w:p>
            <w:r>
              <w:t>12.81</w:t>
            </w:r>
          </w:p>
        </w:tc>
        <w:tc>
          <w:tcPr>
            <w:tcW w:type="dxa" w:w="1234"/>
          </w:tcPr>
          <w:p>
            <w:r>
              <w:t>28.48</w:t>
            </w:r>
          </w:p>
        </w:tc>
        <w:tc>
          <w:tcPr>
            <w:tcW w:type="dxa" w:w="1234"/>
          </w:tcPr>
          <w:p>
            <w:r>
              <w:t>42.75</w:t>
            </w:r>
          </w:p>
        </w:tc>
        <w:tc>
          <w:tcPr>
            <w:tcW w:type="dxa" w:w="1234"/>
          </w:tcPr>
          <w:p>
            <w:r>
              <w:t>17.49</w:t>
            </w:r>
          </w:p>
        </w:tc>
        <w:tc>
          <w:tcPr>
            <w:tcW w:type="dxa" w:w="1234"/>
          </w:tcPr>
          <w:p>
            <w:r>
              <w:t>10.88</w:t>
            </w:r>
          </w:p>
        </w:tc>
        <w:tc>
          <w:tcPr>
            <w:tcW w:type="dxa" w:w="1234"/>
          </w:tcPr>
          <w:p>
            <w:r>
              <w:t>26.65</w:t>
            </w:r>
          </w:p>
        </w:tc>
      </w:tr>
      <w:tr>
        <w:tc>
          <w:tcPr>
            <w:tcW w:type="dxa" w:w="1234"/>
          </w:tcPr>
          <w:p>
            <w:r>
              <w:t>期末存货（亿元）</w:t>
            </w:r>
          </w:p>
        </w:tc>
        <w:tc>
          <w:tcPr>
            <w:tcW w:type="dxa" w:w="1234"/>
          </w:tcPr>
          <w:p>
            <w:r>
              <w:t>52.96</w:t>
            </w:r>
          </w:p>
        </w:tc>
        <w:tc>
          <w:tcPr>
            <w:tcW w:type="dxa" w:w="1234"/>
          </w:tcPr>
          <w:p>
            <w:r>
              <w:t>91.71</w:t>
            </w:r>
          </w:p>
        </w:tc>
        <w:tc>
          <w:tcPr>
            <w:tcW w:type="dxa" w:w="1234"/>
          </w:tcPr>
          <w:p>
            <w:r>
              <w:t>120.82</w:t>
            </w:r>
          </w:p>
        </w:tc>
        <w:tc>
          <w:tcPr>
            <w:tcW w:type="dxa" w:w="1234"/>
          </w:tcPr>
          <w:p>
            <w:r>
              <w:t>173.49</w:t>
            </w:r>
          </w:p>
        </w:tc>
        <w:tc>
          <w:tcPr>
            <w:tcW w:type="dxa" w:w="1234"/>
          </w:tcPr>
          <w:p>
            <w:r>
              <w:t>107.95</w:t>
            </w:r>
          </w:p>
        </w:tc>
        <w:tc>
          <w:tcPr>
            <w:tcW w:type="dxa" w:w="1234"/>
          </w:tcPr>
          <w:p>
            <w:r>
              <w:t>104.79</w:t>
            </w:r>
          </w:p>
        </w:tc>
      </w:tr>
      <w:tr>
        <w:tc>
          <w:tcPr>
            <w:tcW w:type="dxa" w:w="1234"/>
          </w:tcPr>
          <w:p>
            <w:r>
              <w:t>存货周转率（次/年）</w:t>
            </w:r>
          </w:p>
        </w:tc>
        <w:tc>
          <w:tcPr>
            <w:tcW w:type="dxa" w:w="1234"/>
          </w:tcPr>
          <w:p>
            <w:r>
              <w:t>约6.72</w:t>
            </w:r>
          </w:p>
        </w:tc>
        <w:tc>
          <w:tcPr>
            <w:tcW w:type="dxa" w:w="1234"/>
          </w:tcPr>
          <w:p>
            <w:r>
              <w:t>约6.70</w:t>
            </w:r>
          </w:p>
        </w:tc>
        <w:tc>
          <w:tcPr>
            <w:tcW w:type="dxa" w:w="1234"/>
          </w:tcPr>
          <w:p>
            <w:r>
              <w:t>6.22</w:t>
            </w:r>
          </w:p>
        </w:tc>
        <w:tc>
          <w:tcPr>
            <w:tcW w:type="dxa" w:w="1234"/>
          </w:tcPr>
          <w:p>
            <w:r>
              <w:t>6.07</w:t>
            </w:r>
          </w:p>
        </w:tc>
        <w:tc>
          <w:tcPr>
            <w:tcW w:type="dxa" w:w="1234"/>
          </w:tcPr>
          <w:p>
            <w:r>
              <w:t>6.10</w:t>
            </w:r>
          </w:p>
        </w:tc>
        <w:tc>
          <w:tcPr>
            <w:tcW w:type="dxa" w:w="1234"/>
          </w:tcPr>
          <w:p>
            <w:r>
              <w:t>8.26</w:t>
            </w:r>
          </w:p>
        </w:tc>
      </w:tr>
      <w:tr>
        <w:tc>
          <w:tcPr>
            <w:tcW w:type="dxa" w:w="1234"/>
          </w:tcPr>
          <w:p>
            <w:r>
              <w:t>存货周转天数（天）</w:t>
            </w:r>
          </w:p>
        </w:tc>
        <w:tc>
          <w:tcPr>
            <w:tcW w:type="dxa" w:w="1234"/>
          </w:tcPr>
          <w:p>
            <w:r>
              <w:t>约54</w:t>
            </w:r>
          </w:p>
        </w:tc>
        <w:tc>
          <w:tcPr>
            <w:tcW w:type="dxa" w:w="1234"/>
          </w:tcPr>
          <w:p>
            <w:r>
              <w:t>约55</w:t>
            </w:r>
          </w:p>
        </w:tc>
        <w:tc>
          <w:tcPr>
            <w:tcW w:type="dxa" w:w="1234"/>
          </w:tcPr>
          <w:p>
            <w:r>
              <w:t>58</w:t>
            </w:r>
          </w:p>
        </w:tc>
        <w:tc>
          <w:tcPr>
            <w:tcW w:type="dxa" w:w="1234"/>
          </w:tcPr>
          <w:p>
            <w:r>
              <w:t>59</w:t>
            </w:r>
          </w:p>
        </w:tc>
        <w:tc>
          <w:tcPr>
            <w:tcW w:type="dxa" w:w="1234"/>
          </w:tcPr>
          <w:p>
            <w:r>
              <w:t>59</w:t>
            </w:r>
          </w:p>
        </w:tc>
        <w:tc>
          <w:tcPr>
            <w:tcW w:type="dxa" w:w="1234"/>
          </w:tcPr>
          <w:p>
            <w:r>
              <w:t>44</w:t>
            </w:r>
          </w:p>
        </w:tc>
      </w:tr>
    </w:tbl>
    <w:p/>
    <w:p>
      <w:pPr>
        <w:ind w:firstLine="480"/>
      </w:pPr>
      <w:r>
        <w:t>从表4-9的综合对比分析可以得出以下几点结论。</w:t>
      </w:r>
    </w:p>
    <w:p>
      <w:pPr>
        <w:ind w:firstLine="480"/>
      </w:pPr>
      <w:r>
        <w:t>第一，成本率与盈利能力呈显著负相关关系。综合成本占营业收入比重从2019年的67.8%持续升至2022年的80.5%，与营业利润率的演变方向形成对照——利润率在2022—2023年跌至谷底（1.54%→0.92%）；2024年综合成本率回落至78.4%，营业利润率随之回升至2.82%，印证了成本管控对盈利修复的直接驱动作用。</w:t>
      </w:r>
    </w:p>
    <w:p>
      <w:pPr>
        <w:ind w:firstLine="480"/>
      </w:pPr>
      <w:r>
        <w:t>第二，2019—2021年为"量利双升"的黄金阶段。三年内营业收入年均复合增长率49.2%，归母净利润年均增速约82.7%，净利润增速显著快于成本增速，源于高毛利产品占比提升（VR/TWS相对精密零组件毛利更高）和规模效应的充分释放；综合成本虽持续增长，但成本率上升相对温和（67.8%→75.2%），盈利质量持续改善。</w:t>
      </w:r>
    </w:p>
    <w:p>
      <w:pPr>
        <w:ind w:firstLine="480"/>
      </w:pPr>
      <w:r>
        <w:t>第三，2022年是成本管控失效的"拐点年"。营业收入增长34.10%，但综合成本骤升43.6%（成本增速显著高于收入增速），导致成本率跳升5.3个百分点至80.5%，叠加大额资产减值，营业利润率从5.99%骤降至1.54%，降幅高达4.45个百分点。这一异常源于以下因素叠加：原材料价格全面上涨（2022年大宗商品价格高位）、备货过于激进（存货+43.6%）及客户项目集中减值，提示企业在规模扩张阶段需更有效地平衡增长与成本控制的关系。</w:t>
      </w:r>
    </w:p>
    <w:p>
      <w:pPr>
        <w:ind w:firstLine="480"/>
      </w:pPr>
      <w:r>
        <w:t>第四，存货管理是效率改善最显著的领域（2023—2024年）。存货周转率从2022年的6.07次大幅提升至2024年的8.26次，周转天数从59天缩短至44天；期末存货余额从173.49亿元降至104.79亿元，资金占用减少68.7亿元，有效支撑了2024年盈利的显著反弹。</w:t>
      </w:r>
    </w:p>
    <w:p>
      <w:pPr>
        <w:ind w:firstLine="480"/>
      </w:pPr>
      <w:r>
        <w:t>第五，研究期间归母净利润累计实现约138.56亿元（2019—2024年合计：12.81+28.48+42.75+17.49+10.88+26.65），但盈利分布极不均匀，2021年单年贡献占比约30.8%，而2022—2023年两年合计仅占20.5%，反映出公司盈利对供应链成本管控效果和下游需求稳定性的高度敏感性。</w:t>
      </w:r>
    </w:p>
    <w:p>
      <w:pPr>
        <w:pStyle w:val="Heading2"/>
      </w:pPr>
      <w:r>
        <w:t>4.3  优化路径</w:t>
      </w:r>
    </w:p>
    <w:p>
      <w:pPr>
        <w:ind w:firstLine="480"/>
      </w:pPr>
      <w:r>
        <w:t>基于上述2019—2024年成本效益分析，结合歌尔股份物资供应管理中存在的具体问题及其阶段性特征，本节从四个维度提出优化路径建议。</w:t>
      </w:r>
    </w:p>
    <w:p>
      <w:pPr>
        <w:pStyle w:val="Heading3"/>
      </w:pPr>
      <w:r>
        <w:t>4.3.1  运用动态库存模型提升采购计划精准度</w:t>
      </w:r>
    </w:p>
    <w:p>
      <w:pPr>
        <w:ind w:firstLine="480"/>
      </w:pPr>
      <w:r>
        <w:t>分析显示，歌尔股份在2019—2022年扩张期存货规模急剧膨胀（3年增幅227%），存货周转率持续偏低（6.07—6.22次/年），导致库存持有成本从10.59亿元攀升至34.70亿元，并最终引发2022年的大规模存货减值（17.83亿元）。这说明现有采购计划体系在需求急速变化时精准度不足，对备货风险的前瞻管控能力有待提升。</w:t>
      </w:r>
    </w:p>
    <w:p>
      <w:pPr>
        <w:ind w:firstLine="480"/>
      </w:pPr>
      <w:r>
        <w:t>建议引入以EOQ（经济订货量）模型为基础的动态库存管理机制，结合MRP（物料需求计划）系统，将订单驱动的被动备货模式转向数据驱动的主动预测采购模式。具体举措包括：（1）基于历史订单、客户滚动预测及市场信号，建立分品类需求预测模型，提高A类关键物料的采购计划精准度；（2）对核心物料实施安全库存动态管理，根据供应商交期波动和市场价格趋势实时调整安全库存水位，避免过度备货；（3）将G-SRM系统与内部MRP/ERP系统打通，实现从需求预测到采购执行的自动化衔接。目标：将存货周转率提升至7次/年以上并保持稳定，从根本上防止备货过度积压风险。</w:t>
      </w:r>
    </w:p>
    <w:p>
      <w:pPr>
        <w:pStyle w:val="Heading3"/>
      </w:pPr>
      <w:r>
        <w:t>4.3.2  搭建实时协同平台提升供应链响应韧性</w:t>
      </w:r>
    </w:p>
    <w:p>
      <w:pPr>
        <w:ind w:firstLine="480"/>
      </w:pPr>
      <w:r>
        <w:t>分析显示，歌尔股份前五大供应商采购集中度在2022—2023年大幅提升（从30.54%升至46.16%），供应商集中风险显著加剧；同时客户高度集中导致需求端波动被直接传导至供应端，供应链响应弹性不足，在2023年营业收入骤降时尤为突出。</w:t>
      </w:r>
    </w:p>
    <w:p>
      <w:pPr>
        <w:ind w:firstLine="480"/>
      </w:pPr>
      <w:r>
        <w:t>建议以G-SRM系统为核心，构建供需双向信息实时同步的数字化协同平台：（1）推动核心供应商接入电子化协同平台，实现订单、交期、产能、库存等关键数据的实时共享，提升供应商响应速度和透明度；（2）建立供应商产能预警机制，对集中度偏高品类的关键供应商设置产能可视化监控指标，提前识别潜在断供风险；（3）针对前五大供应商集中度偏高的品类实施"双源/多源"供应策略，逐步培育备选供应商，降低供应链单点故障风险；（4）通过VMI（供应商管理库存）或寄售模式，将部分物料库存风险合理转移，降低企业自身库存水位。</w:t>
      </w:r>
    </w:p>
    <w:p>
      <w:pPr>
        <w:pStyle w:val="Heading3"/>
      </w:pPr>
      <w:r>
        <w:t>4.3.3  打通数据壁垒提升跨部门协同效率</w:t>
      </w:r>
    </w:p>
    <w:p>
      <w:pPr>
        <w:ind w:firstLine="480"/>
      </w:pPr>
      <w:r>
        <w:t>分析显示，物料控制、采购、生产、仓储等部门之间的信息传递不畅是物资供应管理效率损耗的重要来源。在2022年业务规模急剧扩张时，需求传导延迟、库存信息不透明导致备货节奏偏差，进而加剧存货积压。2024年存货周转率大幅改善（8.26次）部分得益于信息系统整合推进，但跨部门协同效率仍有较大提升空间。</w:t>
      </w:r>
    </w:p>
    <w:p>
      <w:pPr>
        <w:ind w:firstLine="480"/>
      </w:pPr>
      <w:r>
        <w:t>建议推进以下举措：（1）以统一数据中台为基础，打通计划、采购、库存、生产等核心系统数据流，确保各环节数据实时一致；（2）推行S&amp;OP（销售与运营计划）流程，定期开展需求—供应平衡评审，提升跨部门决策协同效率，尤其是在需求急剧变化期间，通过制度化的协同机制避免各部门信息孤岛导致的决策偏差；（3）通过数字化驾驶舱，为管理层提供物资供应管理核心指标（库存水位、采购交期达成率、供应商准时交货率、材料成本波动等）的实时可视化监控，支持快速决策，将成本异常信号的响应时间从月度压缩至周度乃至日度。</w:t>
      </w:r>
    </w:p>
    <w:p>
      <w:pPr>
        <w:pStyle w:val="Heading3"/>
      </w:pPr>
      <w:r>
        <w:t>4.3.4  加快物资周转速度实现降本增效</w:t>
      </w:r>
    </w:p>
    <w:p>
      <w:pPr>
        <w:ind w:firstLine="480"/>
      </w:pPr>
      <w:r>
        <w:t>分析显示，研究期间库存持有成本整体偏高（峰值34.70亿元，2022年），尽管2024年已显著改善（20.96亿元，存货周转率8.26次/44天），但相较于2019年水平（周转54天）仍有差距，且综合成本占营业收入比重仍高达78.4%，降本增效空间较大。</w:t>
      </w:r>
    </w:p>
    <w:p>
      <w:pPr>
        <w:ind w:firstLine="480"/>
      </w:pPr>
      <w:r>
        <w:t>建议从以下维度持续推进：（1）深化ABC分类管理，对高价值、高周转的A类物料实施JIT（准时制）或小批量多频次采购策略，减少A类物料库存积压；（2）建立滞料定期盘点和处置机制，及时消化存货，避免存货跌价损失扩大（六年间累计存货减值损失较大，尤以2022年为甚）；（3）与核心供应商推进"精益供应"合作，通过共享需求预测和生产计划，实现上下游库存的协同优化，降低供应链整体库存水位；（4）持续推进采购数字化升级，利用大数据和AI技术优化采购时机选择，尤其是在电子元器件价格波动较大的市场环境下，通过智能询价和动态定价机制降低直接材料采购成本，力争将直接材料占营业收入的比重从当前约75.7%进一步压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