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quinzenal do TCC</w:t>
      </w:r>
    </w:p>
    <w:p>
      <w:pPr>
        <w:pStyle w:val="Subtitle"/>
      </w:pPr>
      <w:r>
        <w:t>Experimentos de reconstrução e retorno à geração voxelizada</w:t>
      </w:r>
    </w:p>
    <w:p>
      <w:r>
        <w:t>Período de 05 a 18 de outubro de 2026 • CESUPA • Registro em 18/10/2026</w:t>
      </w:r>
    </w:p>
    <w:p>
      <w:r>
        <w:rPr>
          <w:b/>
        </w:rPr>
        <w:t xml:space="preserve">Decisão atual. </w:t>
      </w:r>
      <w:r>
        <w:t>Vamos retomar a arquitetura centrada na geração de matrizes voxelizadas e abandonar a Intersection over Union (IoU) volumétrica contra o Elaphes no escopo atual. As tentativas com Screened Poisson, orientação de normais e espessamento não produziram uma referência interior validada para essa métrica ou um campo de distância assinada (SDF) real confiável.</w:t>
      </w:r>
    </w:p>
    <w:p>
      <w:r>
        <w:t>Nas duas semanas, aprofundamos a reconstrução para tentar destravar a comparação com cavernas reais e o uso de campos de distância no treinamento neural e no Cellular Automata. Conseguimos tornar os experimentos mais auditáveis e identificar suas limitações, mas o custo de continuar refinando malhas passou a comprometer o foco do TCC: comparar algoritmos de geração procedural de cavernas 3D.</w:t>
      </w:r>
    </w:p>
    <w:p>
      <w:pPr>
        <w:pStyle w:val="Heading2"/>
      </w:pPr>
      <w:r>
        <w:t>Marcos do período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81"/>
        <w:gridCol w:w="1685"/>
        <w:gridCol w:w="7128"/>
      </w:tblGrid>
      <w:tr>
        <w:trPr>
          <w:cantSplit/>
          <w:tblHeader/>
        </w:trPr>
        <w:tc>
          <w:tcPr>
            <w:tcW w:type="dxa" w:w="11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1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Registro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O que ficou estabelecido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08 e 09/10</w:t>
            </w:r>
          </w:p>
        </w:tc>
        <w:tc>
          <w:tcPr>
            <w:tcW w:type="dxa" w:w="1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ddff1d4</w:t>
              <w:br/>
              <w:t>09/10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Diagnósticos de Poisson, recortes, linha central exploratória e padronização dos plots; atualização de metodologia e tarefas.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12/10</w:t>
            </w:r>
          </w:p>
        </w:tc>
        <w:tc>
          <w:tcPr>
            <w:tcW w:type="dxa" w:w="1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2cad35d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Orientação de normais por ramos, índices incertos, revisão keep/flip e integração diagnóstica; 45 testes aprovados.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15/10</w:t>
            </w:r>
          </w:p>
        </w:tc>
        <w:tc>
          <w:tcPr>
            <w:tcW w:type="dxa" w:w="1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d1a53f0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Menu de console, revisão dos contratos, organização de 22 artefatos em seis etapas e padrão de commits; 52 testes aprovados.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15 a 18/10</w:t>
            </w:r>
          </w:p>
        </w:tc>
        <w:tc>
          <w:tcPr>
            <w:tcW w:type="dxa" w:w="168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Alterações locais</w:t>
              <w:br/>
              <w:t>e decisão atual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Comparações por cosseno e dilatação documentadas; 69 testes aprovados na verificação de 18/10. Rollback de escopo definido em 18/10.</w:t>
            </w:r>
          </w:p>
        </w:tc>
      </w:tr>
    </w:tbl>
    <w:p>
      <w:pPr>
        <w:spacing w:after="0"/>
      </w:pPr>
    </w:p>
    <w:p>
      <w:r>
        <w:t>Os três commits do intervalo estão na branch experiment/elaphes-meshing. O HEAD permanece em d1a53f0; os ensaios posteriores também dependem de código e registros locais ainda sem commit. O rollback é a direção aprovada para a próxima etapa; sua aplicação ao código está pendente. [1]</w:t>
      </w:r>
    </w:p>
    <w:p>
      <w:r>
        <w:rPr>
          <w:b/>
        </w:rPr>
        <w:t xml:space="preserve">Base anterior ao período. </w:t>
      </w:r>
      <w:r>
        <w:t>Leitura incremental de PLY/F32, normalização XYZ para ZYX, Volume3D, Random Walk, CA básico e o protótipo Poisson já existiam. A voxelização diagnóstica do Elaphes em 32³ também era anterior: 245 voxels de superfície em 32.768 células. Esses itens foram reaproveitados, e não desenvolvidos integralmente nesta quinzena. [2, 7]</w:t>
      </w:r>
    </w:p>
    <w:p>
      <w:r>
        <w:br w:type="page"/>
      </w:r>
    </w:p>
    <w:p>
      <w:pPr>
        <w:pStyle w:val="Heading1"/>
      </w:pPr>
      <w:r>
        <w:t>O que tentamos na reconstrução</w:t>
      </w:r>
    </w:p>
    <w:p>
      <w:pPr>
        <w:pStyle w:val="Heading2"/>
      </w:pPr>
      <w:r>
        <w:t>Aumentar a densidade e reduzir a extrapolação</w:t>
      </w:r>
    </w:p>
    <w:p>
      <w:r>
        <w:t>O Elaphes contém 94.465.067 pontos. A amostra inicial de 1.864 representantes era insuficiente em parte do domínio, e três pontos muito altos distorciam os limites espaciais. A retirada diagnóstica dos extremos e a reamostragem para 22.368 representantes melhoraram a aderência: com a mesma amostra de avaliação, o p95 ponto–malha caiu de 0,759 para 0,331 unidade XYZ. Ainda restaram 175 arestas de borda, 27 não manifold e extrapolação lateral. [2]</w:t>
      </w:r>
    </w:p>
    <w:p>
      <w:r>
        <w:t>Filtrar os 10% e 20% de vértices de menor densidade reduziu regiões sem suporte, mas aumentou as bordas abertas para 393 e 875. O recorte X de 12 a 35 aderiu melhor à nuvem, porém permaneceu aberto no corte artificial e apresentou defeitos topológicos. Melhorar uma medida isolada não validou o volume.</w:t>
      </w:r>
    </w:p>
    <w:p>
      <w:pPr>
        <w:pStyle w:val="Heading2"/>
      </w:pPr>
      <w:r>
        <w:t>Usar a linha central para orientar normais</w:t>
      </w:r>
    </w:p>
    <w:p>
      <w:r>
        <w:t>Adaptamos a extração inspirada em Racine com contração laplaciana e árvore geradora mínima. Após ampliar o recorte até X=45 e realizar uma poda exploratória, obtivemos 120 nós e 119 arestas, preservando o ramo curto real próximo de X=30. A inspeção visual reconheceu os ramos, mas faltou validar referências interiores em cortes locais. A primeira orientação conservadora manteve os 20.274 sentidos incertos. [3, 4]</w:t>
      </w:r>
    </w:p>
    <w:p>
      <w:r>
        <w:t>Para reduzir a revisão manual, testamos cossenos entre a normal e a direção linha central–parede, com limiares 0,50, 0,75 e 0,94. Foram propostas decisões para 58,9%, 42,9% e 14,5% dos pontos. As quatro reconstruções abaixo usaram a mesma amostra, profundidade 8 e uma thread; pontos incertos conservaram as normais base. 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2232"/>
        <w:gridCol w:w="2664"/>
        <w:gridCol w:w="2218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Normais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Bordas abertas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Arestas não manifold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Componentes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Base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207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Cosseno 0,50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Cosseno 0,75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82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Cosseno 0,94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202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105</w:t>
            </w:r>
          </w:p>
        </w:tc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</w:tr>
    </w:tbl>
    <w:p>
      <w:pPr>
        <w:spacing w:after="0"/>
      </w:pPr>
    </w:p>
    <w:p>
      <w:r>
        <w:t>Nenhuma malha ficou watertight, isto é, aprovada como superfície fechada pelos critérios topológicos utilizados. O limiar 0,50 reduziu bordas, mas aumentou defeitos não manifold e fragmentação. Encerramos essa rota no escopo atual em 15/10. A linha central continua útil como registro geométrico exploratório; não demonstrou resolver a reconstrução nem o sinal do SDF. [4]</w:t>
      </w:r>
    </w:p>
    <w:p>
      <w:r>
        <w:br w:type="page"/>
      </w:r>
    </w:p>
    <w:p>
      <w:pPr>
        <w:pStyle w:val="Heading1"/>
      </w:pPr>
      <w:r>
        <w:t>Espessamento com os pontos brutos</w:t>
      </w:r>
    </w:p>
    <w:p>
      <w:r>
        <w:t>A última hipótese foi dilatar morfologicamente a ocupação em voxels antes do Poisson. Primeiro usamos uma amostra de 45.868 pontos; depois preenchemos a grade diretamente com todos os 22.273.631 pontos brutos do recorte X de 12 a 35. Isso permitiu avaliar o espessamento sem depender apenas dos representantes espaciais. [5]</w:t>
      </w:r>
    </w:p>
    <w:p>
      <w:r>
        <w:t>Na grade bruta, voxels de lado 0,10 unidade XYZ produziram 49.155 células ocupadas. Comparamos raios de 0, 1 e 2 voxels, extraindo a borda por Marching Cubes e reconstruindo com Poisson de profundidade 8 e uma thread. O raio 0 controlou o efeito da voxelização sem dilatação adicional.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2650"/>
        <w:gridCol w:w="2016"/>
        <w:gridCol w:w="345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Raio em voxels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Arestas não manifold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Componentes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Distância p95 ponto–malha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0,099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7F8F9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0,197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0,303</w:t>
            </w:r>
          </w:p>
        </w:tc>
      </w:tr>
    </w:tbl>
    <w:p>
      <w:pPr>
        <w:spacing w:after="0"/>
      </w:pPr>
    </w:p>
    <w:p>
      <w:r>
        <w:t>As três malhas tiveram zero arestas de borda, mas todas apresentaram auto-interseções e falharam na checagem de watertightness. A dilatação reduziu defeitos e componentes, ao custo de afastar a superfície dos pontos. As distâncias estão em unidades XYZ, cuja unidade física ainda não foi confirmada; usam pontos da própria entrada e não constituem avaliação independente.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45936" cy="2066118"/>
            <wp:docPr id="1" name="Picture 1" descr="Corte YZ em X igual a 20 comparando os pontos medidos em cinza e os contornos das malhas em azul para raios zero, um e dois voxels. A casca em torno da parede se alarga com a dilat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te_espess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206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Corte em X=20. Pontos medidos em cinza e malhas em azul. A borda dos voxels de parede já forma dois contornos no controle; a dilatação alarga essa casca. Fonte: artefatos do ensaio bruto de 15/10. [5]</w:t>
      </w:r>
    </w:p>
    <w:p>
      <w:r>
        <w:t>O diagnóstico do espaço livre encontrou os 56 nós sondados fora da parede ocupada e conectados à borda da grade em todos os raios. Como o recorte possui pontas artificialmente abertas, isso não prova que os nós estejam fora da caverna. Indica que um flood fill sem fechos controlados não separaria o túnel sondado do exterior.</w:t>
      </w:r>
    </w:p>
    <w:p>
      <w:r>
        <w:rPr>
          <w:b/>
        </w:rPr>
        <w:t xml:space="preserve">Conclusão do teste. </w:t>
      </w:r>
      <w:r>
        <w:t>A dilatação densa não entregou um volume validado para SDF. Uma casca ao redor da parede não equivale automaticamente ao ar transitável que precisamos representar. A presença de auto-interseções impede aceitar estas malhas como referência assinada. [5]</w:t>
      </w:r>
    </w:p>
    <w:p>
      <w:r>
        <w:br w:type="page"/>
      </w:r>
    </w:p>
    <w:p>
      <w:pPr>
        <w:pStyle w:val="Heading1"/>
      </w:pPr>
      <w:r>
        <w:t>O que deu certo e o que não se confirmou</w:t>
      </w:r>
    </w:p>
    <w:p>
      <w:pPr>
        <w:pStyle w:val="Heading2"/>
      </w:pPr>
      <w:r>
        <w:t>Resultados que permanecem úteis</w:t>
      </w:r>
    </w:p>
    <w:p>
      <w:r>
        <w:rPr>
          <w:b/>
        </w:rPr>
        <w:t xml:space="preserve">Leitura e rastreabilidade. </w:t>
      </w:r>
      <w:r>
        <w:t>Processamos o PLY em lotes, conservamos coordenadas medidas e registramos amostras, parâmetros, hashes e métricas. Os ensaios recentes permitiram comparar alternativas sob controles comuns e distinguir resultados numéricos de hipóteses geométricas.</w:t>
      </w:r>
    </w:p>
    <w:p>
      <w:r>
        <w:rPr>
          <w:b/>
        </w:rPr>
        <w:t xml:space="preserve">Ferramentas de inspeção. </w:t>
      </w:r>
      <w:r>
        <w:t>Criamos o menu de console para executar testes, inspecionar arquivos, gerar plots e comparar malhas. A revisão de normais preserva os índices e a identidade dos dados; os HTMLs e imagens foram organizados por etapa. Essas ferramentas continuam disponíveis mesmo com a retirada do Poisson do caminho principal. [1, 4, 5]</w:t>
      </w:r>
    </w:p>
    <w:p>
      <w:r>
        <w:rPr>
          <w:b/>
        </w:rPr>
        <w:t xml:space="preserve">Validação de software. </w:t>
      </w:r>
      <w:r>
        <w:t>A suíte cresceu de 45 testes no commit de 12/10 para 52 no de 15/10. Na conferência deste resumo, os 69 testes disponíveis passaram. Isso verifica contratos computacionais e regressões; não certifica a fidelidade física de uma caverna reconstruída.</w:t>
      </w:r>
    </w:p>
    <w:p>
      <w:pPr>
        <w:pStyle w:val="Heading2"/>
      </w:pPr>
      <w:r>
        <w:t>Limites encontrados</w:t>
      </w:r>
    </w:p>
    <w:p>
      <w:r>
        <w:t>Nenhuma malha examinada resolveu conjuntamente fechamento, ausência de auto-interseções, conectividade e aderência à nuvem. Aumentar a densidade ajudou a cobertura; filtrar por densidade abriu novas bordas; orientar por cossenos trouxe ganhos e perdas; dilatar engrossou a parede. As hipóteses produziram diagnósticos úteis, mas não a referência volumétrica necessária.</w:t>
      </w:r>
    </w:p>
    <w:p>
      <w:r>
        <w:t>A inspeção dos materiais do scanner também não encontrou poses utilizáveis. O atributo pointsourceid não fornece coordenadas de estações; nas amostras verificadas ele valeu zero. Portanto, não tínhamos informação de aquisição suficiente para orientar cada ponto a partir de uma posição conhecida do scanner. [6]</w:t>
      </w:r>
    </w:p>
    <w:p>
      <w:r>
        <w:t>O problema da IoU é a equivalência entre classes: os voxels do scan indicam parede observada, enquanto True nos geradores indica espaço vazio. Inverter a máscara de superfície não resolve essa diferença, porque o complemento reúne interior, exterior e regiões não observadas. Um SDF exige magnitude de distância e sinal interior/exterior confiável; calcular distâncias sozinho não fornece esse sinal. [7]</w:t>
      </w:r>
    </w:p>
    <w:p>
      <w:r>
        <w:rPr>
          <w:b/>
        </w:rPr>
        <w:t xml:space="preserve">Limite da conclusão. </w:t>
      </w:r>
      <w:r>
        <w:t>Os resultados não demonstram que Poisson ou a linha central sejam inviáveis para toda caverna. Demonstram que as condições testadas no Elaphes não justificam a referência pretendida no prazo do TCC. Ball Pivoting, Alpha Shapes, winding numbers e fechamentos controlados foram discutidos como alternativas; não há evidência examinada de comparação concluída dessas opções no Elaphes. [7]</w:t>
      </w:r>
    </w:p>
    <w:p>
      <w:r>
        <w:br w:type="page"/>
      </w:r>
    </w:p>
    <w:p>
      <w:pPr>
        <w:pStyle w:val="Heading1"/>
      </w:pPr>
      <w:r>
        <w:t>Como vamos prosseguir agora</w:t>
      </w:r>
    </w:p>
    <w:p>
      <w:r>
        <w:rPr>
          <w:b/>
        </w:rPr>
        <w:t xml:space="preserve">Rollback de escopo e arquitetura. </w:t>
      </w:r>
      <w:r>
        <w:t>O fluxo principal volta a ser geração em Python, matriz voxelizada, métricas e exportação para inspeção. A reconstrução do scan, o SDF real do Elaphes e a IoU volumétrica deixam de bloquear o benchmark. A malha extraída de um volume gerado por Marching Cubes pode continuar como recurso de visualização.</w:t>
      </w:r>
    </w:p>
    <w:p>
      <w:r>
        <w:t>Fluxo de trabalho: gerador → Volume3D em ZYX → arquivo NPZ → métricas e CSV → malha de visualização → Unity. A convenção permanece True/1 para ar e False/0 para sólido. O benchmark será calculado em Python, mantendo domínio, resolução, sementes e orçamento de execução documentados. [8, 9]</w:t>
      </w:r>
    </w:p>
    <w:p>
      <w:pPr>
        <w:pStyle w:val="Heading2"/>
      </w:pPr>
      <w:r>
        <w:t>Sequência de trabalho proposta</w:t>
      </w:r>
    </w:p>
    <w:p>
      <w:r>
        <w:rPr>
          <w:b/>
        </w:rPr>
        <w:t xml:space="preserve">1  Consolidar o retorno aos geradores. </w:t>
      </w:r>
      <w:r>
        <w:t>Atualizar README, arquitetura, roadmap e texto do TCC para retirar a referência Poisson e a IoU volumétrica como dependências. Preservar os códigos e resultados experimentais em registro histórico, sem confundir rollback metodológico com apagar os commits.</w:t>
      </w:r>
    </w:p>
    <w:p>
      <w:r>
        <w:rPr>
          <w:b/>
        </w:rPr>
        <w:t xml:space="preserve">2  Fechar o benchmark clássico. </w:t>
      </w:r>
      <w:r>
        <w:t>Reexecutar Random Walk e CA básico com configurações comparáveis. Medir tempo de geração, pico de RAM, proporção de vazio e fração de vazio na maior componente; registrar dispersão entre sementes. Essas medidas já têm suporte básico no código. CPU/GPU/VRAM e descritores adicionais dependem de completar a instrumentação e o protocolo. [9]</w:t>
      </w:r>
    </w:p>
    <w:p>
      <w:r>
        <w:rPr>
          <w:b/>
        </w:rPr>
        <w:t xml:space="preserve">3  Definir avaliação estrutural. </w:t>
      </w:r>
      <w:r>
        <w:t>Priorizar conectividade, componentes e ocupação. Usar a transformada de distância como descritor de espaço livre, explicitando resolução e unidade; ela não é, sozinha, uma medida validada da largura de todos os túneis. Ramificação, tortuosidade e diversidade podem entrar conforme definição e validação próprias.</w:t>
      </w:r>
    </w:p>
    <w:p>
      <w:r>
        <w:rPr>
          <w:b/>
        </w:rPr>
        <w:t xml:space="preserve">4  Replanejar a frente neural. </w:t>
      </w:r>
      <w:r>
        <w:t>GAN e PCGRL ainda são interfaces sem geração funcional. A GAN exige volumes de treinamento com semântica válida; dados sintéticos podem testar a infraestrutura, mas não sustentam alegação de aprendizado de cavernas reais. Para PCGRL, começar com ambiente pequeno e recompensa de conectividade e ocupação, sem depender de IoU contra o scan. SDF sintético de controle para CA permanece opcional, sem ser nova condição para avançar. [7, 9]</w:t>
      </w:r>
    </w:p>
    <w:p>
      <w:pPr>
        <w:pStyle w:val="Heading2"/>
      </w:pPr>
      <w:r>
        <w:t>O papel das referências reais</w:t>
      </w:r>
    </w:p>
    <w:p>
      <w:r>
        <w:t>O Elaphes permanece disponível para inspeção qualitativa e propriedades efetivamente observáveis. Não calcularemos ocupação ou largura do vazio real a partir de uma máscara de parede como se houvesse segmentação validada. Métricas de superfície com tolerância podem ser estudadas em regiões comparáveis e alinhadas; a IoU apenas de superfície não será adotada automaticamente como substituta da IoU volumétrica.</w:t>
      </w:r>
    </w:p>
    <w:p>
      <w:r>
        <w:t>A retirada da IoU deve aparecer como delimitação explícita da avaliação. O TCC poderá comparar custo, estrutura, controle e diversidade dos geradores, mas não alegará recuperação do volume interno real do Elaphes. A prioridade passa a ser concluir esse protocolo e coletar resultados dos algoritmos antes de ampliar integrações ou retomar reconstrução.</w:t>
      </w:r>
    </w:p>
    <w:p>
      <w:r>
        <w:br w:type="page"/>
      </w:r>
    </w:p>
    <w:p>
      <w:pPr>
        <w:pStyle w:val="Heading1"/>
      </w:pPr>
      <w:r>
        <w:t>Fontes e estado do projeto</w:t>
      </w:r>
    </w:p>
    <w:p>
      <w:r>
        <w:t>As referências abaixo permitem localizar os registros que sustentam a síntese. Os caminhos do repositório são relativos a algorithms-for-procedural-generation-of-caves; os demais são relativos à pasta TCC.</w:t>
      </w:r>
    </w:p>
    <w:p>
      <w:r>
        <w:rPr>
          <w:b/>
        </w:rPr>
        <w:t xml:space="preserve">[1] Histórico e estado local. </w:t>
      </w:r>
      <w:r>
        <w:t>Git log de todas as branches no intervalo e git status em 18/10/2026. Commits ddff1d4 de 09/10, 2cad35d de 12/10 e d1a53f0 de 15/10. O protótipo Poisson de 01/10 e a infraestrutura de agosto/setembro são antecedentes. Experimentos por cosseno e dilatação também constam de alterações locais ainda sem commit.</w:t>
      </w:r>
    </w:p>
    <w:p>
      <w:r>
        <w:rPr>
          <w:b/>
        </w:rPr>
        <w:t xml:space="preserve">[2] Amostragem e Poisson. </w:t>
      </w:r>
      <w:r>
        <w:t>docs/metodologia/amostragem-normais-screened-poisson.md. Contém os ensaios first/centroid, o diagnóstico dos pontos altos em 08/10, a reamostragem global, os recortes e os filtros por densidade.</w:t>
      </w:r>
    </w:p>
    <w:p>
      <w:r>
        <w:rPr>
          <w:b/>
        </w:rPr>
        <w:t xml:space="preserve">[3] Linha central. </w:t>
      </w:r>
      <w:r>
        <w:t>docs/metodologia/linha-central-elaphes-exploracao.md e docs/resumos-teoricos/linha-central-racine.md. Descrevem a adaptação LBC+MST, os ramos inspecionados, a poda e seus limites.</w:t>
      </w:r>
    </w:p>
    <w:p>
      <w:r>
        <w:rPr>
          <w:b/>
        </w:rPr>
        <w:t xml:space="preserve">[4] Orientação e cossenos. </w:t>
      </w:r>
      <w:r>
        <w:t>docs/metodologia/orientacao-normais-linha-central.md; resultados locais em results/meshes/elaphes_cosine_experiment_01_*.obj.json. Incluem limiares, contagens de incerteza, comparação controlada e decisão de encerrar essa rota em 15/10.</w:t>
      </w:r>
    </w:p>
    <w:p>
      <w:r>
        <w:rPr>
          <w:b/>
        </w:rPr>
        <w:t xml:space="preserve">[5] Espessamento. </w:t>
      </w:r>
      <w:r>
        <w:t>docs/metodologia/espessamento-morfologico-elaphes.md; resultados locais em results/meshes/elaphes_morphological_thickening_raw_010_01_summary.json e ensaio da amostra dense2m_fine_03. Os números do ensaio bruto foram conferidos no JSON; a figura deste resumo foi regenerada das malhas e da amostra salvas.</w:t>
      </w:r>
    </w:p>
    <w:p>
      <w:r>
        <w:rPr>
          <w:b/>
        </w:rPr>
        <w:t xml:space="preserve">[6] Metadados do scanner. </w:t>
      </w:r>
      <w:r>
        <w:t>docs/metodologia/metadados-elaphes-scanner.md, verificação registrada em 12/10. O alcance da busca é restrito aos materiais examinados; não se conclui que poses jamais existiram no levantamento original.</w:t>
      </w:r>
    </w:p>
    <w:p>
      <w:r>
        <w:rPr>
          <w:b/>
        </w:rPr>
        <w:t xml:space="preserve">[7] Fundamentação e escrita do TCC. </w:t>
      </w:r>
      <w:r>
        <w:t>Docs/Resumos Teóricos: Conclusao_Pipeline_Reconstrucao_Malha_SDF.docx, Resumo_Teorico_IoU_Voxels_Cavernas.docx e resumo_deep_rl_pcg_cavernas_tcc_formatado.docx. Também foi consultado Escrita/Projeto_de_TC_Atualizado_Qualificacao.docx. As recomendações antigas de manter IoU condicionada à reconstrução são superadas, para o escopo atual, pela decisão de 18/10.</w:t>
      </w:r>
    </w:p>
    <w:p>
      <w:r>
        <w:rPr>
          <w:b/>
        </w:rPr>
        <w:t xml:space="preserve">[8] Arquitetura e planejamento. </w:t>
      </w:r>
      <w:r>
        <w:t>Orientacao-codex.md; docs/metodologia/architecture.md e methodology-adjustments.md; docs/tarefas/roadmap.md; Tarefas/tarefa_dupla_geradores_classicos.md e sugestao-projeto-atualizada.md. O plano antigo ainda contém dependências da malha real que precisam ser revisadas.</w:t>
      </w:r>
    </w:p>
    <w:p>
      <w:r>
        <w:rPr>
          <w:b/>
        </w:rPr>
        <w:t xml:space="preserve">[9] Implementação e verificação. </w:t>
      </w:r>
      <w:r>
        <w:t>src/cavegen/generators, src/cavegen/metrics e src/cavegen/benchmark/run_generation_benchmark.py; menu_malhas.py; suíte tests/. Verificação de 18/10: 69 testes aprovados. GAN e PCGRL ainda lançam NotImplementedError na geração.</w:t>
      </w:r>
    </w:p>
    <w:p>
      <w:r>
        <w:t>Os resultados de dados e figuras são artefatos locais, em geral ignorados pelo Git. Este relatório registra a nova direção; a aplicação do rollback no código e a revisão integral dos documentos de planejamento serão a próxima atividade.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TCC  |  18/10/2026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60"/>
    </w:pPr>
    <w:rPr>
      <w:rFonts w:ascii="Calibri" w:hAnsi="Calibr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quinzenal do TCC</dc:title>
  <dc:subject>Reconstrução do Elaphes e retorno à geração de matrizes voxelizadas</dc:subject>
  <dc:creator>Projeto de TCC de Pablo e Felipe</dc:creator>
  <cp:keywords>TCC, Elaphes, Screened Poisson, voxels, IoU, SDF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