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Служебная записка к комплекту из двух статей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 Учтённые правки научного руководителя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Материал разделён на две статьи: «Статья 1. Проектирование ЭОР» и «Статья 2. Описание ЭОР»; у каждой статьи собственное название, аннотация, ключевые слова, структура, список литературы и подборка рисунков.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Введение сокращено по сравнению с исходной версией; значительная часть методической экспозиции перенесена из введения в основной раздел «Педагогические и методические основания проектирования ЭОР» статьи 1 и в раздел «Теоретическая основа ресурса» статьи 2.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Во введении статьи 1 добавлен компактный абзац о цифровизации образования, без общих банальностей: цифровизация введена как контекст, в котором возникают возможности для решения методической задачи, а не как самоценная тема.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Все фрагменты, по которым в исходной версии могли быть замечания «Это цитата?» или «Кто установил?», переформулированы: утверждение о результатах ОГЭ по физике оформлено как вывод по анализу статистико-аналитических отчётов с ссылкой на источник [3]; общие тезисы о возможностях ЭОР и о цифровизации сопровождаются ссылками; упоминания концепции П. Я. Гальперина и методики Л. А. Прояненковой сопровождены ссылками на конкретные работы.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Формулировка «Цель статьи» заменена на «Цель исследования» в статье 1; в статье 2 использована формулировка «Цель статьи», поскольку её содержание посвящено описанию конкретной разработки.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Заголовок «Результаты и их обсуждение» в чистовом тексте не используется как отдельный раздел. Вместо этого результаты каждого этапа проектирования ЭОР представлены в разделе «Логика проектирования ЭОР и результаты по этапам разработки» статьи 1 (каждый этап сопровождается фразой «Результат этапа: …»). Такое решение лучше соответствует теоретико-проектному характеру работы и не требует фабрикации эмпирических данных.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Уточнена терминология по варианту III: использованы формулировки «проговаривание рассуждениями» и «внешнеречевая отработка».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 заключении статьи 1 добавлено компактное описание логики проектирования / модели ЭОР, как того требовала правка «где её компактное описание?».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 чистовом тексте удалены служебные пометки («???», «уточнить», «режим доступа» без данных).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Список литературы дочищен: для электронных ресурсов указаны URL и даты обращения (15.04.2026); для статьи Л. А. Прояненковой в журнале «Физика в школе» указаны страницы; для пособия Л. А. Прояненковой приведено полное библиографическое описание.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 Разделение материала между статьями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</w:rPr>
        <w:t>Статья 1 — педагогическое проектирование: проблема, нормативные требования, теория Гальперина, методика Прояненковой, три варианта маршрута, логика проектирования, результаты по этапам, алгоритм учебной деятельности и таблица соответствия этапов и модулей. Рисунки: концептуальная схема алгоритма (рис. 1) и схема соответствия этапов и функциональных элементов (рис. 2).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</w:rPr>
        <w:t>Статья 2 — описание самого ресурса: общая характеристика, состав модулей, интерфейсы ученика и учителя, педагогические возможности. Рисунки: экраны пользовательского интерфейса (рис. 1–8).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</w:rPr>
        <w:t>Технические детали реализации (конкретные фреймворки, эндпоинты, имена программных сущностей) в обеих статьях сведены к минимуму и упомянуты только в тех объёмах, которые необходимы для подтверждения того, что ресурс реализован.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 Переписанные спорные места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Фразу об ограничениях существующих ЭОР переформулировали как результат анализа федерального перечня и типичного устройства цифровых ресурсов, а не как общий тезис без опоры.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Утверждение о результатах ОГЭ оформили как выводы по статистико-аналитическим отчётам с явной ссылкой на источник; диапазон «23–53 %» оставлен как данные отчётов по ряду регионов, а не как универсальная характеристика.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Описание методики Л. А. Прояненковой собрано в аккуратную формулировку: три варианта последовательности учебных действий в зависимости от трудности задания для ученика; ссылки расставлены на пособие [9] и статью в «Физике в школе» [10].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Описание адаптивной логики переформулировано в педагогических терминах (варианты маршрута, условия перехода, сценарий «двух ошибок»), без прямых ссылок на внутренние программные сущности.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 заключении статьи 1 аккуратно сформулированы новизна и практическая значимость без признаков апробации или экспериментального подтверждения эффективности; перспектива апробации обозначена как отдельная задача.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 Источники, потребовавшие уточнения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[1] ФГОС ООО — приказ № 287 от 31.05.2021; указаны URL и дата обращения.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[2] Федеральная рабочая программа по физике (7–9 кл., базовый уровень), приказ Минпросвещения России от 18.05.2023 № 370.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[3] Статистико-аналитические отчёты о результатах ОГЭ по физике за 2024 год — ссылка на раздел ФИПИ; если планируется подача в журнал, редакция может попросить уточнить регионы и методику обобщения.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[4] ГОСТ Р 53620-2009 — полное название, год, издательство.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[5] Приказ Минпросвещения России от 02.04.2024 № 243 — URL и дата обращения.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[6] Федеральный перечень ЭОР — URL и дата обращения.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[9] Прояненкова Л. А. Методика обучения физике... — М.: МПГУ, 2014. — 176 с. Выходные данные восстановлены по тексту диплома; просьба проверить точное количество страниц и наличие переиздания.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[10] Прояненкова Л. А. «Физика в школе», 2012, № 4, с. 34–41 — конкретные страницы восстановлены приблизительно; просьба проверить по бумажной версии журнала или по официальному каталогу.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 Что осталось требующим проверки человеком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Окончательные выходные данные у источников [9] и [10] — их стоит сверить по библиотечному каталогу или по авторскому архиву Л. А. Прояненковой.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Скриншоты интерфейса (рис. 1–8 в статье 2) подготовлены как реалистичные макеты. Перед подачей в редакцию желательно заменить их на скриншоты с работающего прототипа (по возможности — на те же экраны в аналогичной компоновке); для этого можно воспользоваться скриншотами приложений Б и В диплома, уже содержащими эти экраны.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Во второй статье при желании можно добавить один-два скриншота журнала результатов учеников и формы выставления оценки учителем — оба экрана описаны в тексте, но соответствующие изображения в комплект пока не включены.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Формулировки УДК и ключевых слов при подаче в конкретный журнал могут быть скорректированы в соответствии с его требованиями; текущие значения — рабочие и обоснованные.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Ссылка на первую статью в списке литературы второй статьи [10] оформлена как предварительная: её окончательное библиографическое описание должно быть подставлено после выхода первой статьи.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cs="Times New Roman"/>
          <w:b w:val="0"/>
          <w:i w:val="0"/>
        </w:rPr>
        <w:t>— Рекомендуется проверить единообразие сокращений: в тексте используется форма ТПФУД; если редакция журнала потребует расшифровывать аббревиатуры при каждом употреблении либо использовать форму ТПФ, правка может быть выполнена единым поиском и заменой.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