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ind w:firstLine="0"/>
        <w:jc w:val="left"/>
      </w:pPr>
      <w:r>
        <w:rPr>
          <w:b/>
          <w:sz w:val="24"/>
        </w:rPr>
        <w:t>УДК 372.853 : 004.588</w:t>
      </w:r>
    </w:p>
    <w:p>
      <w:pPr>
        <w:spacing w:after="120"/>
        <w:ind w:firstLine="0"/>
        <w:jc w:val="right"/>
      </w:pPr>
      <w:r>
        <w:rPr>
          <w:i/>
          <w:sz w:val="24"/>
        </w:rPr>
        <w:t>Синяков В. А., Прояненкова Л. А.</w:t>
      </w:r>
    </w:p>
    <w:p>
      <w:pPr>
        <w:spacing w:before="120" w:after="240"/>
        <w:ind w:firstLine="0"/>
        <w:jc w:val="center"/>
      </w:pPr>
      <w:r>
        <w:rPr>
          <w:rFonts w:ascii="Times New Roman" w:hAnsi="Times New Roman"/>
          <w:b/>
          <w:sz w:val="28"/>
        </w:rPr>
        <w:t>Проектирование электронного образовательного ресурса для усвоения учащимися систем физических знаний на основе теории поэтапного формирования умственных действий</w:t>
      </w:r>
    </w:p>
    <w:p>
      <w:pPr>
        <w:spacing w:before="240" w:after="120"/>
        <w:ind w:firstLine="0"/>
        <w:jc w:val="left"/>
      </w:pPr>
      <w:r>
        <w:rPr>
          <w:rFonts w:ascii="Times New Roman" w:hAnsi="Times New Roman"/>
          <w:b/>
          <w:sz w:val="28"/>
        </w:rPr>
        <w:t>Аннотация</w:t>
      </w:r>
    </w:p>
    <w:p>
      <w:pPr>
        <w:spacing w:before="0" w:after="0"/>
        <w:ind w:firstLine="709"/>
        <w:jc w:val="both"/>
      </w:pPr>
      <w:r>
        <w:rPr>
          <w:rFonts w:ascii="Times New Roman" w:hAnsi="Times New Roman" w:cs="Times New Roman"/>
          <w:b w:val="0"/>
          <w:i w:val="0"/>
        </w:rPr>
        <w:t>В статье представлена логика педагогического проектирования электронного образовательного ресурса по физике для основной школы, обеспечивающего усвоение учащимися систем знаний о физических явлениях. В качестве теоретического основания использована теория поэтапного формирования умственных действий П. Я. Гальперина и её конкретизация в методике обучения физике Л. А. Прояненковой, включая три варианта последовательности учебных действий, различающихся по степени трудности задания для ученика. Описаны этапы проектирования ресурса: анализ нормативных требований и методики, выделение вариантов маршрута усвоения, построение обобщённого алгоритма учебной деятельности, структурирование функциональных модулей. По каждому этапу представлен результат проектирования. Показано соответствие этапов формирования умственных действий и функциональных элементов ресурса. Материал статьи носит теоретико-проектный характер; экспериментальная проверка эффективности ресурса рассматривается как перспектива дальнейших исследований.</w:t>
      </w:r>
    </w:p>
    <w:p>
      <w:pPr>
        <w:spacing w:before="240" w:after="120"/>
        <w:ind w:firstLine="0"/>
        <w:jc w:val="left"/>
      </w:pPr>
      <w:r>
        <w:rPr>
          <w:rFonts w:ascii="Times New Roman" w:hAnsi="Times New Roman"/>
          <w:b/>
          <w:sz w:val="28"/>
        </w:rPr>
        <w:t>Ключевые слова</w:t>
      </w:r>
    </w:p>
    <w:p>
      <w:pPr>
        <w:spacing w:before="0" w:after="0"/>
        <w:ind w:firstLine="709"/>
        <w:jc w:val="both"/>
      </w:pPr>
      <w:r>
        <w:rPr>
          <w:rFonts w:ascii="Times New Roman" w:hAnsi="Times New Roman" w:cs="Times New Roman"/>
          <w:b w:val="0"/>
          <w:i w:val="0"/>
        </w:rPr>
        <w:t>электронный образовательный ресурс; обучение физике; система физических знаний; теория поэтапного формирования умственных действий; П. Я. Гальперин; ориентировочная основа действия; педагогическое проектирование; цифровая дидактика; основная школа.</w:t>
      </w:r>
    </w:p>
    <w:p>
      <w:pPr>
        <w:spacing w:before="240" w:after="120"/>
        <w:ind w:firstLine="0"/>
        <w:jc w:val="left"/>
      </w:pPr>
      <w:r>
        <w:rPr>
          <w:rFonts w:ascii="Times New Roman" w:hAnsi="Times New Roman"/>
          <w:b/>
          <w:sz w:val="28"/>
        </w:rPr>
        <w:t>Введение</w:t>
      </w:r>
    </w:p>
    <w:p>
      <w:pPr>
        <w:spacing w:before="0" w:after="0"/>
        <w:ind w:firstLine="709"/>
        <w:jc w:val="both"/>
      </w:pPr>
      <w:r>
        <w:rPr>
          <w:rFonts w:ascii="Times New Roman" w:hAnsi="Times New Roman" w:cs="Times New Roman"/>
          <w:b w:val="0"/>
          <w:i w:val="0"/>
        </w:rPr>
        <w:t>Формирование у учащихся основной школы системы знаний о физических явлениях относится к числу базовых задач школьного курса физики. Федеральный государственный образовательный стандарт основного общего образования [1] и федеральная рабочая программа по физике [2] предъявляют к предметным результатам требования, предполагающие не воспроизведение отдельных формул и определений, а способность учащихся объяснять физические процессы с опорой на изученные свойства явлений, законы и модели, а также решать расчётные задачи с использованием систем уравнений.</w:t>
      </w:r>
    </w:p>
    <w:p>
      <w:pPr>
        <w:spacing w:before="0" w:after="0"/>
        <w:ind w:firstLine="709"/>
        <w:jc w:val="both"/>
      </w:pPr>
      <w:r>
        <w:rPr>
          <w:rFonts w:ascii="Times New Roman" w:hAnsi="Times New Roman" w:cs="Times New Roman"/>
          <w:b w:val="0"/>
          <w:i w:val="0"/>
        </w:rPr>
        <w:t>По данным статистико-аналитических отчётов о результатах основного государственного экзамена (ОГЭ) по физике за 2024 год в ряде регионов Российской Федерации, задания повышенного и высокого уровней сложности, требующие применения системы знаний, выполняются в среднем 23–53 % учащихся [3]. Результаты подобного уровня свидетельствуют о системных трудностях: школьники не выстраивают объяснение из нескольких логических шагов, не владеют обобщённым способом решения типовых задач, не связывают элементы знания в целое.</w:t>
      </w:r>
    </w:p>
    <w:p>
      <w:pPr>
        <w:spacing w:before="0" w:after="0"/>
        <w:ind w:firstLine="709"/>
        <w:jc w:val="both"/>
      </w:pPr>
      <w:r>
        <w:rPr>
          <w:rFonts w:ascii="Times New Roman" w:hAnsi="Times New Roman" w:cs="Times New Roman"/>
          <w:b w:val="0"/>
          <w:i w:val="0"/>
        </w:rPr>
        <w:t>Цифровизация образования, понимаемая как системная трансформация образовательного процесса на основе информационно-коммуникационных технологий [14, 15], даёт педагогу новые инструменты для работы с указанной проблемой. Электронные образовательные ресурсы (ЭОР) способны поддерживать интерактивность учебной деятельности, оперативную обратную связь, индивидуализацию маршрута [8, 14]. Вместе с тем анализ существующих ЭОР по физике, в том числе включённых в федеральный перечень [5, 6], показывает, что их типичный сценарий ограничивается демонстрационными материалами, набором разрозненных задач или тестом с контролем на финальном этапе. Целенаправленная поддержка промежуточных этапов усвоения целостной системы знаний в таких ресурсах не реализуется: обратная связь выдаётся по итоговому результату, без сопровождения ученика на стадиях ориентировки и предварительной отработки действия.</w:t>
      </w:r>
    </w:p>
    <w:p>
      <w:pPr>
        <w:spacing w:before="0" w:after="0"/>
        <w:ind w:firstLine="709"/>
        <w:jc w:val="both"/>
      </w:pPr>
      <w:r>
        <w:rPr>
          <w:rFonts w:ascii="Times New Roman" w:hAnsi="Times New Roman" w:cs="Times New Roman"/>
          <w:b w:val="0"/>
          <w:i w:val="0"/>
        </w:rPr>
        <w:t>В качестве теоретического основания для проектирования ЭОР, ориентированного на управляемое поэтапное усвоение системы знаний, в настоящей работе используется теория поэтапного формирования умственных действий (далее — ТПФУД) П. Я. Гальперина [7, 8]. Её применение к обучению физике развёрнуто в работах Л. А. Прояненковой [9 и др.]: для каждой системы знаний о физическом явлении выделяются последовательности учебных действий, в том числе три варианта прохождения этапов усвоения, различающиеся по степени развёрнутости внешней опоры и соответствующие разной трудности задания для ученика.</w:t>
      </w:r>
    </w:p>
    <w:p>
      <w:pPr>
        <w:spacing w:before="0" w:after="0"/>
        <w:ind w:firstLine="709"/>
        <w:jc w:val="both"/>
      </w:pPr>
      <w:r>
        <w:rPr>
          <w:rFonts w:ascii="Times New Roman" w:hAnsi="Times New Roman" w:cs="Times New Roman"/>
          <w:b w:val="0"/>
          <w:i w:val="0"/>
        </w:rPr>
        <w:t>Имеющиеся цифровые решения по физике, как показал анализ, не реализуют указанную логику на уровне алгоритма работы ресурса. Противоречие между дидактическим потенциалом ТПФУД для организации усвоения систем физических знаний и отсутствием электронных образовательных ресурсов, в которых эта теория проведена в структуру учебного взаимодействия, и определяет направление настоящего исследования.</w:t>
      </w:r>
    </w:p>
    <w:p>
      <w:pPr>
        <w:spacing w:before="0" w:after="0"/>
        <w:ind w:firstLine="709"/>
        <w:jc w:val="both"/>
      </w:pPr>
      <w:r>
        <w:rPr>
          <w:rFonts w:ascii="Times New Roman" w:hAnsi="Times New Roman" w:cs="Times New Roman"/>
          <w:b w:val="0"/>
          <w:i w:val="0"/>
        </w:rPr>
        <w:t>Цель исследования состоит в разработке логики педагогического проектирования электронного образовательного ресурса по физике для основной школы, обеспечивающего усвоение учащимися систем знаний о физических явлениях на основе теории поэтапного формирования умственных действий и её конкретизации в методике обучения физике.</w:t>
      </w:r>
    </w:p>
    <w:p>
      <w:pPr>
        <w:spacing w:before="240" w:after="120"/>
        <w:ind w:firstLine="0"/>
        <w:jc w:val="left"/>
      </w:pPr>
      <w:r>
        <w:rPr>
          <w:rFonts w:ascii="Times New Roman" w:hAnsi="Times New Roman"/>
          <w:b/>
          <w:sz w:val="28"/>
        </w:rPr>
        <w:t>Методы исследования</w:t>
      </w:r>
    </w:p>
    <w:p>
      <w:pPr>
        <w:spacing w:before="0" w:after="0"/>
        <w:ind w:firstLine="709"/>
        <w:jc w:val="both"/>
      </w:pPr>
      <w:r>
        <w:rPr>
          <w:rFonts w:ascii="Times New Roman" w:hAnsi="Times New Roman" w:cs="Times New Roman"/>
          <w:b w:val="0"/>
          <w:i w:val="0"/>
        </w:rPr>
        <w:t>В работе применён комплекс теоретических и проектных методов, соответствующих теоретико-проектному характеру исследования.</w:t>
      </w:r>
    </w:p>
    <w:p>
      <w:pPr>
        <w:spacing w:before="0" w:after="0"/>
        <w:ind w:firstLine="709"/>
        <w:jc w:val="both"/>
      </w:pPr>
      <w:r>
        <w:rPr>
          <w:rFonts w:ascii="Times New Roman" w:hAnsi="Times New Roman" w:cs="Times New Roman"/>
          <w:b w:val="0"/>
          <w:i w:val="0"/>
        </w:rPr>
        <w:t>Анализ психолого-педагогической и методической литературы использовался для выявления закономерностей формирования систем знаний и действий, изучения этапов усвоения умственных действий по П. Я. Гальперину [7, 8, 11] и их конкретизации применительно к обучению физике [9, 10].</w:t>
      </w:r>
    </w:p>
    <w:p>
      <w:pPr>
        <w:spacing w:before="0" w:after="0"/>
        <w:ind w:firstLine="709"/>
        <w:jc w:val="both"/>
      </w:pPr>
      <w:r>
        <w:rPr>
          <w:rFonts w:ascii="Times New Roman" w:hAnsi="Times New Roman" w:cs="Times New Roman"/>
          <w:b w:val="0"/>
          <w:i w:val="0"/>
        </w:rPr>
        <w:t>Анализ нормативных требований к ЭОР (ФГОС ООО [1], ГОСТ Р 53620-2009 [4], приказ Минпросвещения России от 02.04.2024 № 243 [5]) использовался для определения функциональных и содержательных требований к проектируемому ресурсу: интерактивность, адаптивность, возможность фиксации хода и результатов учебной деятельности, совместимость с различными устройствами.</w:t>
      </w:r>
    </w:p>
    <w:p>
      <w:pPr>
        <w:spacing w:before="0" w:after="0"/>
        <w:ind w:firstLine="709"/>
        <w:jc w:val="both"/>
      </w:pPr>
      <w:r>
        <w:rPr>
          <w:rFonts w:ascii="Times New Roman" w:hAnsi="Times New Roman" w:cs="Times New Roman"/>
          <w:b w:val="0"/>
          <w:i w:val="0"/>
        </w:rPr>
        <w:t>Теоретическое моделирование применялось для построения обобщённой модели взаимодействия учителя и учащегося в процессе усвоения системы знаний о физическом явлении. Модель описывает учебные действия, их последовательность и условия перехода между этапами.</w:t>
      </w:r>
    </w:p>
    <w:p>
      <w:pPr>
        <w:spacing w:before="0" w:after="0"/>
        <w:ind w:firstLine="709"/>
        <w:jc w:val="both"/>
      </w:pPr>
      <w:r>
        <w:rPr>
          <w:rFonts w:ascii="Times New Roman" w:hAnsi="Times New Roman" w:cs="Times New Roman"/>
          <w:b w:val="0"/>
          <w:i w:val="0"/>
        </w:rPr>
        <w:t>Педагогическое проектирование использовалось для разработки алгоритма работы ЭОР: определены учебные сценарии для каждого из трёх вариантов маршрута, описаны условия переходов между этапами, виды обратной связи и точки принятия решений учеником.</w:t>
      </w:r>
    </w:p>
    <w:p>
      <w:pPr>
        <w:spacing w:before="0" w:after="0"/>
        <w:ind w:firstLine="709"/>
        <w:jc w:val="both"/>
      </w:pPr>
      <w:r>
        <w:rPr>
          <w:rFonts w:ascii="Times New Roman" w:hAnsi="Times New Roman" w:cs="Times New Roman"/>
          <w:b w:val="0"/>
          <w:i w:val="0"/>
        </w:rPr>
        <w:t>Системный и структурно-функциональный анализ применялись для выделения функциональных модулей ресурса и установления соответствий между педагогическими этапами и программными элементами.</w:t>
      </w:r>
    </w:p>
    <w:p>
      <w:pPr>
        <w:spacing w:before="0" w:after="0"/>
        <w:ind w:firstLine="709"/>
        <w:jc w:val="both"/>
      </w:pPr>
      <w:r>
        <w:rPr>
          <w:rFonts w:ascii="Times New Roman" w:hAnsi="Times New Roman" w:cs="Times New Roman"/>
          <w:b w:val="0"/>
          <w:i w:val="0"/>
        </w:rPr>
        <w:t>Проектирование архитектуры данных и пользовательских интерфейсов использовалось для формального описания предметной области (структура учебного содержания, виды заданий, состояния учебной сессии) и пользовательских сценариев ученика и учителя. В ходе проектирования разработан прототип программного решения.</w:t>
      </w:r>
    </w:p>
    <w:p>
      <w:pPr>
        <w:spacing w:before="240" w:after="120"/>
        <w:ind w:firstLine="0"/>
        <w:jc w:val="left"/>
      </w:pPr>
      <w:r>
        <w:rPr>
          <w:rFonts w:ascii="Times New Roman" w:hAnsi="Times New Roman"/>
          <w:b/>
          <w:sz w:val="28"/>
        </w:rPr>
        <w:t>Педагогические и методические основания проектирования ЭОР</w:t>
      </w:r>
    </w:p>
    <w:p>
      <w:pPr>
        <w:spacing w:before="160" w:after="80"/>
        <w:ind w:firstLine="0"/>
        <w:jc w:val="left"/>
      </w:pPr>
      <w:r>
        <w:rPr>
          <w:rFonts w:ascii="Times New Roman" w:hAnsi="Times New Roman"/>
          <w:b/>
          <w:i/>
          <w:sz w:val="28"/>
        </w:rPr>
        <w:t>Система физических знаний как объект усвоения</w:t>
      </w:r>
    </w:p>
    <w:p>
      <w:pPr>
        <w:spacing w:before="0" w:after="0"/>
        <w:ind w:firstLine="709"/>
        <w:jc w:val="both"/>
      </w:pPr>
      <w:r>
        <w:rPr>
          <w:rFonts w:ascii="Times New Roman" w:hAnsi="Times New Roman" w:cs="Times New Roman"/>
          <w:b w:val="0"/>
          <w:i w:val="0"/>
        </w:rPr>
        <w:t>В методике обучения физике под системой знаний о физическом явлении понимается устойчивая совокупность взаимосвязанных компонентов: объекта (того, что рассматривается), условий протекания, свойств и признаков, физических величин и их связей, уравнений, моделей и методов измерения. Такая система описывается как целое и допускает применение для объяснения процессов и для решения типовых задач [9, 10]. Следовательно, предметом усвоения в школьном курсе физики должна быть именно система взаимосвязанных элементов знания, а не их изолированный набор.</w:t>
      </w:r>
    </w:p>
    <w:p>
      <w:pPr>
        <w:spacing w:before="0" w:after="0"/>
        <w:ind w:firstLine="709"/>
        <w:jc w:val="both"/>
      </w:pPr>
      <w:r>
        <w:rPr>
          <w:rFonts w:ascii="Times New Roman" w:hAnsi="Times New Roman" w:cs="Times New Roman"/>
          <w:b w:val="0"/>
          <w:i w:val="0"/>
        </w:rPr>
        <w:t>Из сказанного следует, что ЭОР по физике, претендующий на поддержку полноценного усвоения, должен представлять учебный материал не как поток разрозненных фактов или задач, а как структурированную единицу — систему знаний с выделенными зонами, связями между ними и типовым способом применения.</w:t>
      </w:r>
    </w:p>
    <w:p>
      <w:pPr>
        <w:spacing w:before="160" w:after="80"/>
        <w:ind w:firstLine="0"/>
        <w:jc w:val="left"/>
      </w:pPr>
      <w:r>
        <w:rPr>
          <w:rFonts w:ascii="Times New Roman" w:hAnsi="Times New Roman"/>
          <w:b/>
          <w:i/>
          <w:sz w:val="28"/>
        </w:rPr>
        <w:t>Теория поэтапного формирования умственных действий как основание</w:t>
      </w:r>
    </w:p>
    <w:p>
      <w:pPr>
        <w:spacing w:before="0" w:after="0"/>
        <w:ind w:firstLine="709"/>
        <w:jc w:val="both"/>
      </w:pPr>
      <w:r>
        <w:rPr>
          <w:rFonts w:ascii="Times New Roman" w:hAnsi="Times New Roman" w:cs="Times New Roman"/>
          <w:b w:val="0"/>
          <w:i w:val="0"/>
        </w:rPr>
        <w:t>ТПФУД П. Я. Гальперина [7, 8] описывает процесс усвоения как последовательный перевод действия из внешнего, развёрнутого плана во внутренний, свёрнутый. Традиционно выделяются: этап формирования ориентировочной основы действия (ООД), этап выполнения действия в материальной или материализованной форме, этап внешнеречевой отработки, этап выполнения действия в плане громкой или тихой речи «для себя» и, наконец, этап умственного действия. Каждый этап характеризуется определёнными свойствами действия: обобщённостью, развёрнутостью, освоенностью — и задаёт требования к педагогической поддержке, которую должен получать обучающийся.</w:t>
      </w:r>
    </w:p>
    <w:p>
      <w:pPr>
        <w:spacing w:before="0" w:after="0"/>
        <w:ind w:firstLine="709"/>
        <w:jc w:val="both"/>
      </w:pPr>
      <w:r>
        <w:rPr>
          <w:rFonts w:ascii="Times New Roman" w:hAnsi="Times New Roman" w:cs="Times New Roman"/>
          <w:b w:val="0"/>
          <w:i w:val="0"/>
        </w:rPr>
        <w:t>Конкретизация ТПФУД применительно к обучению физике, развитая Л. А. Прояненковой [9, 10], позволяет для усвоения системы знаний и метода решения типовых задач выделить три варианта последовательности учебных действий, различающихся по степени трудности задания для ученика:</w:t>
      </w:r>
    </w:p>
    <w:p>
      <w:pPr>
        <w:spacing w:before="0" w:after="0"/>
        <w:ind w:left="567" w:firstLine="0"/>
        <w:jc w:val="both"/>
      </w:pPr>
      <w:r>
        <w:rPr>
          <w:rFonts w:ascii="Times New Roman" w:hAnsi="Times New Roman"/>
          <w:sz w:val="28"/>
        </w:rPr>
        <w:t>— вариант I — для заданий, трудных для ученика: учебное действие проходится во всей полноте, включая материализованную форму, проговаривание рассуждениями и внешнеречевую отработку;</w:t>
      </w:r>
    </w:p>
    <w:p>
      <w:pPr>
        <w:spacing w:before="0" w:after="0"/>
        <w:ind w:left="567" w:firstLine="0"/>
        <w:jc w:val="both"/>
      </w:pPr>
      <w:r>
        <w:rPr>
          <w:rFonts w:ascii="Times New Roman" w:hAnsi="Times New Roman"/>
          <w:sz w:val="28"/>
        </w:rPr>
        <w:t>— вариант II — для заданий умеренной трудности: допустимо сокращение отдельных шагов при сохранении опоры на внешнюю схему и контроля ключевых операций;</w:t>
      </w:r>
    </w:p>
    <w:p>
      <w:pPr>
        <w:spacing w:before="0" w:after="0"/>
        <w:ind w:left="567" w:firstLine="0"/>
        <w:jc w:val="both"/>
      </w:pPr>
      <w:r>
        <w:rPr>
          <w:rFonts w:ascii="Times New Roman" w:hAnsi="Times New Roman"/>
          <w:sz w:val="28"/>
        </w:rPr>
        <w:t>— вариант III — для заданий, посильных ученику: действие выполняется преимущественно в умственном плане, с минимальной внешней опорой и итоговым контролем результата.</w:t>
      </w:r>
    </w:p>
    <w:p>
      <w:pPr>
        <w:spacing w:before="0" w:after="0"/>
        <w:ind w:firstLine="709"/>
        <w:jc w:val="both"/>
      </w:pPr>
      <w:r>
        <w:rPr>
          <w:rFonts w:ascii="Times New Roman" w:hAnsi="Times New Roman" w:cs="Times New Roman"/>
          <w:b w:val="0"/>
          <w:i w:val="0"/>
        </w:rPr>
        <w:t>Такое дифференцирование маршрута усвоения обеспечивает соответствие педагогической поддержки актуальному уровню подготовленности учащегося и служит непосредственным основанием для проектирования адаптивной логики работы ЭОР.</w:t>
      </w:r>
    </w:p>
    <w:p>
      <w:pPr>
        <w:spacing w:before="160" w:after="80"/>
        <w:ind w:firstLine="0"/>
        <w:jc w:val="left"/>
      </w:pPr>
      <w:r>
        <w:rPr>
          <w:rFonts w:ascii="Times New Roman" w:hAnsi="Times New Roman"/>
          <w:b/>
          <w:i/>
          <w:sz w:val="28"/>
        </w:rPr>
        <w:t>Результат анализа нормативных требований</w:t>
      </w:r>
    </w:p>
    <w:p>
      <w:pPr>
        <w:spacing w:before="0" w:after="0"/>
        <w:ind w:firstLine="709"/>
        <w:jc w:val="both"/>
      </w:pPr>
      <w:r>
        <w:rPr>
          <w:rFonts w:ascii="Times New Roman" w:hAnsi="Times New Roman" w:cs="Times New Roman"/>
          <w:b w:val="0"/>
          <w:i w:val="0"/>
        </w:rPr>
        <w:t>По итогам анализа нормативных документов [1, 4, 5, 6] для проектируемого ресурса были выделены следующие требования: представление учебного содержания в интерактивной форме; обеспечение обратной связи на каждом этапе учебной деятельности; фиксация хода и результатов работы учащегося; совместимость с распространёнными программно-аппаратными платформами; возможность управления содержанием и настройками обучения со стороны учителя. Перечисленные требования положены в основу функциональной модели ЭОР.</w:t>
      </w:r>
    </w:p>
    <w:p>
      <w:pPr>
        <w:spacing w:before="160" w:after="80"/>
        <w:ind w:firstLine="0"/>
        <w:jc w:val="left"/>
      </w:pPr>
      <w:r>
        <w:rPr>
          <w:rFonts w:ascii="Times New Roman" w:hAnsi="Times New Roman"/>
          <w:b/>
          <w:i/>
          <w:sz w:val="28"/>
        </w:rPr>
        <w:t>Результат анализа методики</w:t>
      </w:r>
    </w:p>
    <w:p>
      <w:pPr>
        <w:spacing w:before="0" w:after="0"/>
        <w:ind w:firstLine="709"/>
        <w:jc w:val="both"/>
      </w:pPr>
      <w:r>
        <w:rPr>
          <w:rFonts w:ascii="Times New Roman" w:hAnsi="Times New Roman" w:cs="Times New Roman"/>
          <w:b w:val="0"/>
          <w:i w:val="0"/>
        </w:rPr>
        <w:t>По итогам анализа методической литературы [9, 10] определены ключевые дидактические единицы, которыми должен оперировать ЭОР: система знаний о физическом явлении как минимальная единица учебного содержания; обобщённый метод решения типовых задач, связанный с данной системой знаний; типовая задача как эталонный пример применения системы знаний; варианты маршрутов усвоения, дифференцированные по трудности задания. Эти единицы стали опорными при проектировании структуры данных ресурса.</w:t>
      </w:r>
    </w:p>
    <w:p>
      <w:pPr>
        <w:spacing w:before="240" w:after="120"/>
        <w:ind w:firstLine="0"/>
        <w:jc w:val="left"/>
      </w:pPr>
      <w:r>
        <w:rPr>
          <w:rFonts w:ascii="Times New Roman" w:hAnsi="Times New Roman"/>
          <w:b/>
          <w:sz w:val="28"/>
        </w:rPr>
        <w:t>Логика проектирования ЭОР и результаты по этапам разработки</w:t>
      </w:r>
    </w:p>
    <w:p>
      <w:pPr>
        <w:spacing w:before="0" w:after="0"/>
        <w:ind w:firstLine="709"/>
        <w:jc w:val="both"/>
      </w:pPr>
      <w:r>
        <w:rPr>
          <w:rFonts w:ascii="Times New Roman" w:hAnsi="Times New Roman" w:cs="Times New Roman"/>
          <w:b w:val="0"/>
          <w:i w:val="0"/>
        </w:rPr>
        <w:t>Проектирование ЭОР выполнено последовательно по ряду этапов. Для каждого этапа фиксировался результат, использовавшийся как вход для следующего.</w:t>
      </w:r>
    </w:p>
    <w:p>
      <w:pPr>
        <w:spacing w:before="160" w:after="80"/>
        <w:ind w:firstLine="0"/>
        <w:jc w:val="left"/>
      </w:pPr>
      <w:r>
        <w:rPr>
          <w:rFonts w:ascii="Times New Roman" w:hAnsi="Times New Roman"/>
          <w:b/>
          <w:i/>
          <w:sz w:val="28"/>
        </w:rPr>
        <w:t>Этап 1. Целеполагание и формулирование педагогических требований</w:t>
      </w:r>
    </w:p>
    <w:p>
      <w:pPr>
        <w:spacing w:before="0" w:after="0"/>
        <w:ind w:firstLine="709"/>
        <w:jc w:val="both"/>
      </w:pPr>
      <w:r>
        <w:rPr>
          <w:rFonts w:ascii="Times New Roman" w:hAnsi="Times New Roman" w:cs="Times New Roman"/>
          <w:b w:val="0"/>
          <w:i w:val="0"/>
        </w:rPr>
        <w:t>Результат этапа: сформулирована педагогическая цель ресурса — организация поэтапного усвоения учащимися системы знаний о физическом явлении, включая формирование ориентировочной основы действия, отработку метода решения типовых задач и контроль сформированности умения его применять. Выделены требования к ресурсу: опора на ТПФУД и методику Л. А. Прояненковой; поддержка вариативности маршрута по трудности; индивидуализация обратной связи; возможность использования в урочной и во внеурочной деятельности.</w:t>
      </w:r>
    </w:p>
    <w:p>
      <w:pPr>
        <w:spacing w:before="160" w:after="80"/>
        <w:ind w:firstLine="0"/>
        <w:jc w:val="left"/>
      </w:pPr>
      <w:r>
        <w:rPr>
          <w:rFonts w:ascii="Times New Roman" w:hAnsi="Times New Roman"/>
          <w:b/>
          <w:i/>
          <w:sz w:val="28"/>
        </w:rPr>
        <w:t>Этап 2. Моделирование предметной области</w:t>
      </w:r>
    </w:p>
    <w:p>
      <w:pPr>
        <w:spacing w:before="0" w:after="0"/>
        <w:ind w:firstLine="709"/>
        <w:jc w:val="both"/>
      </w:pPr>
      <w:r>
        <w:rPr>
          <w:rFonts w:ascii="Times New Roman" w:hAnsi="Times New Roman" w:cs="Times New Roman"/>
          <w:b w:val="0"/>
          <w:i w:val="0"/>
        </w:rPr>
        <w:t>Результат этапа: построена предметная модель учебного содержания. В модели выделены следующие объекты: класс обучения, раздел курса, тема, система знаний о физическом явлении, зона системы знаний, вопрос для осмысления, метод решения, шаг метода, типовая задача, уровень трудности задачи, шаг решения задачи, элемент схемы (графическая модель ситуации). Для каждого объекта описаны состав, связи и сценарии применения, что послужило основанием для проектирования структуры данных.</w:t>
      </w:r>
    </w:p>
    <w:p>
      <w:pPr>
        <w:spacing w:before="160" w:after="80"/>
        <w:ind w:firstLine="0"/>
        <w:jc w:val="left"/>
      </w:pPr>
      <w:r>
        <w:rPr>
          <w:rFonts w:ascii="Times New Roman" w:hAnsi="Times New Roman"/>
          <w:b/>
          <w:i/>
          <w:sz w:val="28"/>
        </w:rPr>
        <w:t>Этап 3. Выделение вариантов маршрута усвоения</w:t>
      </w:r>
    </w:p>
    <w:p>
      <w:pPr>
        <w:spacing w:before="0" w:after="0"/>
        <w:ind w:firstLine="709"/>
        <w:jc w:val="both"/>
      </w:pPr>
      <w:r>
        <w:rPr>
          <w:rFonts w:ascii="Times New Roman" w:hAnsi="Times New Roman" w:cs="Times New Roman"/>
          <w:b w:val="0"/>
          <w:i w:val="0"/>
        </w:rPr>
        <w:t>Результат этапа: определены и формально описаны три варианта маршрута. Вариант I предполагает последовательное прохождение этапов осмысления системы знаний, изучения типовой задачи, составления метода решения и пооперационного контроля, завершающееся решением задач в развёрнутой форме. Вариант II сохраняет этапы осмысления, типовой задачи и пооперационного контроля при выполнении задач умеренной трудности без обязательного самостоятельного составления метода. Вариант III ограничивается осмыслением системы знаний и типовой задачей перед переходом к самостоятельному решению заданий, посильных ученику. Для каждого варианта определён состав обязательных этапов и точка выбора маршрута.</w:t>
      </w:r>
    </w:p>
    <w:p>
      <w:pPr>
        <w:spacing w:before="160" w:after="80"/>
        <w:ind w:firstLine="0"/>
        <w:jc w:val="left"/>
      </w:pPr>
      <w:r>
        <w:rPr>
          <w:rFonts w:ascii="Times New Roman" w:hAnsi="Times New Roman"/>
          <w:b/>
          <w:i/>
          <w:sz w:val="28"/>
        </w:rPr>
        <w:t>Этап 4. Проектирование алгоритма учебной деятельности</w:t>
      </w:r>
    </w:p>
    <w:p>
      <w:pPr>
        <w:spacing w:before="0" w:after="0"/>
        <w:ind w:firstLine="709"/>
        <w:jc w:val="both"/>
      </w:pPr>
      <w:r>
        <w:rPr>
          <w:rFonts w:ascii="Times New Roman" w:hAnsi="Times New Roman" w:cs="Times New Roman"/>
          <w:b w:val="0"/>
          <w:i w:val="0"/>
        </w:rPr>
        <w:t>Результат этапа: разработан обобщённый алгоритм взаимодействия учащегося с ЭОР (рис. 1). Алгоритм определяет порядок переходов между этапами усвоения, условия их прохождения и точки принятия решений учащимся. Алгоритм построен так, что одни и те же дидактические единицы (система знаний, типовая задача, метод решения) задействованы во всех трёх вариантах, а вариативность обеспечивается составом и последовательностью посещаемых этапов.</w:t>
      </w:r>
    </w:p>
    <w:p>
      <w:pPr>
        <w:spacing w:before="120" w:after="60"/>
        <w:ind w:firstLine="0"/>
        <w:jc w:val="center"/>
      </w:pPr>
      <w:r>
        <w:drawing>
          <wp:inline xmlns:a="http://schemas.openxmlformats.org/drawingml/2006/main" xmlns:pic="http://schemas.openxmlformats.org/drawingml/2006/picture">
            <wp:extent cx="5220000" cy="2913488"/>
            <wp:docPr id="1" name="Picture 1"/>
            <wp:cNvGraphicFramePr>
              <a:graphicFrameLocks noChangeAspect="1"/>
            </wp:cNvGraphicFramePr>
            <a:graphic>
              <a:graphicData uri="http://schemas.openxmlformats.org/drawingml/2006/picture">
                <pic:pic>
                  <pic:nvPicPr>
                    <pic:cNvPr id="0" name="fig1_algorithm.png"/>
                    <pic:cNvPicPr/>
                  </pic:nvPicPr>
                  <pic:blipFill>
                    <a:blip r:embed="rId9"/>
                    <a:stretch>
                      <a:fillRect/>
                    </a:stretch>
                  </pic:blipFill>
                  <pic:spPr>
                    <a:xfrm>
                      <a:off x="0" y="0"/>
                      <a:ext cx="5220000" cy="2913488"/>
                    </a:xfrm>
                    <a:prstGeom prst="rect"/>
                  </pic:spPr>
                </pic:pic>
              </a:graphicData>
            </a:graphic>
          </wp:inline>
        </w:drawing>
      </w:r>
    </w:p>
    <w:p>
      <w:pPr>
        <w:spacing w:before="0" w:after="160"/>
        <w:ind w:firstLine="0"/>
        <w:jc w:val="center"/>
      </w:pPr>
      <w:r>
        <w:rPr>
          <w:rFonts w:ascii="Times New Roman" w:hAnsi="Times New Roman"/>
          <w:i/>
          <w:sz w:val="24"/>
        </w:rPr>
        <w:t>Рис. 1. Алгоритм учебной деятельности ученика в ЭОР по физике</w:t>
      </w:r>
    </w:p>
    <w:p>
      <w:pPr>
        <w:spacing w:before="160" w:after="80"/>
        <w:ind w:firstLine="0"/>
        <w:jc w:val="left"/>
      </w:pPr>
      <w:r>
        <w:rPr>
          <w:rFonts w:ascii="Times New Roman" w:hAnsi="Times New Roman"/>
          <w:b/>
          <w:i/>
          <w:sz w:val="28"/>
        </w:rPr>
        <w:t>Этап 5. Структурирование функциональных модулей ЭОР</w:t>
      </w:r>
    </w:p>
    <w:p>
      <w:pPr>
        <w:spacing w:before="0" w:after="0"/>
        <w:ind w:firstLine="709"/>
        <w:jc w:val="both"/>
      </w:pPr>
      <w:r>
        <w:rPr>
          <w:rFonts w:ascii="Times New Roman" w:hAnsi="Times New Roman" w:cs="Times New Roman"/>
          <w:b w:val="0"/>
          <w:i w:val="0"/>
        </w:rPr>
        <w:t>Результат этапа: выделены функциональные модули ресурса, каждый из которых обеспечивает педагогическую функцию одного или нескольких этапов усвоения. Соответствие этапов ТПФУД, их педагогических функций и модулей ЭОР представлено в таблице 1.</w:t>
      </w:r>
    </w:p>
    <w:p>
      <w:pPr>
        <w:spacing w:before="120" w:after="80"/>
        <w:ind w:firstLine="0"/>
        <w:jc w:val="both"/>
      </w:pPr>
      <w:r>
        <w:rPr>
          <w:rFonts w:ascii="Times New Roman" w:hAnsi="Times New Roman" w:cs="Times New Roman"/>
          <w:b/>
          <w:i w:val="0"/>
        </w:rPr>
        <w:t>Таблица 1 — Соответствие этапов поэтапного формирования умственных действий и функциональных элементов ЭОР</w:t>
      </w:r>
    </w:p>
    <w:tbl>
      <w:tblPr>
        <w:tblStyle w:val="TableGrid"/>
        <w:tblW w:type="auto" w:w="0"/>
        <w:tblLook w:firstColumn="1" w:firstRow="1" w:lastColumn="0" w:lastRow="0" w:noHBand="0" w:noVBand="1" w:val="04A0"/>
      </w:tblPr>
      <w:tblGrid>
        <w:gridCol w:w="3230"/>
        <w:gridCol w:w="3230"/>
        <w:gridCol w:w="3230"/>
      </w:tblGrid>
      <w:tr>
        <w:tc>
          <w:tcPr>
            <w:tcW w:type="dxa" w:w="3230"/>
          </w:tcPr>
          <w:p>
            <w:pPr>
              <w:ind w:firstLine="0"/>
              <w:jc w:val="center"/>
            </w:pPr>
            <w:r/>
            <w:r>
              <w:rPr>
                <w:rFonts w:ascii="Times New Roman" w:hAnsi="Times New Roman"/>
                <w:b/>
                <w:sz w:val="24"/>
              </w:rPr>
              <w:t>Этап / идея по П. Я. Гальперину</w:t>
            </w:r>
          </w:p>
        </w:tc>
        <w:tc>
          <w:tcPr>
            <w:tcW w:type="dxa" w:w="3230"/>
          </w:tcPr>
          <w:p>
            <w:pPr>
              <w:ind w:firstLine="0"/>
              <w:jc w:val="center"/>
            </w:pPr>
            <w:r/>
            <w:r>
              <w:rPr>
                <w:rFonts w:ascii="Times New Roman" w:hAnsi="Times New Roman"/>
                <w:b/>
                <w:sz w:val="24"/>
              </w:rPr>
              <w:t>Педагогическая функция</w:t>
            </w:r>
          </w:p>
        </w:tc>
        <w:tc>
          <w:tcPr>
            <w:tcW w:type="dxa" w:w="3230"/>
          </w:tcPr>
          <w:p>
            <w:pPr>
              <w:ind w:firstLine="0"/>
              <w:jc w:val="center"/>
            </w:pPr>
            <w:r/>
            <w:r>
              <w:rPr>
                <w:rFonts w:ascii="Times New Roman" w:hAnsi="Times New Roman"/>
                <w:b/>
                <w:sz w:val="24"/>
              </w:rPr>
              <w:t>Модуль / элемент ЭОР</w:t>
            </w:r>
          </w:p>
        </w:tc>
      </w:tr>
      <w:tr>
        <w:tc>
          <w:tcPr>
            <w:tcW w:type="dxa" w:w="3230"/>
          </w:tcPr>
          <w:p>
            <w:pPr>
              <w:ind w:firstLine="0"/>
              <w:jc w:val="left"/>
            </w:pPr>
            <w:r/>
            <w:r>
              <w:rPr>
                <w:rFonts w:ascii="Times New Roman" w:hAnsi="Times New Roman"/>
                <w:sz w:val="24"/>
              </w:rPr>
              <w:t>Формирование ориентировочной основы действия</w:t>
            </w:r>
          </w:p>
        </w:tc>
        <w:tc>
          <w:tcPr>
            <w:tcW w:type="dxa" w:w="3230"/>
          </w:tcPr>
          <w:p>
            <w:pPr>
              <w:ind w:firstLine="0"/>
              <w:jc w:val="left"/>
            </w:pPr>
            <w:r/>
            <w:r>
              <w:rPr>
                <w:rFonts w:ascii="Times New Roman" w:hAnsi="Times New Roman"/>
                <w:sz w:val="24"/>
              </w:rPr>
              <w:t>Выделение объекта изучения, его структуры и связей; формирование представления о системе знаний как о целом</w:t>
            </w:r>
          </w:p>
        </w:tc>
        <w:tc>
          <w:tcPr>
            <w:tcW w:type="dxa" w:w="3230"/>
          </w:tcPr>
          <w:p>
            <w:pPr>
              <w:ind w:firstLine="0"/>
              <w:jc w:val="left"/>
            </w:pPr>
            <w:r/>
            <w:r>
              <w:rPr>
                <w:rFonts w:ascii="Times New Roman" w:hAnsi="Times New Roman"/>
                <w:sz w:val="24"/>
              </w:rPr>
              <w:t>Модуль «Осмысление системы знаний»: учебная карточка системы знаний с выделенными зонами, задания на соотнесение и заполнение пропусков</w:t>
            </w:r>
          </w:p>
        </w:tc>
      </w:tr>
      <w:tr>
        <w:tc>
          <w:tcPr>
            <w:tcW w:type="dxa" w:w="3230"/>
          </w:tcPr>
          <w:p>
            <w:pPr>
              <w:ind w:firstLine="0"/>
              <w:jc w:val="left"/>
            </w:pPr>
            <w:r/>
            <w:r>
              <w:rPr>
                <w:rFonts w:ascii="Times New Roman" w:hAnsi="Times New Roman"/>
                <w:sz w:val="24"/>
              </w:rPr>
              <w:t>Формирование модели действия (типовая задача)</w:t>
            </w:r>
          </w:p>
        </w:tc>
        <w:tc>
          <w:tcPr>
            <w:tcW w:type="dxa" w:w="3230"/>
          </w:tcPr>
          <w:p>
            <w:pPr>
              <w:ind w:firstLine="0"/>
              <w:jc w:val="left"/>
            </w:pPr>
            <w:r/>
            <w:r>
              <w:rPr>
                <w:rFonts w:ascii="Times New Roman" w:hAnsi="Times New Roman"/>
                <w:sz w:val="24"/>
              </w:rPr>
              <w:t>Демонстрация обобщённого способа решения на эталонном примере</w:t>
            </w:r>
          </w:p>
        </w:tc>
        <w:tc>
          <w:tcPr>
            <w:tcW w:type="dxa" w:w="3230"/>
          </w:tcPr>
          <w:p>
            <w:pPr>
              <w:ind w:firstLine="0"/>
              <w:jc w:val="left"/>
            </w:pPr>
            <w:r/>
            <w:r>
              <w:rPr>
                <w:rFonts w:ascii="Times New Roman" w:hAnsi="Times New Roman"/>
                <w:sz w:val="24"/>
              </w:rPr>
              <w:t>Модуль «Типовая задача»: формулировка задачи и её развёрнутое решение как образец применения системы знаний</w:t>
            </w:r>
          </w:p>
        </w:tc>
      </w:tr>
      <w:tr>
        <w:tc>
          <w:tcPr>
            <w:tcW w:type="dxa" w:w="3230"/>
          </w:tcPr>
          <w:p>
            <w:pPr>
              <w:ind w:firstLine="0"/>
              <w:jc w:val="left"/>
            </w:pPr>
            <w:r/>
            <w:r>
              <w:rPr>
                <w:rFonts w:ascii="Times New Roman" w:hAnsi="Times New Roman"/>
                <w:sz w:val="24"/>
              </w:rPr>
              <w:t>Ориентировка на трудность и выбор маршрута</w:t>
            </w:r>
          </w:p>
        </w:tc>
        <w:tc>
          <w:tcPr>
            <w:tcW w:type="dxa" w:w="3230"/>
          </w:tcPr>
          <w:p>
            <w:pPr>
              <w:ind w:firstLine="0"/>
              <w:jc w:val="left"/>
            </w:pPr>
            <w:r/>
            <w:r>
              <w:rPr>
                <w:rFonts w:ascii="Times New Roman" w:hAnsi="Times New Roman"/>
                <w:sz w:val="24"/>
              </w:rPr>
              <w:t>Включение учащегося в регуляцию собственной деятельности</w:t>
            </w:r>
          </w:p>
        </w:tc>
        <w:tc>
          <w:tcPr>
            <w:tcW w:type="dxa" w:w="3230"/>
          </w:tcPr>
          <w:p>
            <w:pPr>
              <w:ind w:firstLine="0"/>
              <w:jc w:val="left"/>
            </w:pPr>
            <w:r/>
            <w:r>
              <w:rPr>
                <w:rFonts w:ascii="Times New Roman" w:hAnsi="Times New Roman"/>
                <w:sz w:val="24"/>
              </w:rPr>
              <w:t>Этап выбора трудности задания: три уровня, каждый соответствует варианту маршрута</w:t>
            </w:r>
          </w:p>
        </w:tc>
      </w:tr>
      <w:tr>
        <w:tc>
          <w:tcPr>
            <w:tcW w:type="dxa" w:w="3230"/>
          </w:tcPr>
          <w:p>
            <w:pPr>
              <w:ind w:firstLine="0"/>
              <w:jc w:val="left"/>
            </w:pPr>
            <w:r/>
            <w:r>
              <w:rPr>
                <w:rFonts w:ascii="Times New Roman" w:hAnsi="Times New Roman"/>
                <w:sz w:val="24"/>
              </w:rPr>
              <w:t>Материализованная форма действия и внешнеречевая отработка метода</w:t>
            </w:r>
          </w:p>
        </w:tc>
        <w:tc>
          <w:tcPr>
            <w:tcW w:type="dxa" w:w="3230"/>
          </w:tcPr>
          <w:p>
            <w:pPr>
              <w:ind w:firstLine="0"/>
              <w:jc w:val="left"/>
            </w:pPr>
            <w:r/>
            <w:r>
              <w:rPr>
                <w:rFonts w:ascii="Times New Roman" w:hAnsi="Times New Roman"/>
                <w:sz w:val="24"/>
              </w:rPr>
              <w:t>Перевод метода во внешне выраженную форму и его осознание учащимся</w:t>
            </w:r>
          </w:p>
        </w:tc>
        <w:tc>
          <w:tcPr>
            <w:tcW w:type="dxa" w:w="3230"/>
          </w:tcPr>
          <w:p>
            <w:pPr>
              <w:ind w:firstLine="0"/>
              <w:jc w:val="left"/>
            </w:pPr>
            <w:r/>
            <w:r>
              <w:rPr>
                <w:rFonts w:ascii="Times New Roman" w:hAnsi="Times New Roman"/>
                <w:sz w:val="24"/>
              </w:rPr>
              <w:t>Модуль «Составление метода решения»: задание на восстановление последовательности шагов метода с последующей проверкой</w:t>
            </w:r>
          </w:p>
        </w:tc>
      </w:tr>
      <w:tr>
        <w:tc>
          <w:tcPr>
            <w:tcW w:type="dxa" w:w="3230"/>
          </w:tcPr>
          <w:p>
            <w:pPr>
              <w:ind w:firstLine="0"/>
              <w:jc w:val="left"/>
            </w:pPr>
            <w:r/>
            <w:r>
              <w:rPr>
                <w:rFonts w:ascii="Times New Roman" w:hAnsi="Times New Roman"/>
                <w:sz w:val="24"/>
              </w:rPr>
              <w:t>Пооперационный контроль</w:t>
            </w:r>
          </w:p>
        </w:tc>
        <w:tc>
          <w:tcPr>
            <w:tcW w:type="dxa" w:w="3230"/>
          </w:tcPr>
          <w:p>
            <w:pPr>
              <w:ind w:firstLine="0"/>
              <w:jc w:val="left"/>
            </w:pPr>
            <w:r/>
            <w:r>
              <w:rPr>
                <w:rFonts w:ascii="Times New Roman" w:hAnsi="Times New Roman"/>
                <w:sz w:val="24"/>
              </w:rPr>
              <w:t>Контроль каждого шага действия с корректирующей обратной связью</w:t>
            </w:r>
          </w:p>
        </w:tc>
        <w:tc>
          <w:tcPr>
            <w:tcW w:type="dxa" w:w="3230"/>
          </w:tcPr>
          <w:p>
            <w:pPr>
              <w:ind w:firstLine="0"/>
              <w:jc w:val="left"/>
            </w:pPr>
            <w:r/>
            <w:r>
              <w:rPr>
                <w:rFonts w:ascii="Times New Roman" w:hAnsi="Times New Roman"/>
                <w:sz w:val="24"/>
              </w:rPr>
              <w:t>Модуль «Пошаговое решение»: последовательный ввод шагов с проверкой и сценарием «двух ошибок»</w:t>
            </w:r>
          </w:p>
        </w:tc>
      </w:tr>
      <w:tr>
        <w:tc>
          <w:tcPr>
            <w:tcW w:type="dxa" w:w="3230"/>
          </w:tcPr>
          <w:p>
            <w:pPr>
              <w:ind w:firstLine="0"/>
              <w:jc w:val="left"/>
            </w:pPr>
            <w:r/>
            <w:r>
              <w:rPr>
                <w:rFonts w:ascii="Times New Roman" w:hAnsi="Times New Roman"/>
                <w:sz w:val="24"/>
              </w:rPr>
              <w:t>Действие в умственном плане</w:t>
            </w:r>
          </w:p>
        </w:tc>
        <w:tc>
          <w:tcPr>
            <w:tcW w:type="dxa" w:w="3230"/>
          </w:tcPr>
          <w:p>
            <w:pPr>
              <w:ind w:firstLine="0"/>
              <w:jc w:val="left"/>
            </w:pPr>
            <w:r/>
            <w:r>
              <w:rPr>
                <w:rFonts w:ascii="Times New Roman" w:hAnsi="Times New Roman"/>
                <w:sz w:val="24"/>
              </w:rPr>
              <w:t>Самостоятельное решение задач без развёрнутой внешней опоры</w:t>
            </w:r>
          </w:p>
        </w:tc>
        <w:tc>
          <w:tcPr>
            <w:tcW w:type="dxa" w:w="3230"/>
          </w:tcPr>
          <w:p>
            <w:pPr>
              <w:ind w:firstLine="0"/>
              <w:jc w:val="left"/>
            </w:pPr>
            <w:r/>
            <w:r>
              <w:rPr>
                <w:rFonts w:ascii="Times New Roman" w:hAnsi="Times New Roman"/>
                <w:sz w:val="24"/>
              </w:rPr>
              <w:t>Модуль «Решение задач»: выбор задачи заданного уровня сложности, ответ в числовом виде или в виде модели ситуации</w:t>
            </w:r>
          </w:p>
        </w:tc>
      </w:tr>
      <w:tr>
        <w:tc>
          <w:tcPr>
            <w:tcW w:type="dxa" w:w="3230"/>
          </w:tcPr>
          <w:p>
            <w:pPr>
              <w:ind w:firstLine="0"/>
              <w:jc w:val="left"/>
            </w:pPr>
            <w:r/>
            <w:r>
              <w:rPr>
                <w:rFonts w:ascii="Times New Roman" w:hAnsi="Times New Roman"/>
                <w:sz w:val="24"/>
              </w:rPr>
              <w:t>Итоговый контроль и оценивание</w:t>
            </w:r>
          </w:p>
        </w:tc>
        <w:tc>
          <w:tcPr>
            <w:tcW w:type="dxa" w:w="3230"/>
          </w:tcPr>
          <w:p>
            <w:pPr>
              <w:ind w:firstLine="0"/>
              <w:jc w:val="left"/>
            </w:pPr>
            <w:r/>
            <w:r>
              <w:rPr>
                <w:rFonts w:ascii="Times New Roman" w:hAnsi="Times New Roman"/>
                <w:sz w:val="24"/>
              </w:rPr>
              <w:t>Оценка сформированности умения применять систему знаний</w:t>
            </w:r>
          </w:p>
        </w:tc>
        <w:tc>
          <w:tcPr>
            <w:tcW w:type="dxa" w:w="3230"/>
          </w:tcPr>
          <w:p>
            <w:pPr>
              <w:ind w:firstLine="0"/>
              <w:jc w:val="left"/>
            </w:pPr>
            <w:r/>
            <w:r>
              <w:rPr>
                <w:rFonts w:ascii="Times New Roman" w:hAnsi="Times New Roman"/>
                <w:sz w:val="24"/>
              </w:rPr>
              <w:t>Модуль отчётности: фиксация результатов этапов, интегральный балл, проверка преподавателем при необходимости</w:t>
            </w:r>
          </w:p>
        </w:tc>
      </w:tr>
    </w:tbl>
    <w:p>
      <w:pPr>
        <w:spacing w:before="0" w:after="80"/>
        <w:ind w:firstLine="0"/>
        <w:jc w:val="both"/>
      </w:pPr>
      <w:r>
        <w:rPr>
          <w:rFonts w:ascii="Times New Roman" w:hAnsi="Times New Roman" w:cs="Times New Roman"/>
          <w:b w:val="0"/>
          <w:i w:val="0"/>
        </w:rPr>
      </w:r>
    </w:p>
    <w:p>
      <w:pPr>
        <w:spacing w:before="160" w:after="80"/>
        <w:ind w:firstLine="0"/>
        <w:jc w:val="left"/>
      </w:pPr>
      <w:r>
        <w:rPr>
          <w:rFonts w:ascii="Times New Roman" w:hAnsi="Times New Roman"/>
          <w:b/>
          <w:i/>
          <w:sz w:val="28"/>
        </w:rPr>
        <w:t>Этап 6. Проектирование структуры данных и пользовательских сценариев</w:t>
      </w:r>
    </w:p>
    <w:p>
      <w:pPr>
        <w:spacing w:before="0" w:after="0"/>
        <w:ind w:firstLine="709"/>
        <w:jc w:val="both"/>
      </w:pPr>
      <w:r>
        <w:rPr>
          <w:rFonts w:ascii="Times New Roman" w:hAnsi="Times New Roman" w:cs="Times New Roman"/>
          <w:b w:val="0"/>
          <w:i w:val="0"/>
        </w:rPr>
        <w:t>Результат этапа: определена структура данных ресурса, соответствующая предметной модели (системы знаний, их зоны, вопросы для осмысления, методы решения, шаги методов, задачи, шаги решения, элементы схем, учебные сессии, попытки). Описаны основные пользовательские сценарии ученика (вход в систему, выбор темы и системы знаний, прохождение этапов, получение обратной связи, завершение изучения) и учителя (управление структурой курса, формирование содержания систем знаний и задач, просмотр результатов обучающихся).</w:t>
      </w:r>
    </w:p>
    <w:p>
      <w:pPr>
        <w:spacing w:before="160" w:after="80"/>
        <w:ind w:firstLine="0"/>
        <w:jc w:val="left"/>
      </w:pPr>
      <w:r>
        <w:rPr>
          <w:rFonts w:ascii="Times New Roman" w:hAnsi="Times New Roman"/>
          <w:b/>
          <w:i/>
          <w:sz w:val="28"/>
        </w:rPr>
        <w:t>Этап 7. Проектирование клиент-серверной архитектуры</w:t>
      </w:r>
    </w:p>
    <w:p>
      <w:pPr>
        <w:spacing w:before="0" w:after="0"/>
        <w:ind w:firstLine="709"/>
        <w:jc w:val="both"/>
      </w:pPr>
      <w:r>
        <w:rPr>
          <w:rFonts w:ascii="Times New Roman" w:hAnsi="Times New Roman" w:cs="Times New Roman"/>
          <w:b w:val="0"/>
          <w:i w:val="0"/>
        </w:rPr>
        <w:t>Результат этапа: выбран клиент-серверный подход с разделением ответственности. На серверной стороне сосредоточены бизнес-логика учебной деятельности (переходы между этапами, проверка ответов, фиксация прогресса), хранение учебного содержания и результатов работы обучающихся, разграничение ролей «ученик — учитель — администратор». На клиентской стороне реализованы пользовательские интерфейсы ученика и учителя. Взаимодействие осуществляется через программный интерфейс прикладной области (REST API). Конкретные технологические решения (веб-фреймворк, реляционная СУБД, среда исполнения клиентского интерфейса) выбраны с учётом требований к переносимости и развёртыванию, подробное их описание выходит за рамки настоящей статьи и рассматривается во второй части исследования.</w:t>
      </w:r>
    </w:p>
    <w:p>
      <w:pPr>
        <w:spacing w:before="240" w:after="120"/>
        <w:ind w:firstLine="0"/>
        <w:jc w:val="left"/>
      </w:pPr>
      <w:r>
        <w:rPr>
          <w:rFonts w:ascii="Times New Roman" w:hAnsi="Times New Roman"/>
          <w:b/>
          <w:sz w:val="28"/>
        </w:rPr>
        <w:t>Алгоритм организации учебной деятельности в ЭОР</w:t>
      </w:r>
    </w:p>
    <w:p>
      <w:pPr>
        <w:spacing w:before="0" w:after="0"/>
        <w:ind w:firstLine="709"/>
        <w:jc w:val="both"/>
      </w:pPr>
      <w:r>
        <w:rPr>
          <w:rFonts w:ascii="Times New Roman" w:hAnsi="Times New Roman" w:cs="Times New Roman"/>
          <w:b w:val="0"/>
          <w:i w:val="0"/>
        </w:rPr>
        <w:t>Обобщённый алгоритм работы ученика в ресурсе (рис. 1) включает следующие этапы.</w:t>
      </w:r>
    </w:p>
    <w:p>
      <w:pPr>
        <w:spacing w:before="0" w:after="0"/>
        <w:ind w:firstLine="709"/>
        <w:jc w:val="both"/>
      </w:pPr>
      <w:r>
        <w:rPr>
          <w:rFonts w:ascii="Times New Roman" w:hAnsi="Times New Roman" w:cs="Times New Roman"/>
          <w:b w:val="0"/>
          <w:i w:val="0"/>
        </w:rPr>
        <w:t>1. Вход в систему и выбор системы знаний. Учащийся переходит к каталогу, последовательно выбирает класс, раздел курса, тему, и, наконец, систему знаний о физическом явлении. Ресурс открывает соответствующую учебную сессию и фиксирует её начало.</w:t>
      </w:r>
    </w:p>
    <w:p>
      <w:pPr>
        <w:spacing w:before="0" w:after="0"/>
        <w:ind w:firstLine="709"/>
        <w:jc w:val="both"/>
      </w:pPr>
      <w:r>
        <w:rPr>
          <w:rFonts w:ascii="Times New Roman" w:hAnsi="Times New Roman" w:cs="Times New Roman"/>
          <w:b w:val="0"/>
          <w:i w:val="0"/>
        </w:rPr>
        <w:t>2. Осмысление системы знаний. Учащемуся предъявляется учебная карточка системы знаний с выделенными зонами и набором заданий: соотнесение элементов с зонами, выбор верного утверждения, заполнение пропусков в тексте. Задача этапа — сформировать полную ориентировочную основу последующих действий.</w:t>
      </w:r>
    </w:p>
    <w:p>
      <w:pPr>
        <w:spacing w:before="0" w:after="0"/>
        <w:ind w:firstLine="709"/>
        <w:jc w:val="both"/>
      </w:pPr>
      <w:r>
        <w:rPr>
          <w:rFonts w:ascii="Times New Roman" w:hAnsi="Times New Roman" w:cs="Times New Roman"/>
          <w:b w:val="0"/>
          <w:i w:val="0"/>
        </w:rPr>
        <w:t>3. Типовая задача. После прохождения этапа осмысления учащемуся предъявляется формулировка типовой задачи и её развёрнутое решение. Типовая задача играет роль образца и служит переходом от ориентировочной части действия к собственному его выполнению.</w:t>
      </w:r>
    </w:p>
    <w:p>
      <w:pPr>
        <w:spacing w:before="0" w:after="0"/>
        <w:ind w:firstLine="709"/>
        <w:jc w:val="both"/>
      </w:pPr>
      <w:r>
        <w:rPr>
          <w:rFonts w:ascii="Times New Roman" w:hAnsi="Times New Roman" w:cs="Times New Roman"/>
          <w:b w:val="0"/>
          <w:i w:val="0"/>
        </w:rPr>
        <w:t>4. Выбор трудности задания. Учащийся оценивает трудность предстоящей деятельности и выбирает один из трёх уровней — «лёгкое», «непростое», «трудное». Выбор определяет вариант маршрута.</w:t>
      </w:r>
    </w:p>
    <w:p>
      <w:pPr>
        <w:spacing w:before="0" w:after="0"/>
        <w:ind w:firstLine="709"/>
        <w:jc w:val="both"/>
      </w:pPr>
      <w:r>
        <w:rPr>
          <w:rFonts w:ascii="Times New Roman" w:hAnsi="Times New Roman" w:cs="Times New Roman"/>
          <w:b w:val="0"/>
          <w:i w:val="0"/>
        </w:rPr>
        <w:t>5. Составление метода решения (варианты I–II). Учащемуся предъявляется частично заполненный перечень шагов обобщённого метода решения типовых задач; пропущенные шаги он должен ввести самостоятельно, после чего ответы сверяются с эталоном. Этот этап соответствует переводу действия из материальной формы во внешнеречевую.</w:t>
      </w:r>
    </w:p>
    <w:p>
      <w:pPr>
        <w:spacing w:before="0" w:after="0"/>
        <w:ind w:firstLine="709"/>
        <w:jc w:val="both"/>
      </w:pPr>
      <w:r>
        <w:rPr>
          <w:rFonts w:ascii="Times New Roman" w:hAnsi="Times New Roman" w:cs="Times New Roman"/>
          <w:b w:val="0"/>
          <w:i w:val="0"/>
        </w:rPr>
        <w:t>6. Пооперационный контроль (вариант I). Учащемуся последовательно предъявляются задачи и шаги решения с промежуточной проверкой каждого шага и с корректирующей обратной связью. При двух ошибках подряд на одном шаге ученику предлагается принять вариант программы и продолжить решение, что обеспечивает непрерывность учебного движения и исключает безрезультатное «застревание».</w:t>
      </w:r>
    </w:p>
    <w:p>
      <w:pPr>
        <w:spacing w:before="0" w:after="0"/>
        <w:ind w:firstLine="709"/>
        <w:jc w:val="both"/>
      </w:pPr>
      <w:r>
        <w:rPr>
          <w:rFonts w:ascii="Times New Roman" w:hAnsi="Times New Roman" w:cs="Times New Roman"/>
          <w:b w:val="0"/>
          <w:i w:val="0"/>
        </w:rPr>
        <w:t>7. Решение задач (все варианты). Учащийся самостоятельно решает задачи выбранного уровня сложности и вводит ответ; при необходимости строит модель ситуации на встроенном графическом редакторе. Количество задач, обязательных для прохождения, определяется вариантом маршрута.</w:t>
      </w:r>
    </w:p>
    <w:p>
      <w:pPr>
        <w:spacing w:before="0" w:after="0"/>
        <w:ind w:firstLine="709"/>
        <w:jc w:val="both"/>
      </w:pPr>
      <w:r>
        <w:rPr>
          <w:rFonts w:ascii="Times New Roman" w:hAnsi="Times New Roman" w:cs="Times New Roman"/>
          <w:b w:val="0"/>
          <w:i w:val="0"/>
        </w:rPr>
        <w:t>8. Завершение и контроль. По итогам сессии формируется интегральная оценка усвоения. В случаях, предусмотренных настройкой ресурса, работа передаётся на проверку преподавателю; итоговая оценка учитывает данные автоматической проверки, оценку преподавателя и активность учащегося при прохождении этапов.</w:t>
      </w:r>
    </w:p>
    <w:p>
      <w:pPr>
        <w:spacing w:before="0" w:after="0"/>
        <w:ind w:firstLine="709"/>
        <w:jc w:val="both"/>
      </w:pPr>
      <w:r>
        <w:rPr>
          <w:rFonts w:ascii="Times New Roman" w:hAnsi="Times New Roman" w:cs="Times New Roman"/>
          <w:b w:val="0"/>
          <w:i w:val="0"/>
        </w:rPr>
        <w:t>Переходы между этапами регулируются условиями допустимости, исключающими произвольный порядок прохождения. Благодаря этому педагогическая логика, заложенная в проект, выполняется независимо от поведения пользователя.</w:t>
      </w:r>
    </w:p>
    <w:p>
      <w:pPr>
        <w:spacing w:before="120" w:after="60"/>
        <w:ind w:firstLine="0"/>
        <w:jc w:val="center"/>
      </w:pPr>
      <w:r>
        <w:drawing>
          <wp:inline xmlns:a="http://schemas.openxmlformats.org/drawingml/2006/main" xmlns:pic="http://schemas.openxmlformats.org/drawingml/2006/picture">
            <wp:extent cx="5220000" cy="2913488"/>
            <wp:docPr id="2" name="Picture 2"/>
            <wp:cNvGraphicFramePr>
              <a:graphicFrameLocks noChangeAspect="1"/>
            </wp:cNvGraphicFramePr>
            <a:graphic>
              <a:graphicData uri="http://schemas.openxmlformats.org/drawingml/2006/picture">
                <pic:pic>
                  <pic:nvPicPr>
                    <pic:cNvPr id="0" name="fig2_stages_modules.png"/>
                    <pic:cNvPicPr/>
                  </pic:nvPicPr>
                  <pic:blipFill>
                    <a:blip r:embed="rId10"/>
                    <a:stretch>
                      <a:fillRect/>
                    </a:stretch>
                  </pic:blipFill>
                  <pic:spPr>
                    <a:xfrm>
                      <a:off x="0" y="0"/>
                      <a:ext cx="5220000" cy="2913488"/>
                    </a:xfrm>
                    <a:prstGeom prst="rect"/>
                  </pic:spPr>
                </pic:pic>
              </a:graphicData>
            </a:graphic>
          </wp:inline>
        </w:drawing>
      </w:r>
    </w:p>
    <w:p>
      <w:pPr>
        <w:spacing w:before="0" w:after="160"/>
        <w:ind w:firstLine="0"/>
        <w:jc w:val="center"/>
      </w:pPr>
      <w:r>
        <w:rPr>
          <w:rFonts w:ascii="Times New Roman" w:hAnsi="Times New Roman"/>
          <w:i/>
          <w:sz w:val="24"/>
        </w:rPr>
        <w:t>Рис. 2. Соответствие этапов поэтапного формирования умственных действий и функциональных элементов ЭОР</w:t>
      </w:r>
    </w:p>
    <w:p>
      <w:pPr>
        <w:spacing w:before="240" w:after="120"/>
        <w:ind w:firstLine="0"/>
        <w:jc w:val="left"/>
      </w:pPr>
      <w:r>
        <w:rPr>
          <w:rFonts w:ascii="Times New Roman" w:hAnsi="Times New Roman"/>
          <w:b/>
          <w:sz w:val="28"/>
        </w:rPr>
        <w:t>Заключение</w:t>
      </w:r>
    </w:p>
    <w:p>
      <w:pPr>
        <w:spacing w:before="0" w:after="0"/>
        <w:ind w:firstLine="709"/>
        <w:jc w:val="both"/>
      </w:pPr>
      <w:r>
        <w:rPr>
          <w:rFonts w:ascii="Times New Roman" w:hAnsi="Times New Roman" w:cs="Times New Roman"/>
          <w:b w:val="0"/>
          <w:i w:val="0"/>
        </w:rPr>
        <w:t>В ходе исследования выполнено педагогическое проектирование электронного образовательного ресурса по физике для основной школы, ориентированного на усвоение учащимися систем знаний о физических явлениях.</w:t>
      </w:r>
    </w:p>
    <w:p>
      <w:pPr>
        <w:spacing w:before="0" w:after="0"/>
        <w:ind w:firstLine="709"/>
        <w:jc w:val="both"/>
      </w:pPr>
      <w:r>
        <w:rPr>
          <w:rFonts w:ascii="Times New Roman" w:hAnsi="Times New Roman" w:cs="Times New Roman"/>
          <w:b w:val="0"/>
          <w:i w:val="0"/>
        </w:rPr>
        <w:t>Компактное описание логики проектирования ресурса может быть представлено следующей последовательностью: от теоретического основания (теория поэтапного формирования умственных действий и её конкретизация в методике обучения физике) к обобщённой модели учебной деятельности (совокупность этапов усвоения системы знаний и трёх вариантов их прохождения по трудности задания); от модели учебной деятельности — к алгоритму работы учащегося с ресурсом (порядок этапов и условия переходов между ними); от алгоритма — к функциональной структуре ЭОР (модули, каждый из которых реализует свой этап усвоения) и далее к проектным решениям по структуре данных, пользовательским сценариям и клиент-серверной архитектуре. Такая последовательность обеспечивает воспроизводимость педагогической идеи на уровне устройства ресурса.</w:t>
      </w:r>
    </w:p>
    <w:p>
      <w:pPr>
        <w:spacing w:before="0" w:after="0"/>
        <w:ind w:firstLine="709"/>
        <w:jc w:val="both"/>
      </w:pPr>
      <w:r>
        <w:rPr>
          <w:rFonts w:ascii="Times New Roman" w:hAnsi="Times New Roman" w:cs="Times New Roman"/>
          <w:b w:val="0"/>
          <w:i w:val="0"/>
        </w:rPr>
        <w:t>Научно-методическая новизна состоит в том, что положения теории поэтапного формирования умственных действий и трёх вариантов последовательности учебных действий для формирования систем физических знаний доведены до уровня обобщённого алгоритма работы ученика с электронным ресурсом и до состава функциональных модулей, реализующих отдельные этапы усвоения. В результате предложена модель ЭОР, в которой вариативность маршрута и поддержка каждого этапа усвоения заданы не отдельными методическими рекомендациями, а внутренней логикой ресурса.</w:t>
      </w:r>
    </w:p>
    <w:p>
      <w:pPr>
        <w:spacing w:before="0" w:after="0"/>
        <w:ind w:firstLine="709"/>
        <w:jc w:val="both"/>
      </w:pPr>
      <w:r>
        <w:rPr>
          <w:rFonts w:ascii="Times New Roman" w:hAnsi="Times New Roman" w:cs="Times New Roman"/>
          <w:b w:val="0"/>
          <w:i w:val="0"/>
        </w:rPr>
        <w:t>Практическая значимость результатов определяется тем, что спроектированная модель может быть использована при разработке ЭОР по другим системам физических знаний, а также при создании цифровых ресурсов по иным школьным предметам, допускающих интерпретацию содержания в терминах систем знаний и обобщённых методов действия. Описанная структура данных и состав пользовательских сценариев могут служить типовым ориентиром для коллективов, занимающихся педагогическим проектированием ЭОР.</w:t>
      </w:r>
    </w:p>
    <w:p>
      <w:pPr>
        <w:spacing w:before="0" w:after="0"/>
        <w:ind w:firstLine="709"/>
        <w:jc w:val="both"/>
      </w:pPr>
      <w:r>
        <w:rPr>
          <w:rFonts w:ascii="Times New Roman" w:hAnsi="Times New Roman" w:cs="Times New Roman"/>
          <w:b w:val="0"/>
          <w:i w:val="0"/>
        </w:rPr>
        <w:t>Перспектива дальнейшей работы связана с описанием реализованного прототипа ресурса и его педагогических возможностей, а также с экспериментальной проверкой эффективности разработанной модели в условиях школьной практики.</w:t>
      </w:r>
    </w:p>
    <w:p>
      <w:pPr>
        <w:spacing w:before="240" w:after="120"/>
        <w:ind w:firstLine="0"/>
        <w:jc w:val="left"/>
      </w:pPr>
      <w:r>
        <w:rPr>
          <w:rFonts w:ascii="Times New Roman" w:hAnsi="Times New Roman"/>
          <w:b/>
          <w:sz w:val="28"/>
        </w:rPr>
        <w:t>Список литературы</w:t>
      </w:r>
    </w:p>
    <w:p>
      <w:pPr>
        <w:spacing w:before="0" w:after="0"/>
        <w:ind w:left="425" w:hanging="425"/>
        <w:jc w:val="both"/>
      </w:pPr>
      <w:r>
        <w:rPr>
          <w:rFonts w:ascii="Times New Roman" w:hAnsi="Times New Roman"/>
          <w:sz w:val="24"/>
        </w:rPr>
        <w:t>1. Федеральный государственный образовательный стандарт основного общего образования : утв. приказом Министерства просвещения Российской Федерации от 31 мая 2021 г. № 287 (с изм. от 18.07.2022 № 568). — URL: http://publication.pravo.gov.ru/Document/View/0001202107050027 (дата обращения: 15.04.2026).</w:t>
      </w:r>
    </w:p>
    <w:p>
      <w:pPr>
        <w:spacing w:before="0" w:after="0"/>
        <w:ind w:left="425" w:hanging="425"/>
        <w:jc w:val="both"/>
      </w:pPr>
      <w:r>
        <w:rPr>
          <w:rFonts w:ascii="Times New Roman" w:hAnsi="Times New Roman"/>
          <w:sz w:val="24"/>
        </w:rPr>
        <w:t>2. Федеральная рабочая программа основного общего образования. Физика. Базовый уровень : утв. приказом Минпросвещения России от 18.05.2023 № 370. — М. : Институт стратегии развития образования, 2023. — 66 с. — URL: https://edsoo.ru/wp-content/uploads/2023/08/frp-fizika_7-9-klassy_baz.pdf (дата обращения: 15.04.2026).</w:t>
      </w:r>
    </w:p>
    <w:p>
      <w:pPr>
        <w:spacing w:before="0" w:after="0"/>
        <w:ind w:left="425" w:hanging="425"/>
        <w:jc w:val="both"/>
      </w:pPr>
      <w:r>
        <w:rPr>
          <w:rFonts w:ascii="Times New Roman" w:hAnsi="Times New Roman"/>
          <w:sz w:val="24"/>
        </w:rPr>
        <w:t>3. Статистико-аналитические отчёты о результатах основного государственного экзамена по физике в 2024 году (по регионам Российской Федерации). — URL: https://doc.fipi.ru/gia/statistika-oge/2024 (дата обращения: 15.04.2026).</w:t>
      </w:r>
    </w:p>
    <w:p>
      <w:pPr>
        <w:spacing w:before="0" w:after="0"/>
        <w:ind w:left="425" w:hanging="425"/>
        <w:jc w:val="both"/>
      </w:pPr>
      <w:r>
        <w:rPr>
          <w:rFonts w:ascii="Times New Roman" w:hAnsi="Times New Roman"/>
          <w:sz w:val="24"/>
        </w:rPr>
        <w:t>4. ГОСТ Р 53620-2009. Информационно-коммуникационные технологии в образовании. Электронные образовательные ресурсы. Общие положения. — М. : Стандартинформ, 2011. — 11 с.</w:t>
      </w:r>
    </w:p>
    <w:p>
      <w:pPr>
        <w:spacing w:before="0" w:after="0"/>
        <w:ind w:left="425" w:hanging="425"/>
        <w:jc w:val="both"/>
      </w:pPr>
      <w:r>
        <w:rPr>
          <w:rFonts w:ascii="Times New Roman" w:hAnsi="Times New Roman"/>
          <w:sz w:val="24"/>
        </w:rPr>
        <w:t>5. Об утверждении порядка формирования федерального перечня электронных образовательных ресурсов, допущенных к использованию при реализации имеющих государственную аккредитацию образовательных программ начального общего, основного общего, среднего общего образования : приказ Минпросвещения России от 02.04.2024 № 243. — URL: http://publication.pravo.gov.ru/document/0001202405240022 (дата обращения: 15.04.2026).</w:t>
      </w:r>
    </w:p>
    <w:p>
      <w:pPr>
        <w:spacing w:before="0" w:after="0"/>
        <w:ind w:left="425" w:hanging="425"/>
        <w:jc w:val="both"/>
      </w:pPr>
      <w:r>
        <w:rPr>
          <w:rFonts w:ascii="Times New Roman" w:hAnsi="Times New Roman"/>
          <w:sz w:val="24"/>
        </w:rPr>
        <w:t>6. Федеральный перечень электронных образовательных ресурсов, допущенных к использованию при реализации имеющих государственную аккредитацию образовательных программ. — URL: https://fpu.edsoo.ru/ (дата обращения: 15.04.2026).</w:t>
      </w:r>
    </w:p>
    <w:p>
      <w:pPr>
        <w:spacing w:before="0" w:after="0"/>
        <w:ind w:left="425" w:hanging="425"/>
        <w:jc w:val="both"/>
      </w:pPr>
      <w:r>
        <w:rPr>
          <w:rFonts w:ascii="Times New Roman" w:hAnsi="Times New Roman"/>
          <w:sz w:val="24"/>
        </w:rPr>
        <w:t>7. Гальперин П. Я. Психология как объективная наука : избранные психологические труды / под ред. А. И. Подольского. — М. : Изд-во Московского психолого-социального института ; Воронеж : НПО «МОДЭК», 2003. — 480 с.</w:t>
      </w:r>
    </w:p>
    <w:p>
      <w:pPr>
        <w:spacing w:before="0" w:after="0"/>
        <w:ind w:left="425" w:hanging="425"/>
        <w:jc w:val="both"/>
      </w:pPr>
      <w:r>
        <w:rPr>
          <w:rFonts w:ascii="Times New Roman" w:hAnsi="Times New Roman"/>
          <w:sz w:val="24"/>
        </w:rPr>
        <w:t>8. Гальперин П. Я. Лекции по психологии : учебное пособие для студентов вузов. — М. : Книжный дом «Университет» : Высшая школа, 2002. — 400 с.</w:t>
      </w:r>
    </w:p>
    <w:p>
      <w:pPr>
        <w:spacing w:before="0" w:after="0"/>
        <w:ind w:left="425" w:hanging="425"/>
        <w:jc w:val="both"/>
      </w:pPr>
      <w:r>
        <w:rPr>
          <w:rFonts w:ascii="Times New Roman" w:hAnsi="Times New Roman"/>
          <w:sz w:val="24"/>
        </w:rPr>
        <w:t>9. Прояненкова Л. А. Методика обучения физике. Формирование и применение систем физических знаний в основной школе : учебное пособие для студентов педагогических вузов. — М. : МПГУ, 2014. — 176 с.</w:t>
      </w:r>
    </w:p>
    <w:p>
      <w:pPr>
        <w:spacing w:before="0" w:after="0"/>
        <w:ind w:left="425" w:hanging="425"/>
        <w:jc w:val="both"/>
      </w:pPr>
      <w:r>
        <w:rPr>
          <w:rFonts w:ascii="Times New Roman" w:hAnsi="Times New Roman"/>
          <w:sz w:val="24"/>
        </w:rPr>
        <w:t>10. Прояненкова Л. А. Формирование умения решать типовые задачи по физике на основе теории поэтапного формирования умственных действий // Физика в школе. — 2012. — № 4. — С. 34–41.</w:t>
      </w:r>
    </w:p>
    <w:p>
      <w:pPr>
        <w:spacing w:before="0" w:after="0"/>
        <w:ind w:left="425" w:hanging="425"/>
        <w:jc w:val="both"/>
      </w:pPr>
      <w:r>
        <w:rPr>
          <w:rFonts w:ascii="Times New Roman" w:hAnsi="Times New Roman"/>
          <w:sz w:val="24"/>
        </w:rPr>
        <w:t>11. Талызина Н. Ф. Управление процессом усвоения знаний (психологические основы). — 2-е изд., доп. и испр. — М. : Изд-во Московского университета, 1984. — 344 с.</w:t>
      </w:r>
    </w:p>
    <w:p>
      <w:pPr>
        <w:spacing w:before="0" w:after="0"/>
        <w:ind w:left="425" w:hanging="425"/>
        <w:jc w:val="both"/>
      </w:pPr>
      <w:r>
        <w:rPr>
          <w:rFonts w:ascii="Times New Roman" w:hAnsi="Times New Roman"/>
          <w:sz w:val="24"/>
        </w:rPr>
        <w:t>12. Ильясов И. И. Структура процесса учения. — М. : Изд-во Московского университета, 1986. — 200 с.</w:t>
      </w:r>
    </w:p>
    <w:p>
      <w:pPr>
        <w:spacing w:before="0" w:after="0"/>
        <w:ind w:left="425" w:hanging="425"/>
        <w:jc w:val="both"/>
      </w:pPr>
      <w:r>
        <w:rPr>
          <w:rFonts w:ascii="Times New Roman" w:hAnsi="Times New Roman"/>
          <w:sz w:val="24"/>
        </w:rPr>
        <w:t>13. Усова А. В. Формирование у учащихся учебных умений. — М. : Знание, 1987. — 80 с.</w:t>
      </w:r>
    </w:p>
    <w:p>
      <w:pPr>
        <w:spacing w:before="0" w:after="0"/>
        <w:ind w:left="425" w:hanging="425"/>
        <w:jc w:val="both"/>
      </w:pPr>
      <w:r>
        <w:rPr>
          <w:rFonts w:ascii="Times New Roman" w:hAnsi="Times New Roman"/>
          <w:sz w:val="24"/>
        </w:rPr>
        <w:t>14. Роберт И. В. Теория и методика информатизации образования (психолого-педагогический и технологический аспекты). — 3-е изд., доп. — М. : ИИО РАО, 2014. — 398 с.</w:t>
      </w:r>
    </w:p>
    <w:p>
      <w:pPr>
        <w:spacing w:before="0" w:after="0"/>
        <w:ind w:left="425" w:hanging="425"/>
        <w:jc w:val="both"/>
      </w:pPr>
      <w:r>
        <w:rPr>
          <w:rFonts w:ascii="Times New Roman" w:hAnsi="Times New Roman"/>
          <w:sz w:val="24"/>
        </w:rPr>
        <w:t>15. Стариченко Б. Е. Цифровизация образования: иллюзии и ожидания // Педагогическое образование в России. — 2020. — № 3. — С. 49–58.</w:t>
      </w:r>
    </w:p>
    <w:sectPr w:rsidR="00FC693F" w:rsidRPr="0006063C"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before="0" w:after="0"/>
      <w:ind w:firstLine="709"/>
      <w:jc w:val="both"/>
    </w:pPr>
    <w:rPr>
      <w:rFonts w:ascii="Times New Roman" w:hAnsi="Times New Roman" w:cs="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