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7 — Flushing (SSP G7)</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0</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4</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18</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12</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34</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L’Appel A du LOT_7 est exact sur les médicaments et les seuils que j’ai vérifiés, et toutes les corrections du rapport V6 sont appliquées, sauf une correction de sigles appliquée en partie.</w:t>
      </w:r>
    </w:p>
    <w:p>
      <w:pPr>
        <w:spacing w:after="40"/>
      </w:pPr>
      <w:r>
        <w:rPr>
          <w:sz w:val="17"/>
          <w:szCs w:val="17"/>
        </w:rPr>
        <w:t xml:space="preserve">Le lot reste incomplet sans les Parties 1 à 4 ; l’Appel A doit encore nommer le carcinome médullaire de la thyroïde et le VIPome, compléter la sécurité de l’adrénaline et chiffrer ses données : 12 constats (0 Critique, 2 Graves, 9 Moyens, 1 Léger).</w:t>
      </w:r>
    </w:p>
    <w:p>
      <w:pPr>
        <w:spacing w:after="40"/>
      </w:pPr>
      <w:r>
        <w:rPr>
          <w:sz w:val="17"/>
          <w:szCs w:val="17"/>
        </w:rPr>
        <w:t xml:space="preserve">Le LOT_7 ne contient que l’Appel A et son rapport ; les Parties 1 à 4 manquent.</w:t>
      </w:r>
    </w:p>
    <w:p>
      <w:pPr>
        <w:spacing w:after="40"/>
      </w:pPr>
      <w:r>
        <w:rPr>
          <w:sz w:val="17"/>
          <w:szCs w:val="17"/>
        </w:rPr>
        <w:t xml:space="preserve">L’Appel A est sûr sur les doses et rigoureux sur les sources, mais il omet les fenêtres en ligne, le découpage 9.a–9.d, l’ordre pondéré par la gravité et le carcinome médullaire de la thyroïde.</w:t>
      </w:r>
    </w:p>
    <w:p>
      <w:pPr>
        <w:spacing w:after="40"/>
      </w:pPr>
      <w:r>
        <w:rPr>
          <w:sz w:val="17"/>
          <w:szCs w:val="17"/>
        </w:rPr>
        <w:t xml:space="preserve">Les défauts de langue sont surtout répétitifs et typographiques.</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LOT_7_Appel_A_V5_Ultra_Pedagogique_Plan_et_Liste.html</w:t>
            </w:r>
          </w:p>
        </w:tc>
        <w:tc>
          <w:tcPr>
            <w:tcW w:w="4600" w:type="dxa"/>
            <w:vAlign w:val="top"/>
          </w:tcPr>
          <w:p>
            <w:pPr>
              <w:spacing w:after="0"/>
            </w:pPr>
            <w:r>
              <w:rPr>
                <w:sz w:val="17"/>
                <w:szCs w:val="17"/>
              </w:rPr>
              <w:t xml:space="preserve">1hVO0rqkGgWLL5fWFpFLHlPZ064KxngxZ</w:t>
            </w:r>
          </w:p>
        </w:tc>
        <w:tc>
          <w:tcPr>
            <w:tcW w:w="1500" w:type="dxa"/>
            <w:vAlign w:val="top"/>
          </w:tcPr>
          <w:p>
            <w:pPr>
              <w:spacing w:after="0"/>
            </w:pPr>
            <w:r>
              <w:rPr>
                <w:sz w:val="17"/>
                <w:szCs w:val="17"/>
              </w:rPr>
              <w:t xml:space="preserve">164115</w:t>
            </w:r>
          </w:p>
        </w:tc>
        <w:tc>
          <w:tcPr>
            <w:tcW w:w="1900" w:type="dxa"/>
            <w:vAlign w:val="top"/>
          </w:tcPr>
          <w:p>
            <w:pPr>
              <w:spacing w:after="0"/>
            </w:pPr>
            <w:r>
              <w:rPr>
                <w:sz w:val="17"/>
                <w:szCs w:val="17"/>
              </w:rPr>
              <w:t xml:space="preserve">HTML</w:t>
            </w:r>
          </w:p>
        </w:tc>
      </w:tr>
      <w:tr>
        <w:trPr>
          <w:cantSplit/>
        </w:trPr>
        <w:tc>
          <w:tcPr>
            <w:tcW w:w="6400" w:type="dxa"/>
            <w:vAlign w:val="top"/>
          </w:tcPr>
          <w:p>
            <w:pPr>
              <w:spacing w:after="0"/>
            </w:pPr>
            <w:r>
              <w:rPr>
                <w:sz w:val="17"/>
                <w:szCs w:val="17"/>
              </w:rPr>
              <w:t xml:space="preserve">LOT_7_Rapport_Audit_Appel_A_V6.html</w:t>
            </w:r>
          </w:p>
        </w:tc>
        <w:tc>
          <w:tcPr>
            <w:tcW w:w="4600" w:type="dxa"/>
            <w:vAlign w:val="top"/>
          </w:tcPr>
          <w:p>
            <w:pPr>
              <w:spacing w:after="0"/>
            </w:pPr>
            <w:r>
              <w:rPr>
                <w:sz w:val="17"/>
                <w:szCs w:val="17"/>
              </w:rPr>
              <w:t xml:space="preserve">1NvWVXvsrDogIA3usXDYrY3rPRrUihjUu</w:t>
            </w:r>
          </w:p>
        </w:tc>
        <w:tc>
          <w:tcPr>
            <w:tcW w:w="1500" w:type="dxa"/>
            <w:vAlign w:val="top"/>
          </w:tcPr>
          <w:p>
            <w:pPr>
              <w:spacing w:after="0"/>
            </w:pPr>
            <w:r>
              <w:rPr>
                <w:sz w:val="17"/>
                <w:szCs w:val="17"/>
              </w:rPr>
              <w:t xml:space="preserve">40660</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0 problème(s)</w:t>
      </w:r>
    </w:p>
    <w:p>
      <w:pPr>
        <w:spacing w:after="120"/>
      </w:pPr>
      <w:r>
        <w:rPr>
          <w:i/>
          <w:sz w:val="18"/>
          <w:szCs w:val="18"/>
        </w:rPr>
        <w:t xml:space="preserve">Aucun problème de ce niveau.</w:t>
      </w:r>
    </w:p>
    <w:p>
      <w:pPr>
        <w:pStyle w:val="Titre1"/>
        <w:keepNext/>
      </w:pPr>
      <w:r>
        <w:rPr>
          <w:b/>
          <w:color w:val="C0392B"/>
          <w:sz w:val="26"/>
          <w:szCs w:val="26"/>
        </w:rPr>
        <w:t xml:space="preserve">Grave — 4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L7-L01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En-tête du fichier › paragraphe de présentation (constat valable pour tout le LOT_7)</w:t>
            </w:r>
          </w:p>
        </w:tc>
        <w:tc>
          <w:tcPr>
            <w:tcW w:w="2600" w:type="dxa"/>
            <w:vAlign w:val="top"/>
          </w:tcPr>
          <w:p>
            <w:pPr>
              <w:spacing w:after="0"/>
            </w:pPr>
            <w:r>
              <w:rPr>
                <w:i/>
                <w:sz w:val="17"/>
                <w:szCs w:val="17"/>
              </w:rPr>
              <w:t xml:space="preserve">« Le tableau différentiel fixe les dix diagnostics des groupes futurs sans développer leurs monographies. »</w:t>
            </w:r>
          </w:p>
        </w:tc>
        <w:tc>
          <w:tcPr>
            <w:tcW w:w="3000" w:type="dxa"/>
            <w:vAlign w:val="top"/>
          </w:tcPr>
          <w:p>
            <w:pPr>
              <w:spacing w:after="40"/>
            </w:pPr>
            <w:r>
              <w:rPr>
                <w:sz w:val="17"/>
                <w:szCs w:val="17"/>
              </w:rPr>
              <w:t xml:space="preserve">Le LOT_7 ne contient que l’Appel A et son rapport d’audit : les quatre fichiers de l’Appel B (Partie 1 DX.1–DX.2, Partie 2 DX.3–DX.5, Partie 3 DX.6–DX.7, Partie 4 DX.8–DX.10) manquent dans le dossier et dans le manifeste, si bien que le lot reste incomplet (4 fichiers absents).</w:t>
            </w:r>
          </w:p>
          <w:p>
            <w:pPr>
              <w:spacing w:after="0"/>
            </w:pPr>
            <w:r>
              <w:rPr>
                <w:b/>
                <w:color w:val="145A32"/>
                <w:sz w:val="17"/>
                <w:szCs w:val="17"/>
              </w:rPr>
              <w:t xml:space="preserve">→ Rédiger, auditer et déposer en .html les fichiers LOT_7_Appel_B_V5_Ultra_Pedagogique_Partie_1_DX.1_a_DX.2.html, …_Partie_2_DX.3_a_DX.5.html, …_Partie_3_DX.6_a_DX.7.html et …_Partie_4_DX.8_a_DX.10.html, puis mettre à jour le manifeste.</w:t>
            </w:r>
          </w:p>
        </w:tc>
        <w:tc>
          <w:tcPr>
            <w:tcW w:w="1800" w:type="dxa"/>
            <w:vAlign w:val="top"/>
          </w:tcPr>
          <w:p>
            <w:pPr>
              <w:spacing w:after="0"/>
            </w:pPr>
            <w:r>
              <w:rPr>
                <w:sz w:val="17"/>
                <w:szCs w:val="17"/>
              </w:rPr>
              <w:t xml:space="preserve">PROMPT_V6 (prompt de base PROFILES, Standard V6), § 4 (structure d’un lot — 5 fichiers, cadence 2-3-2-3) et § 11 (rôles et audit).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L7-L02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5 › fenêtre « Les drapeaux rouges distinguent l’urgence de l’exploration programmée » (même défaut aux points 6, 8, 9.j et 11.B–11.C)</w:t>
            </w:r>
          </w:p>
        </w:tc>
        <w:tc>
          <w:tcPr>
            <w:tcW w:w="2600" w:type="dxa"/>
            <w:vAlign w:val="top"/>
          </w:tcPr>
          <w:p>
            <w:pPr>
              <w:spacing w:after="0"/>
            </w:pPr>
            <w:r>
              <w:rPr>
                <w:i/>
                <w:sz w:val="17"/>
                <w:szCs w:val="17"/>
              </w:rPr>
              <w:t xml:space="preserve">« Le stridor est un bruit inspiratoire pouvant traduire une obstruction haute »</w:t>
            </w:r>
          </w:p>
        </w:tc>
        <w:tc>
          <w:tcPr>
            <w:tcW w:w="3000" w:type="dxa"/>
            <w:vAlign w:val="top"/>
          </w:tcPr>
          <w:p>
            <w:pPr>
              <w:spacing w:after="40"/>
            </w:pPr>
            <w:r>
              <w:rPr>
                <w:sz w:val="17"/>
                <w:szCs w:val="17"/>
              </w:rPr>
              <w:t xml:space="preserve">Les 53 fenêtres &lt;details&gt; sont toutes des blocs de section ; aucun terme sémiologique ou technique (stridor, bronchospasme, syncope, papule, pustule, télangiectasie, angio-œdème, phyma, KIT, CYP1A2, Child-Pugh, ictère) n’ouvre sa propre fenêtre en ligne, ce qui viole la règle « chaque terme technique ouvre une fenêtre ».</w:t>
            </w:r>
          </w:p>
          <w:p>
            <w:pPr>
              <w:spacing w:after="0"/>
            </w:pPr>
            <w:r>
              <w:rPr>
                <w:b/>
                <w:color w:val="145A32"/>
                <w:sz w:val="17"/>
                <w:szCs w:val="17"/>
              </w:rPr>
              <w:t xml:space="preserve">→ Envelopper chaque terme dans une fenêtre en ligne selon le gabarit : &lt;details style='display:inline;'&gt;&lt;summary …&gt;stridor&lt;/summary&gt;&lt;span …&gt;mécanisme pas à pas, exemple chiffré, piège, [Sn]&lt;/span&gt;&lt;/details&gt;, avec une définition tirée d’une source médicale citée.</w:t>
            </w:r>
          </w:p>
        </w:tc>
        <w:tc>
          <w:tcPr>
            <w:tcW w:w="1800" w:type="dxa"/>
            <w:vAlign w:val="top"/>
          </w:tcPr>
          <w:p>
            <w:pPr>
              <w:spacing w:after="0"/>
            </w:pPr>
            <w:r>
              <w:rPr>
                <w:sz w:val="17"/>
                <w:szCs w:val="17"/>
              </w:rPr>
              <w:t xml:space="preserve">PROMPT_V6 (prompt de base PROFILES, Standard V6), § 7 (fenêtres interactives) et § 9 (gabarit HTML5 canonique, fenêtre en ligne).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L7-M01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Bloc 2 › tableau « Futur découpage 2–3–2–3 » › ligne Premier groupe</w:t>
            </w:r>
          </w:p>
        </w:tc>
        <w:tc>
          <w:tcPr>
            <w:tcW w:w="2600" w:type="dxa"/>
            <w:vAlign w:val="top"/>
          </w:tcPr>
          <w:p>
            <w:pPr>
              <w:spacing w:after="0"/>
            </w:pPr>
            <w:r>
              <w:rPr>
                <w:i/>
                <w:sz w:val="17"/>
                <w:szCs w:val="17"/>
              </w:rPr>
              <w:t xml:space="preserve">« Il réunira DX.1 et DX.2. »</w:t>
            </w:r>
          </w:p>
        </w:tc>
        <w:tc>
          <w:tcPr>
            <w:tcW w:w="3000" w:type="dxa"/>
            <w:vAlign w:val="top"/>
          </w:tcPr>
          <w:p>
            <w:pPr>
              <w:spacing w:after="40"/>
            </w:pPr>
            <w:r>
              <w:rPr>
                <w:sz w:val="17"/>
                <w:szCs w:val="17"/>
              </w:rPr>
              <w:t xml:space="preserve">Le lot ne contient que l’Appel A et son rapport d’audit : les quatre fichiers de l’Appel B (Parties 1 à 4, DX.1 à DX.10) sont absents, donc aucune des dix monographies différentielles n’existe ni n’a été auditée.</w:t>
            </w:r>
          </w:p>
          <w:p>
            <w:pPr>
              <w:spacing w:after="0"/>
            </w:pPr>
            <w:r>
              <w:rPr>
                <w:b/>
                <w:color w:val="145A32"/>
                <w:sz w:val="17"/>
                <w:szCs w:val="17"/>
              </w:rPr>
              <w:t xml:space="preserve">→ Rédiger puis faire auditer par un agent distinct les fichiers LOT_7_Appel_B_V5_Ultra_Pedagogique_Partie_1_DX.1_a_DX.2.html, Partie_2_DX.3_a_DX.5.html, Partie_3_DX.6_a_DX.7.html et Partie_4_DX.8_a_DX.10.html, chacun en 14 points avec 11.A–D, puis les déposer en text/html.</w:t>
            </w:r>
          </w:p>
        </w:tc>
        <w:tc>
          <w:tcPr>
            <w:tcW w:w="1800" w:type="dxa"/>
            <w:vAlign w:val="top"/>
          </w:tcPr>
          <w:p>
            <w:pPr>
              <w:spacing w:after="0"/>
            </w:pPr>
            <w:r>
              <w:rPr>
                <w:sz w:val="17"/>
                <w:szCs w:val="17"/>
              </w:rPr>
              <w:t xml:space="preserve">PROMPT_V6 §4 (5 fichiers, cadence 2-3-2-3) et §11 ; LOT_7_MANIFESTE_CLONE.json (2 fichiers seulement).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L7-M02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4 › paragraphe « Les autres causes restent accessibles… » (répété dans Bloc 2 › Algorithme › dernière branche)</w:t>
            </w:r>
          </w:p>
        </w:tc>
        <w:tc>
          <w:tcPr>
            <w:tcW w:w="2600" w:type="dxa"/>
            <w:vAlign w:val="top"/>
          </w:tcPr>
          <w:p>
            <w:pPr>
              <w:spacing w:after="0"/>
            </w:pPr>
            <w:r>
              <w:rPr>
                <w:i/>
                <w:sz w:val="17"/>
                <w:szCs w:val="17"/>
              </w:rPr>
              <w:t xml:space="preserve">« une hyperthyroïdie, une hypoglycémie, une infection fébrile, une dermatose inflammatoire ou une autre tumeur peut imiter certains éléments »</w:t>
            </w:r>
          </w:p>
        </w:tc>
        <w:tc>
          <w:tcPr>
            <w:tcW w:w="3000" w:type="dxa"/>
            <w:vAlign w:val="top"/>
          </w:tcPr>
          <w:p>
            <w:pPr>
              <w:spacing w:after="40"/>
            </w:pPr>
            <w:r>
              <w:rPr>
                <w:sz w:val="17"/>
                <w:szCs w:val="17"/>
              </w:rPr>
              <w:t xml:space="preserve">Le cours ne nomme jamais le carcinome médullaire de la thyroïde (calcitonine) ni le VIPome (VIP), alors que la source S3 qu’il cite les inclut dans le bilan d’un flush ; la formule « une autre tumeur » laisse manquer deux tumeurs sécrétantes à évoquer devant un flush avec diarrhée ou nodule thyroïdien.</w:t>
            </w:r>
          </w:p>
          <w:p>
            <w:pPr>
              <w:spacing w:after="0"/>
            </w:pPr>
            <w:r>
              <w:rPr>
                <w:b/>
                <w:color w:val="145A32"/>
                <w:sz w:val="17"/>
                <w:szCs w:val="17"/>
              </w:rPr>
              <w:t xml:space="preserve">→ Ajouter au point 4, au point 9.m et à la dernière branche de l’algorithme : « Un flush avec diarrhée et nodule thyroïdien fait doser la calcitonine pour rechercher un carcinome médullaire de la thyroïde ; une diarrhée hydrique abondante fait évoquer un VIPome pancréatique et doser le VIP. [S3] » Préciser que ces causes hors liste seront citées dans les monographies DX.9 et DX.10.</w:t>
            </w:r>
          </w:p>
        </w:tc>
        <w:tc>
          <w:tcPr>
            <w:tcW w:w="1800" w:type="dxa"/>
            <w:vAlign w:val="top"/>
          </w:tcPr>
          <w:p>
            <w:pPr>
              <w:spacing w:after="0"/>
            </w:pPr>
            <w:r>
              <w:rPr>
                <w:sz w:val="17"/>
                <w:szCs w:val="17"/>
              </w:rPr>
              <w:t xml:space="preserve">[S3] La Revue du Praticien — Quel bilan devant un flush ? — 2021 — https://www.larevuedupraticien.fr/exercice/quel-bilan-devant-un-flush — consulté le 22.10.2026 (calcitonine et VIP dans la liste des dosages, VIPome pancréatique à l’imagerie, nodule thyroïdien comme signe d’alerte).</w:t>
            </w:r>
          </w:p>
        </w:tc>
      </w:tr>
    </w:tbl>
    <w:p>
      <w:pPr>
        <w:spacing w:after="120"/>
      </w:pPr>
    </w:p>
    <w:p>
      <w:pPr>
        <w:pStyle w:val="Titre1"/>
        <w:keepNext/>
      </w:pPr>
      <w:r>
        <w:rPr>
          <w:b/>
          <w:color w:val="B9770E"/>
          <w:sz w:val="26"/>
          <w:szCs w:val="26"/>
        </w:rPr>
        <w:t xml:space="preserve">Moyen — 18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Bloc 2 › algorithme discriminant › paragraphe « Si aucun diagnostic ne reste cohérent »</w:t>
            </w:r>
          </w:p>
        </w:tc>
        <w:tc>
          <w:tcPr>
            <w:tcW w:w="2600" w:type="dxa"/>
            <w:vAlign w:val="top"/>
          </w:tcPr>
          <w:p>
            <w:pPr>
              <w:spacing w:after="0"/>
            </w:pPr>
            <w:r>
              <w:rPr>
                <w:i/>
                <w:sz w:val="17"/>
                <w:szCs w:val="17"/>
              </w:rPr>
              <w:t xml:space="preserve">« Une thyrotoxicose, une hypoglycémie, une infection ou une autre tumeur ne doit pas être exclue simplement parce qu’elle ne figure pas parmi les dix monographies »</w:t>
            </w:r>
          </w:p>
        </w:tc>
        <w:tc>
          <w:tcPr>
            <w:tcW w:w="3000" w:type="dxa"/>
            <w:vAlign w:val="top"/>
          </w:tcPr>
          <w:p>
            <w:pPr>
              <w:spacing w:after="40"/>
            </w:pPr>
            <w:r>
              <w:rPr>
                <w:sz w:val="17"/>
                <w:szCs w:val="17"/>
              </w:rPr>
              <w:t xml:space="preserve">Le fichier ne nomme jamais le carcinome médullaire de la thyroïde ni la calcitonine, alors que la source S3 du dossier les classe parmi les causes graves de flush avec leur bilan ; la mention vague « une autre tumeur » laisse une cause grave sans examen discriminant.</w:t>
            </w:r>
          </w:p>
          <w:p>
            <w:pPr>
              <w:spacing w:after="0"/>
            </w:pPr>
            <w:r>
              <w:rPr>
                <w:b/>
                <w:color w:val="145A32"/>
                <w:sz w:val="17"/>
                <w:szCs w:val="17"/>
              </w:rPr>
              <w:t xml:space="preserve">→ Nommer le carcinome médullaire de la thyroïde au point 4 (causes graves à exclure), au point 9 (calcitonine sérique et échographie thyroïdienne en indication ciblée) et dans la branche « hors liste » de l’algorithme, ou justifier par une source son exclusion des dix DX.</w:t>
            </w:r>
          </w:p>
        </w:tc>
        <w:tc>
          <w:tcPr>
            <w:tcW w:w="1800" w:type="dxa"/>
            <w:vAlign w:val="top"/>
          </w:tcPr>
          <w:p>
            <w:pPr>
              <w:spacing w:after="0"/>
            </w:pPr>
            <w:r>
              <w:rPr>
                <w:sz w:val="17"/>
                <w:szCs w:val="17"/>
              </w:rPr>
              <w:t xml:space="preserve">La Revue du Praticien — « Principales causes de flush et leur bilan paraclinique » (outil), https://www.larevuedupraticien.fr/outil/causes-de-flush-et-leur-bilan-paraclinique ; EM-Consulte — « Etiologies and management of cutaneous flushing: Malignant causes », 2017, https://www.em-consulte.com/en/article/1135275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Bloc 2 › paragraphe d’introduction de la liste différentielle</w:t>
            </w:r>
          </w:p>
        </w:tc>
        <w:tc>
          <w:tcPr>
            <w:tcW w:w="2600" w:type="dxa"/>
            <w:vAlign w:val="top"/>
          </w:tcPr>
          <w:p>
            <w:pPr>
              <w:spacing w:after="0"/>
            </w:pPr>
            <w:r>
              <w:rPr>
                <w:i/>
                <w:sz w:val="17"/>
                <w:szCs w:val="17"/>
              </w:rPr>
              <w:t xml:space="preserve">« Leur ordre est pédagogique et provisoire : il distingue les mécanismes usuels, puis les causes qui exigent de ne pas manquer une urgence »</w:t>
            </w:r>
          </w:p>
        </w:tc>
        <w:tc>
          <w:tcPr>
            <w:tcW w:w="3000" w:type="dxa"/>
            <w:vAlign w:val="top"/>
          </w:tcPr>
          <w:p>
            <w:pPr>
              <w:spacing w:after="40"/>
            </w:pPr>
            <w:r>
              <w:rPr>
                <w:sz w:val="17"/>
                <w:szCs w:val="17"/>
              </w:rPr>
              <w:t xml:space="preserve">Le prompt impose un ordre par fréquence suisse pondérée par la gravité ; l’ordre retenu est seulement pédagogique et relègue l’anaphylaxie, cause vitale, au 7e rang, ce qui contredit la pondération par la gravité.</w:t>
            </w:r>
          </w:p>
          <w:p>
            <w:pPr>
              <w:spacing w:after="0"/>
            </w:pPr>
            <w:r>
              <w:rPr>
                <w:b/>
                <w:color w:val="145A32"/>
                <w:sz w:val="17"/>
                <w:szCs w:val="17"/>
              </w:rPr>
              <w:t xml:space="preserve">→ Annoncer le critère « fréquence (non quantifiée) pondérée par la gravité » et remonter l’anaphylaxie (DX.7) dans les premiers rangs, ou expliquer en une phrase pourquoi la cadence 2-3-2-3 impose cet ordre tout en signalant la priorité d’urgence dans chaque badge.</w:t>
            </w:r>
          </w:p>
        </w:tc>
        <w:tc>
          <w:tcPr>
            <w:tcW w:w="1800" w:type="dxa"/>
            <w:vAlign w:val="top"/>
          </w:tcPr>
          <w:p>
            <w:pPr>
              <w:spacing w:after="0"/>
            </w:pPr>
            <w:r>
              <w:rPr>
                <w:sz w:val="17"/>
                <w:szCs w:val="17"/>
              </w:rPr>
              <w:t xml:space="preserve">PROMPT_V6 (prompt de base PROFILES, Standard V6), § 8 (diagnostics différentiels : 10 DX ordonnés par fréquence suisse sourcée, pondérée par la gravité).</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 › sous-titres 9.b à 9.m</w:t>
            </w:r>
          </w:p>
        </w:tc>
        <w:tc>
          <w:tcPr>
            <w:tcW w:w="2600" w:type="dxa"/>
            <w:vAlign w:val="top"/>
          </w:tcPr>
          <w:p>
            <w:pPr>
              <w:spacing w:after="0"/>
            </w:pPr>
            <w:r>
              <w:rPr>
                <w:i/>
                <w:sz w:val="17"/>
                <w:szCs w:val="17"/>
              </w:rPr>
              <w:t xml:space="preserve">« 9.d. Métanéphrines libres plasmatiques ou fractionnées urinaires »</w:t>
            </w:r>
          </w:p>
        </w:tc>
        <w:tc>
          <w:tcPr>
            <w:tcW w:w="3000" w:type="dxa"/>
            <w:vAlign w:val="top"/>
          </w:tcPr>
          <w:p>
            <w:pPr>
              <w:spacing w:after="40"/>
            </w:pPr>
            <w:r>
              <w:rPr>
                <w:sz w:val="17"/>
                <w:szCs w:val="17"/>
              </w:rPr>
              <w:t xml:space="preserve">Le point 9 n’applique pas le découpage canonique 9.a gold standard / 9.b 1re intention / 9.c alternatives / 9.d 2e intention : les lettres b à k désignent des examens isolés, les alternatives arrivent en 9.l et aucun palier de 2e intention n’est titré avec son critère de passage.</w:t>
            </w:r>
          </w:p>
          <w:p>
            <w:pPr>
              <w:spacing w:after="0"/>
            </w:pPr>
            <w:r>
              <w:rPr>
                <w:b/>
                <w:color w:val="145A32"/>
                <w:sz w:val="17"/>
                <w:szCs w:val="17"/>
              </w:rPr>
              <w:t xml:space="preserve">→ Regrouper les examens sous 9.b « Première intention » (journal, tryptase, TSH ciblée), 9.c « Alternatives » (actuel 9.l), 9.d « Deuxième intention » (métanéphrines, 5-HIAA, FSH ciblée, biopsie, imagerie) en écrivant pour chacun le critère précis de passage ; renuméroter les examens en 9.b.1, 9.d.1, etc.</w:t>
            </w:r>
          </w:p>
        </w:tc>
        <w:tc>
          <w:tcPr>
            <w:tcW w:w="1800" w:type="dxa"/>
            <w:vAlign w:val="top"/>
          </w:tcPr>
          <w:p>
            <w:pPr>
              <w:spacing w:after="0"/>
            </w:pPr>
            <w:r>
              <w:rPr>
                <w:sz w:val="17"/>
                <w:szCs w:val="17"/>
              </w:rPr>
              <w:t xml:space="preserve">PROMPT_V6 (prompt de base PROFILES, Standard V6), § 5, point 9 (9.a à 9.d).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2 › fenêtre « Les indicateurs doivent préciser leur population et leur définition » › tableau › ligne Prévalence</w:t>
            </w:r>
          </w:p>
        </w:tc>
        <w:tc>
          <w:tcPr>
            <w:tcW w:w="2600" w:type="dxa"/>
            <w:vAlign w:val="top"/>
          </w:tcPr>
          <w:p>
            <w:pPr>
              <w:spacing w:after="0"/>
            </w:pPr>
            <w:r>
              <w:rPr>
                <w:i/>
                <w:sz w:val="17"/>
                <w:szCs w:val="17"/>
              </w:rPr>
              <w:t xml:space="preserve">« Une prévalence nationale du flushing, toutes causes confondues, reste « donnée non trouvée dans les sources consultées ». »</w:t>
            </w:r>
          </w:p>
        </w:tc>
        <w:tc>
          <w:tcPr>
            <w:tcW w:w="3000" w:type="dxa"/>
            <w:vAlign w:val="top"/>
          </w:tcPr>
          <w:p>
            <w:pPr>
              <w:spacing w:after="40"/>
            </w:pPr>
            <w:r>
              <w:rPr>
                <w:sz w:val="17"/>
                <w:szCs w:val="17"/>
              </w:rPr>
              <w:t xml:space="preserve">Le point 2 ne donne aucun chiffre, ni pour le symptôme ni pour ses causes principales (symptômes vasomoteurs ménopausiques, rosacée, anaphylaxie), alors que les sources déjà citées S10 et S11 traitent ces populations ; l’étudiant ne reçoit aucun ordre de grandeur.</w:t>
            </w:r>
          </w:p>
          <w:p>
            <w:pPr>
              <w:spacing w:after="0"/>
            </w:pPr>
            <w:r>
              <w:rPr>
                <w:b/>
                <w:color w:val="145A32"/>
                <w:sz w:val="17"/>
                <w:szCs w:val="17"/>
              </w:rPr>
              <w:t xml:space="preserve">→ Ajouter, cause par cause et étiquetées comme telles, les prévalences ou incidences publiées dans S10 (symptômes vasomoteurs), S11 (rosacée) et S5 (anaphylaxie), avec leur population ; conserver « donnée non trouvée » pour le symptôme global.</w:t>
            </w:r>
          </w:p>
        </w:tc>
        <w:tc>
          <w:tcPr>
            <w:tcW w:w="1800" w:type="dxa"/>
            <w:vAlign w:val="top"/>
          </w:tcPr>
          <w:p>
            <w:pPr>
              <w:spacing w:after="0"/>
            </w:pPr>
            <w:r>
              <w:rPr>
                <w:sz w:val="17"/>
                <w:szCs w:val="17"/>
              </w:rPr>
              <w:t xml:space="preserve">PROMPT_V6 (prompt de base PROFILES, Standard V6), § 5, point 2 (épidémiologie chiffrée Suisse puis Europe) ; chiffres précis : donnée non trouvée dans les sources consultées par l’auditeur.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Sources › entrée [S2] (fonde la définition du point 1)</w:t>
            </w:r>
          </w:p>
        </w:tc>
        <w:tc>
          <w:tcPr>
            <w:tcW w:w="2600" w:type="dxa"/>
            <w:vAlign w:val="top"/>
          </w:tcPr>
          <w:p>
            <w:pPr>
              <w:spacing w:after="0"/>
            </w:pPr>
            <w:r>
              <w:rPr>
                <w:i/>
                <w:sz w:val="17"/>
                <w:szCs w:val="17"/>
              </w:rPr>
              <w:t xml:space="preserve">« Le résumé a été lu ; les décisions spécifiques sont recoupées avec les recommandations européennes et suisses récentes. »</w:t>
            </w:r>
          </w:p>
        </w:tc>
        <w:tc>
          <w:tcPr>
            <w:tcW w:w="3000" w:type="dxa"/>
            <w:vAlign w:val="top"/>
          </w:tcPr>
          <w:p>
            <w:pPr>
              <w:spacing w:after="40"/>
            </w:pPr>
            <w:r>
              <w:rPr>
                <w:sz w:val="17"/>
                <w:szCs w:val="17"/>
              </w:rPr>
              <w:t xml:space="preserve">La définition du point 1 repose sur le seul résumé d’une revue française de 2013 et sur PROFILES, qui n’est pas une source de définition clinique ; le prompt exige la définition exacte selon la société savante de référence.</w:t>
            </w:r>
          </w:p>
          <w:p>
            <w:pPr>
              <w:spacing w:after="0"/>
            </w:pPr>
            <w:r>
              <w:rPr>
                <w:b/>
                <w:color w:val="145A32"/>
                <w:sz w:val="17"/>
                <w:szCs w:val="17"/>
              </w:rPr>
              <w:t xml:space="preserve">→ Fonder la définition sur un texte primaire de société savante intégralement lu (par exemple la définition du flushing dans la recommandation S2k rosacée S11 ou dans ENETS S12) et citer le passage exact ; garder S2 en appui.</w:t>
            </w:r>
          </w:p>
        </w:tc>
        <w:tc>
          <w:tcPr>
            <w:tcW w:w="1800" w:type="dxa"/>
            <w:vAlign w:val="top"/>
          </w:tcPr>
          <w:p>
            <w:pPr>
              <w:spacing w:after="0"/>
            </w:pPr>
            <w:r>
              <w:rPr>
                <w:sz w:val="17"/>
                <w:szCs w:val="17"/>
              </w:rPr>
              <w:t xml:space="preserve">PROMPT_V6 (prompt de base PROFILES, Standard V6), § 5, point 1 et § 3.1 (aucune donnée non lue).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9.f › tableau d’interprétation TSH › colonne « Normal ou référence » (même défaut en 9.d métanéphrines et 9.g FSH)</w:t>
            </w:r>
          </w:p>
        </w:tc>
        <w:tc>
          <w:tcPr>
            <w:tcW w:w="2600" w:type="dxa"/>
            <w:vAlign w:val="top"/>
          </w:tcPr>
          <w:p>
            <w:pPr>
              <w:spacing w:after="0"/>
            </w:pPr>
            <w:r>
              <w:rPr>
                <w:i/>
                <w:sz w:val="17"/>
                <w:szCs w:val="17"/>
              </w:rPr>
              <w:t xml:space="preserve">« La TSH se compare à l’intervalle de la méthode, exprimé en mUI/L ; la thyroxine libre s’exprime en pmol/L et dépend aussi de la méthode. »</w:t>
            </w:r>
          </w:p>
        </w:tc>
        <w:tc>
          <w:tcPr>
            <w:tcW w:w="3000" w:type="dxa"/>
            <w:vAlign w:val="top"/>
          </w:tcPr>
          <w:p>
            <w:pPr>
              <w:spacing w:after="40"/>
            </w:pPr>
            <w:r>
              <w:rPr>
                <w:sz w:val="17"/>
                <w:szCs w:val="17"/>
              </w:rPr>
              <w:t xml:space="preserve">Les colonnes « Normal » de la TSH, de la thyroxine libre, des métanéphrines et de la FSH ne portent aucune valeur chiffrée, alors que le prompt exige pour chaque valeur biologique un chiffre, une unité SI et un seuil suisse.</w:t>
            </w:r>
          </w:p>
          <w:p>
            <w:pPr>
              <w:spacing w:after="0"/>
            </w:pPr>
            <w:r>
              <w:rPr>
                <w:b/>
                <w:color w:val="145A32"/>
                <w:sz w:val="17"/>
                <w:szCs w:val="17"/>
              </w:rPr>
              <w:t xml:space="preserve">→ Donner l’intervalle de référence d’un laboratoire suisse nommé (par exemple HUG, CHUV ou Unilabs), avec la méthode et la date, en précisant qu’il dépend de la méthode.</w:t>
            </w:r>
          </w:p>
        </w:tc>
        <w:tc>
          <w:tcPr>
            <w:tcW w:w="1800" w:type="dxa"/>
            <w:vAlign w:val="top"/>
          </w:tcPr>
          <w:p>
            <w:pPr>
              <w:spacing w:after="0"/>
            </w:pPr>
            <w:r>
              <w:rPr>
                <w:sz w:val="17"/>
                <w:szCs w:val="17"/>
              </w:rPr>
              <w:t xml:space="preserve">PROMPT_V6 (prompt de base PROFILES, Standard V6), § 6.7 et § 13 (quantification suisse).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L7-L09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7 › fenêtre 7.1 « Syndrome de vasodilatation physiologique déclenchée » (même défaut en 7.2 à 7.7)</w:t>
            </w:r>
          </w:p>
        </w:tc>
        <w:tc>
          <w:tcPr>
            <w:tcW w:w="2600" w:type="dxa"/>
            <w:vAlign w:val="top"/>
          </w:tcPr>
          <w:p>
            <w:pPr>
              <w:spacing w:after="0"/>
            </w:pPr>
            <w:r>
              <w:rPr>
                <w:i/>
                <w:sz w:val="17"/>
                <w:szCs w:val="17"/>
              </w:rPr>
              <w:t xml:space="preserve">« Une émotion, une ambiance chaude ou un effort précède l’accès et la récupération suit la disparition du stimulus. »</w:t>
            </w:r>
          </w:p>
        </w:tc>
        <w:tc>
          <w:tcPr>
            <w:tcW w:w="3000" w:type="dxa"/>
            <w:vAlign w:val="top"/>
          </w:tcPr>
          <w:p>
            <w:pPr>
              <w:spacing w:after="40"/>
            </w:pPr>
            <w:r>
              <w:rPr>
                <w:sz w:val="17"/>
                <w:szCs w:val="17"/>
              </w:rPr>
              <w:t xml:space="preserve">Chaque syndrome est rédigé en prose sans liste distincte des signes fonctionnels et physiques ni correspondance signe par signe avec son mécanisme, comme l’exige le point 7.</w:t>
            </w:r>
          </w:p>
          <w:p>
            <w:pPr>
              <w:spacing w:after="0"/>
            </w:pPr>
            <w:r>
              <w:rPr>
                <w:b/>
                <w:color w:val="145A32"/>
                <w:sz w:val="17"/>
                <w:szCs w:val="17"/>
              </w:rPr>
              <w:t xml:space="preserve">→ Ajouter dans chaque fenêtre 7.x un tableau « Signe fonctionnel / Signe physique | Mécanisme cellulaire, ionique ou hémodynamique | Source ».</w:t>
            </w:r>
          </w:p>
        </w:tc>
        <w:tc>
          <w:tcPr>
            <w:tcW w:w="1800" w:type="dxa"/>
            <w:vAlign w:val="top"/>
          </w:tcPr>
          <w:p>
            <w:pPr>
              <w:spacing w:after="0"/>
            </w:pPr>
            <w:r>
              <w:rPr>
                <w:sz w:val="17"/>
                <w:szCs w:val="17"/>
              </w:rPr>
              <w:t xml:space="preserve">PROMPT_V6 (prompt de base PROFILES, Standard V6), § 5, point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L7-L17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4 › fenêtre « Quatre confusions dangereuses… » › paragraphe final (répétition sur tout le fichier : « ne remplace » 20 fois, « ne prouve » 12 fois, « ne démontre » 8 fois, « ne suffit » 6 fois)</w:t>
            </w:r>
          </w:p>
        </w:tc>
        <w:tc>
          <w:tcPr>
            <w:tcW w:w="2600" w:type="dxa"/>
            <w:vAlign w:val="top"/>
          </w:tcPr>
          <w:p>
            <w:pPr>
              <w:spacing w:after="0"/>
            </w:pPr>
            <w:r>
              <w:rPr>
                <w:i/>
                <w:sz w:val="17"/>
                <w:szCs w:val="17"/>
              </w:rPr>
              <w:t xml:space="preserve">« Ces critères discriminent la conduite à tenir et ne constituent pas des tests parfaits. »</w:t>
            </w:r>
          </w:p>
        </w:tc>
        <w:tc>
          <w:tcPr>
            <w:tcW w:w="3000" w:type="dxa"/>
            <w:vAlign w:val="top"/>
          </w:tcPr>
          <w:p>
            <w:pPr>
              <w:spacing w:after="40"/>
            </w:pPr>
            <w:r>
              <w:rPr>
                <w:sz w:val="17"/>
                <w:szCs w:val="17"/>
              </w:rPr>
              <w:t xml:space="preserve">Le texte répète des réserves négatives presque identiques dans chaque paragraphe ; ce remplissage dilue les messages décisionnels et allonge la lecture sans information nouvelle.</w:t>
            </w:r>
          </w:p>
          <w:p>
            <w:pPr>
              <w:spacing w:after="0"/>
            </w:pPr>
            <w:r>
              <w:rPr>
                <w:b/>
                <w:color w:val="145A32"/>
                <w:sz w:val="17"/>
                <w:szCs w:val="17"/>
              </w:rPr>
              <w:t xml:space="preserve">→ Garder une réserve par notion à l’endroit décisif et supprimer les reprises (par exemple les phrases finales « ne remplace pas… » des points 9.e, 9.f, 9.k et 11.C) ; remplacer chaque réserve conservée par un fait chiffré ou un piège concret.</w:t>
            </w:r>
          </w:p>
        </w:tc>
        <w:tc>
          <w:tcPr>
            <w:tcW w:w="1800" w:type="dxa"/>
            <w:vAlign w:val="top"/>
          </w:tcPr>
          <w:p>
            <w:pPr>
              <w:spacing w:after="0"/>
            </w:pPr>
            <w:r>
              <w:rPr>
                <w:sz w:val="17"/>
                <w:szCs w:val="17"/>
              </w:rPr>
              <w:t xml:space="preserve">PROMPT_V6 (prompt de base PROFILES, Standard V6), § 6.4 (supprimer répétitions et remplissage).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L7-L21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LOT_7_Rapport_Audit_Appel_A_V6.html</w:t>
            </w:r>
          </w:p>
        </w:tc>
        <w:tc>
          <w:tcPr>
            <w:tcW w:w="2350" w:type="dxa"/>
            <w:vAlign w:val="top"/>
          </w:tcPr>
          <w:p>
            <w:pPr>
              <w:spacing w:after="0"/>
            </w:pPr>
            <w:r>
              <w:rPr>
                <w:sz w:val="17"/>
                <w:szCs w:val="17"/>
              </w:rPr>
              <w:t xml:space="preserve">Rapport › en-tête › paragraphe « Avis »</w:t>
            </w:r>
          </w:p>
        </w:tc>
        <w:tc>
          <w:tcPr>
            <w:tcW w:w="2600" w:type="dxa"/>
            <w:vAlign w:val="top"/>
          </w:tcPr>
          <w:p>
            <w:pPr>
              <w:spacing w:after="0"/>
            </w:pPr>
            <w:r>
              <w:rPr>
                <w:i/>
                <w:sz w:val="17"/>
                <w:szCs w:val="17"/>
              </w:rPr>
              <w:t xml:space="preserve">« aucun défaut majeur restant n’a été identifié dans le périmètre examiné »</w:t>
            </w:r>
          </w:p>
        </w:tc>
        <w:tc>
          <w:tcPr>
            <w:tcW w:w="3000" w:type="dxa"/>
            <w:vAlign w:val="top"/>
          </w:tcPr>
          <w:p>
            <w:pPr>
              <w:spacing w:after="40"/>
            </w:pPr>
            <w:r>
              <w:rPr>
                <w:sz w:val="17"/>
                <w:szCs w:val="17"/>
              </w:rPr>
              <w:t xml:space="preserve">Le rapport conclut à l’absence de défaut majeur alors que les fenêtres en ligne exigées sur chaque terme manquent, que le découpage 9.a–9.d n’est pas respecté et que l’ordre des DX n’applique pas la pondération par la gravité ; l’avis surestime la conformité.</w:t>
            </w:r>
          </w:p>
          <w:p>
            <w:pPr>
              <w:spacing w:after="0"/>
            </w:pPr>
            <w:r>
              <w:rPr>
                <w:b/>
                <w:color w:val="145A32"/>
                <w:sz w:val="17"/>
                <w:szCs w:val="17"/>
              </w:rPr>
              <w:t xml:space="preserve">→ Réviser l’avis pour signaler ces écarts au prompt et les classer dans le tableau des corrections, ou les corriger dans l’Appel A avant de maintenir cette conclusion.</w:t>
            </w:r>
          </w:p>
        </w:tc>
        <w:tc>
          <w:tcPr>
            <w:tcW w:w="1800" w:type="dxa"/>
            <w:vAlign w:val="top"/>
          </w:tcPr>
          <w:p>
            <w:pPr>
              <w:spacing w:after="0"/>
            </w:pPr>
            <w:r>
              <w:rPr>
                <w:sz w:val="17"/>
                <w:szCs w:val="17"/>
              </w:rPr>
              <w:t xml:space="preserve">PROMPT_V6 (prompt de base PROFILES, Standard V6), § 11 (l’auditeur contrôle la technique : fenêtres riches, structure) ; constats L7-L02, L7-L04 et L7-L05 du présent audit.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Bloc 2 › paragraphe d’introduction de la liste différentielle</w:t>
            </w:r>
          </w:p>
        </w:tc>
        <w:tc>
          <w:tcPr>
            <w:tcW w:w="2600" w:type="dxa"/>
            <w:vAlign w:val="top"/>
          </w:tcPr>
          <w:p>
            <w:pPr>
              <w:spacing w:after="0"/>
            </w:pPr>
            <w:r>
              <w:rPr>
                <w:i/>
                <w:sz w:val="17"/>
                <w:szCs w:val="17"/>
              </w:rPr>
              <w:t xml:space="preserve">« Leur ordre est pédagogique et provisoire : il distingue les mécanismes usuels, puis les causes qui exigent de ne pas manquer une urgence »</w:t>
            </w:r>
          </w:p>
        </w:tc>
        <w:tc>
          <w:tcPr>
            <w:tcW w:w="3000" w:type="dxa"/>
            <w:vAlign w:val="top"/>
          </w:tcPr>
          <w:p>
            <w:pPr>
              <w:spacing w:after="40"/>
            </w:pPr>
            <w:r>
              <w:rPr>
                <w:sz w:val="17"/>
                <w:szCs w:val="17"/>
              </w:rPr>
              <w:t xml:space="preserve">Le §8 du prompt impose un ordre par fréquence pondérée par la gravité ; l’ordre choisi relègue l’anaphylaxie, urgence vitale dont l’incidence européenne est documentée, au 7e rang derrière le syndrome de Frey.</w:t>
            </w:r>
          </w:p>
          <w:p>
            <w:pPr>
              <w:spacing w:after="0"/>
            </w:pPr>
            <w:r>
              <w:rPr>
                <w:b/>
                <w:color w:val="145A32"/>
                <w:sz w:val="17"/>
                <w:szCs w:val="17"/>
              </w:rPr>
              <w:t xml:space="preserve">→ Annoncer le critère « fréquence pondérée par la gravité » et classer l’anaphylaxie avant le syndrome de Frey (DX.6 Anaphylaxie, DX.7 Frey, ce qui conserve le groupe de la Partie 3) ; à défaut, ajouter au badge de DX.7 la mention « ne pas manquer — urgence vitale ».</w:t>
            </w:r>
          </w:p>
        </w:tc>
        <w:tc>
          <w:tcPr>
            <w:tcW w:w="1800" w:type="dxa"/>
            <w:vAlign w:val="top"/>
          </w:tcPr>
          <w:p>
            <w:pPr>
              <w:spacing w:after="0"/>
            </w:pPr>
            <w:r>
              <w:rPr>
                <w:sz w:val="17"/>
                <w:szCs w:val="17"/>
              </w:rPr>
              <w:t xml:space="preserve">PROMPT_V6 §8 ; Panesar SS et coll. — The epidemiology of anaphylaxis in Europe: a systematic review — Allergy 2013;68:1353–1361 — DOI 10.1111/all.12272 (résumé indexé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2 › tableau « État des données quantitatives » › ligne Incidence › colonne Europe</w:t>
            </w:r>
          </w:p>
        </w:tc>
        <w:tc>
          <w:tcPr>
            <w:tcW w:w="2600" w:type="dxa"/>
            <w:vAlign w:val="top"/>
          </w:tcPr>
          <w:p>
            <w:pPr>
              <w:spacing w:after="0"/>
            </w:pPr>
            <w:r>
              <w:rPr>
                <w:i/>
                <w:sz w:val="17"/>
                <w:szCs w:val="17"/>
              </w:rPr>
              <w:t xml:space="preserve">« Les études de maladies précises ne fournissent pas une incidence commune de tous les flushs. »</w:t>
            </w:r>
          </w:p>
        </w:tc>
        <w:tc>
          <w:tcPr>
            <w:tcW w:w="3000" w:type="dxa"/>
            <w:vAlign w:val="top"/>
          </w:tcPr>
          <w:p>
            <w:pPr>
              <w:spacing w:after="40"/>
            </w:pPr>
            <w:r>
              <w:rPr>
                <w:sz w:val="17"/>
                <w:szCs w:val="17"/>
              </w:rPr>
              <w:t xml:space="preserve">Le point 2 ne donne aucun chiffre, alors que des données européennes propres aux causes existent et pourraient être présentées comme telles, sans être transposées à tout flush.</w:t>
            </w:r>
          </w:p>
          <w:p>
            <w:pPr>
              <w:spacing w:after="0"/>
            </w:pPr>
            <w:r>
              <w:rPr>
                <w:b/>
                <w:color w:val="145A32"/>
                <w:sz w:val="17"/>
                <w:szCs w:val="17"/>
              </w:rPr>
              <w:t xml:space="preserve">→ Ajouter une ligne étiquetée « donnée propre à une cause » : « Anaphylaxie (DX.7) : l’incidence européenne varie de 1,5 à 7,9 pour 100 000 personnes-années et la prévalence sur la vie entière est estimée à 0,3 % [Panesar 2013]. » Rechercher de la même façon des données européennes sourcées pour la rosacée, les symptômes vasomoteurs et les tumeurs neuroendocrines, ou les verser au HELP Q1.</w:t>
            </w:r>
          </w:p>
        </w:tc>
        <w:tc>
          <w:tcPr>
            <w:tcW w:w="1800" w:type="dxa"/>
            <w:vAlign w:val="top"/>
          </w:tcPr>
          <w:p>
            <w:pPr>
              <w:spacing w:after="0"/>
            </w:pPr>
            <w:r>
              <w:rPr>
                <w:sz w:val="17"/>
                <w:szCs w:val="17"/>
              </w:rPr>
              <w:t xml:space="preserve">Panesar SS et coll. — Allergy 2013;68:1353–1361 — DOI 10.1111/all.12272 — groupe EAACI Food Allergy and Anaphylaxis — résumé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Bloc 2 › tableau comparatif › ligne DX.3 › colonne Mécanisme (même lacune au point 7.7 et dans la ligne DX.2)</w:t>
            </w:r>
          </w:p>
        </w:tc>
        <w:tc>
          <w:tcPr>
            <w:tcW w:w="2600" w:type="dxa"/>
            <w:vAlign w:val="top"/>
          </w:tcPr>
          <w:p>
            <w:pPr>
              <w:spacing w:after="0"/>
            </w:pPr>
            <w:r>
              <w:rPr>
                <w:i/>
                <w:sz w:val="17"/>
                <w:szCs w:val="17"/>
              </w:rPr>
              <w:t xml:space="preserve">« Le produit peut agir sur le tonus vasculaire ou favoriser la libération de médiateurs. »</w:t>
            </w:r>
          </w:p>
        </w:tc>
        <w:tc>
          <w:tcPr>
            <w:tcW w:w="3000" w:type="dxa"/>
            <w:vAlign w:val="top"/>
          </w:tcPr>
          <w:p>
            <w:pPr>
              <w:spacing w:after="40"/>
            </w:pPr>
            <w:r>
              <w:rPr>
                <w:sz w:val="17"/>
                <w:szCs w:val="17"/>
              </w:rPr>
              <w:t xml:space="preserve">Aucun médicament, aucune classe et aucun mécanisme précis n’est nommé pour les flushs médicamenteux et alcooliques : l’étudiant ne peut reconnaître aucun agent en pratique, ce qui contrevient au §6.7 (aucun terme vague).</w:t>
            </w:r>
          </w:p>
          <w:p>
            <w:pPr>
              <w:spacing w:after="0"/>
            </w:pPr>
            <w:r>
              <w:rPr>
                <w:b/>
                <w:color w:val="145A32"/>
                <w:sz w:val="17"/>
                <w:szCs w:val="17"/>
              </w:rPr>
              <w:t xml:space="preserve">→ Ajouter une fenêtre « Médicaments et substances qui provoquent un flush » listant les classes et DCI avec leur mécanisme, chacune sourcée sur le texte intégral de S2 et sur l’AIPS du produit ; expliquer le mécanisme du flush alcoolique avec sa source ; sinon, verser la question au HELP.</w:t>
            </w:r>
          </w:p>
        </w:tc>
        <w:tc>
          <w:tcPr>
            <w:tcW w:w="1800" w:type="dxa"/>
            <w:vAlign w:val="top"/>
          </w:tcPr>
          <w:p>
            <w:pPr>
              <w:spacing w:after="0"/>
            </w:pPr>
            <w:r>
              <w:rPr>
                <w:sz w:val="17"/>
                <w:szCs w:val="17"/>
              </w:rPr>
              <w:t xml:space="preserve">Donnée non trouvée dans les sources consultées : S3 (La Revue du Praticien 2021, consultée le 22.10.2026) cite seulement « médicaments, alcool » sans classe ; le texte intégral de S2 n’a pas été lu.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11.B › fenêtre « Le dispositif et la pharmacologie répondent à des questions différentes » › dernier paragraphe</w:t>
            </w:r>
          </w:p>
        </w:tc>
        <w:tc>
          <w:tcPr>
            <w:tcW w:w="2600" w:type="dxa"/>
            <w:vAlign w:val="top"/>
          </w:tcPr>
          <w:p>
            <w:pPr>
              <w:spacing w:after="0"/>
            </w:pPr>
            <w:r>
              <w:rPr>
                <w:i/>
                <w:sz w:val="17"/>
                <w:szCs w:val="17"/>
              </w:rPr>
              <w:t xml:space="preserve">« Une modification de dose chez l’enfant, en particulier lorsque le dispositif ne correspond pas au poids, relève du référentiel pédiatrique »</w:t>
            </w:r>
          </w:p>
        </w:tc>
        <w:tc>
          <w:tcPr>
            <w:tcW w:w="3000" w:type="dxa"/>
            <w:vAlign w:val="top"/>
          </w:tcPr>
          <w:p>
            <w:pPr>
              <w:spacing w:after="40"/>
            </w:pPr>
            <w:r>
              <w:rPr>
                <w:sz w:val="17"/>
                <w:szCs w:val="17"/>
              </w:rPr>
              <w:t xml:space="preserve">Le cours renvoie à un référentiel pédiatrique non cité alors que l’AIPS suisse lue (S7) donne les doses pédiatriques et recommande de prescrire deux auto-injecteurs ; ces informations de sécurité manquent.</w:t>
            </w:r>
          </w:p>
          <w:p>
            <w:pPr>
              <w:spacing w:after="0"/>
            </w:pPr>
            <w:r>
              <w:rPr>
                <w:b/>
                <w:color w:val="145A32"/>
                <w:sz w:val="17"/>
                <w:szCs w:val="17"/>
              </w:rPr>
              <w:t xml:space="preserve">→ Ajouter : « Selon l’AIPS suisse, Epipen® Junior délivre 0,15 mg IM chez l’enfant de 15 à 30 kg et Epipen® 0,3 mg au-delà de 30 kg ; l’usage entre 7,5 et 15 kg est individualisé et la dose pédiatrique usuelle est 0,01 mg/kg. L’AIPS recommande de prescrire deux auto-injecteurs, à porter en permanence. [S7] » Reprendre la recommandation des deux auto-injecteurs au point 12 (prévention tertiaire).</w:t>
            </w:r>
          </w:p>
        </w:tc>
        <w:tc>
          <w:tcPr>
            <w:tcW w:w="1800" w:type="dxa"/>
            <w:vAlign w:val="top"/>
          </w:tcPr>
          <w:p>
            <w:pPr>
              <w:spacing w:after="0"/>
            </w:pPr>
            <w:r>
              <w:rPr>
                <w:sz w:val="17"/>
                <w:szCs w:val="17"/>
              </w:rPr>
              <w:t xml:space="preserve">AIPS Epipen®/Epipen® Junior, autorisation 53836 — Stand der Information septembre 2025 — https://www.swissmedicinfo.ch/ShowText.aspx?textType=FI&amp;lang=DE&amp;authNr=53836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11.B › tableau « Adrenalin Sintetica 1 mg/ml » › ligne « Les risques et interactions sont vérifiés »</w:t>
            </w:r>
          </w:p>
        </w:tc>
        <w:tc>
          <w:tcPr>
            <w:tcW w:w="2600" w:type="dxa"/>
            <w:vAlign w:val="top"/>
          </w:tcPr>
          <w:p>
            <w:pPr>
              <w:spacing w:after="0"/>
            </w:pPr>
            <w:r>
              <w:rPr>
                <w:i/>
                <w:sz w:val="17"/>
                <w:szCs w:val="17"/>
              </w:rPr>
              <w:t xml:space="preserve">« Les tricycliques et inhibiteurs de monoamine-oxydase peuvent potentialiser l’effet ; les bêtabloquants peuvent modifier la réponse. »</w:t>
            </w:r>
          </w:p>
        </w:tc>
        <w:tc>
          <w:tcPr>
            <w:tcW w:w="3000" w:type="dxa"/>
            <w:vAlign w:val="top"/>
          </w:tcPr>
          <w:p>
            <w:pPr>
              <w:spacing w:after="40"/>
            </w:pPr>
            <w:r>
              <w:rPr>
                <w:sz w:val="17"/>
                <w:szCs w:val="17"/>
              </w:rPr>
              <w:t xml:space="preserve">La ligne omet la consigne posologique de l’AIPS suisse qui découle de ces interactions et le risque d’anaphylaxie réfractaire sous bêtabloquant non cardiosélectif.</w:t>
            </w:r>
          </w:p>
          <w:p>
            <w:pPr>
              <w:spacing w:after="0"/>
            </w:pPr>
            <w:r>
              <w:rPr>
                <w:b/>
                <w:color w:val="145A32"/>
                <w:sz w:val="17"/>
                <w:szCs w:val="17"/>
              </w:rPr>
              <w:t xml:space="preserve">→ Ajouter : « Chez un patient sous amitriptyline, imipramine ou bêtabloquant, l’AIPS indique que la demi-dose d’adrénaline peut être plus sûre ; sous bêtabloquant non cardiosélectif, une anaphylaxie sévère peut ne pas répondre à l’adrénaline. [S24] »</w:t>
            </w:r>
          </w:p>
        </w:tc>
        <w:tc>
          <w:tcPr>
            <w:tcW w:w="1800" w:type="dxa"/>
            <w:vAlign w:val="top"/>
          </w:tcPr>
          <w:p>
            <w:pPr>
              <w:spacing w:after="0"/>
            </w:pPr>
            <w:r>
              <w:rPr>
                <w:sz w:val="17"/>
                <w:szCs w:val="17"/>
              </w:rPr>
              <w:t xml:space="preserve">AIPS Adrenalin Sintetica 1 mg/ml, autorisation 56551 — Stand der Information novembre 2024 — https://www.swissmedicinfo.ch/ShowText.aspx?textType=FI&amp;lang=DE&amp;authNr=56551 — consulté le 22.10.2026 (rubriques Posologie « Anaphylaktischer Schock » et Interactions).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11.B › bloc « Intention urgente : l’adrénaline traite une anaphylaxie, pas un flush isolé »</w:t>
            </w:r>
          </w:p>
        </w:tc>
        <w:tc>
          <w:tcPr>
            <w:tcW w:w="2600" w:type="dxa"/>
            <w:vAlign w:val="top"/>
          </w:tcPr>
          <w:p>
            <w:pPr>
              <w:spacing w:after="0"/>
            </w:pPr>
            <w:r>
              <w:rPr>
                <w:i/>
                <w:sz w:val="17"/>
                <w:szCs w:val="17"/>
              </w:rPr>
              <w:t xml:space="preserve">« Les antihistaminiques ne remplacent pas cette action en cas de menace respiratoire ou circulatoire. »</w:t>
            </w:r>
          </w:p>
        </w:tc>
        <w:tc>
          <w:tcPr>
            <w:tcW w:w="3000" w:type="dxa"/>
            <w:vAlign w:val="top"/>
          </w:tcPr>
          <w:p>
            <w:pPr>
              <w:spacing w:after="40"/>
            </w:pPr>
            <w:r>
              <w:rPr>
                <w:sz w:val="17"/>
                <w:szCs w:val="17"/>
              </w:rPr>
              <w:t xml:space="preserve">La conduite d’urgence se réduit à l’adrénaline : le positionnement, l’oxygène, le remplissage vasculaire et la place des traitements de deuxième ligne, que traite la recommandation S5 citée, sont absents.</w:t>
            </w:r>
          </w:p>
          <w:p>
            <w:pPr>
              <w:spacing w:after="0"/>
            </w:pPr>
            <w:r>
              <w:rPr>
                <w:b/>
                <w:color w:val="145A32"/>
                <w:sz w:val="17"/>
                <w:szCs w:val="17"/>
              </w:rPr>
              <w:t xml:space="preserve">→ Ajouter un paragraphe sourcé sur S5 et S4 qui décrit le positionnement selon le tableau, l’oxygène, le remplissage et la place des antihistaminiques et des corticoïdes, en reprenant exactement les formulations et doses de ces sources ; renvoyer le détail à la monographie DX.7.</w:t>
            </w:r>
          </w:p>
        </w:tc>
        <w:tc>
          <w:tcPr>
            <w:tcW w:w="1800" w:type="dxa"/>
            <w:vAlign w:val="top"/>
          </w:tcPr>
          <w:p>
            <w:pPr>
              <w:spacing w:after="0"/>
            </w:pPr>
            <w:r>
              <w:rPr>
                <w:sz w:val="17"/>
                <w:szCs w:val="17"/>
              </w:rPr>
              <w:t xml:space="preserve">[S5] EAACI — Anaphylaxis (2021 update), Muraro et coll., Allergy 2022;77:357–377 — DOI 10.1111/all.15032 ; [S4] HUG — Réactions allergiques et anaphylactiques — 2025 (sections posture et traitement mentionnées comme lues dans le rapport d’audit V6).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9.f › tableau d’interprétation › ligne 1 › colonne Normal (même absence en 9.c tryptase basale, 9.d métanéphrines, 9.g FSH, 9.h ALAT/ASAT, bilirubine, créatinine)</w:t>
            </w:r>
          </w:p>
        </w:tc>
        <w:tc>
          <w:tcPr>
            <w:tcW w:w="2600" w:type="dxa"/>
            <w:vAlign w:val="top"/>
          </w:tcPr>
          <w:p>
            <w:pPr>
              <w:spacing w:after="0"/>
            </w:pPr>
            <w:r>
              <w:rPr>
                <w:i/>
                <w:sz w:val="17"/>
                <w:szCs w:val="17"/>
              </w:rPr>
              <w:t xml:space="preserve">« La TSH se compare à l’intervalle de la méthode, exprimé en mUI/L ; la thyroxine libre s’exprime en pmol/L et dépend aussi de la méthode. »</w:t>
            </w:r>
          </w:p>
        </w:tc>
        <w:tc>
          <w:tcPr>
            <w:tcW w:w="3000" w:type="dxa"/>
            <w:vAlign w:val="top"/>
          </w:tcPr>
          <w:p>
            <w:pPr>
              <w:spacing w:after="40"/>
            </w:pPr>
            <w:r>
              <w:rPr>
                <w:sz w:val="17"/>
                <w:szCs w:val="17"/>
              </w:rPr>
              <w:t xml:space="preserve">Aucune valeur normale chiffrée n’est donnée pour les examens biologiques, alors que les §6.7, §9 et §13 exigent une valeur SI et un seuil suisse ; la prudence sur la méthode justifie de dater et de nommer l’intervalle, pas de l’omettre.</w:t>
            </w:r>
          </w:p>
          <w:p>
            <w:pPr>
              <w:spacing w:after="0"/>
            </w:pPr>
            <w:r>
              <w:rPr>
                <w:b/>
                <w:color w:val="145A32"/>
                <w:sz w:val="17"/>
                <w:szCs w:val="17"/>
              </w:rPr>
              <w:t xml:space="preserve">→ Insérer pour chaque analyse l’intervalle de référence d’un laboratoire suisse nommé (catalogue d’analyses daté, méthode précisée), avec la mention « exemple de laboratoire, à remplacer par la référence locale » ; à défaut, verser la question au HELP.</w:t>
            </w:r>
          </w:p>
        </w:tc>
        <w:tc>
          <w:tcPr>
            <w:tcW w:w="1800" w:type="dxa"/>
            <w:vAlign w:val="top"/>
          </w:tcPr>
          <w:p>
            <w:pPr>
              <w:spacing w:after="0"/>
            </w:pPr>
            <w:r>
              <w:rPr>
                <w:sz w:val="17"/>
                <w:szCs w:val="17"/>
              </w:rPr>
              <w:t xml:space="preserve">Donnée non trouvée dans les sources consultées (catalogue de laboratoire suisse non lu dans cet audit) ; PROMPT_V6 §6.7 et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 › sous-titres 9.b à 9.m</w:t>
            </w:r>
          </w:p>
        </w:tc>
        <w:tc>
          <w:tcPr>
            <w:tcW w:w="2600" w:type="dxa"/>
            <w:vAlign w:val="top"/>
          </w:tcPr>
          <w:p>
            <w:pPr>
              <w:spacing w:after="0"/>
            </w:pPr>
            <w:r>
              <w:rPr>
                <w:i/>
                <w:sz w:val="17"/>
                <w:szCs w:val="17"/>
              </w:rPr>
              <w:t xml:space="preserve">« 9.b. Observation documentée et journal des accès »</w:t>
            </w:r>
          </w:p>
        </w:tc>
        <w:tc>
          <w:tcPr>
            <w:tcW w:w="3000" w:type="dxa"/>
            <w:vAlign w:val="top"/>
          </w:tcPr>
          <w:p>
            <w:pPr>
              <w:spacing w:after="40"/>
            </w:pPr>
            <w:r>
              <w:rPr>
                <w:sz w:val="17"/>
                <w:szCs w:val="17"/>
              </w:rPr>
              <w:t xml:space="preserve">Les lettres 9.b à 9.d ne correspondent plus au plan canonique (1re intention, alternatives, 2e intention) : le lecteur ne voit pas quel examen est de première ou de deuxième intention, ni le critère de passage.</w:t>
            </w:r>
          </w:p>
          <w:p>
            <w:pPr>
              <w:spacing w:after="0"/>
            </w:pPr>
            <w:r>
              <w:rPr>
                <w:b/>
                <w:color w:val="145A32"/>
                <w:sz w:val="17"/>
                <w:szCs w:val="17"/>
              </w:rPr>
              <w:t xml:space="preserve">→ Regrouper sous 9.b « 1re intention » (journal, tryptase après réaction, TSH et FSH ciblées, bilan de sécurité), sous 9.c « Alternatives » (contenu actuel de 9.l), sous 9.d « 2e intention » (métanéphrines, 5-HIAA, biopsie, imagerie) en écrivant pour chaque palier le critère de passage.</w:t>
            </w:r>
          </w:p>
        </w:tc>
        <w:tc>
          <w:tcPr>
            <w:tcW w:w="1800" w:type="dxa"/>
            <w:vAlign w:val="top"/>
          </w:tcPr>
          <w:p>
            <w:pPr>
              <w:spacing w:after="0"/>
            </w:pPr>
            <w:r>
              <w:rPr>
                <w:sz w:val="17"/>
                <w:szCs w:val="17"/>
              </w:rPr>
              <w:t xml:space="preserve">PROMPT_V6 §5, point 9.a–9.d.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L7-M11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5 › bloc « Les drapeaux rouges distinguent l’urgence… » › 1er paragraphe (procédé répété aux points 6 et 9)</w:t>
            </w:r>
          </w:p>
        </w:tc>
        <w:tc>
          <w:tcPr>
            <w:tcW w:w="2600" w:type="dxa"/>
            <w:vAlign w:val="top"/>
          </w:tcPr>
          <w:p>
            <w:pPr>
              <w:spacing w:after="0"/>
            </w:pPr>
            <w:r>
              <w:rPr>
                <w:i/>
                <w:sz w:val="17"/>
                <w:szCs w:val="17"/>
              </w:rPr>
              <w:t xml:space="preserve">« Le stridor est un bruit inspiratoire pouvant traduire une obstruction haute »</w:t>
            </w:r>
          </w:p>
        </w:tc>
        <w:tc>
          <w:tcPr>
            <w:tcW w:w="3000" w:type="dxa"/>
            <w:vAlign w:val="top"/>
          </w:tcPr>
          <w:p>
            <w:pPr>
              <w:spacing w:after="40"/>
            </w:pPr>
            <w:r>
              <w:rPr>
                <w:sz w:val="17"/>
                <w:szCs w:val="17"/>
              </w:rPr>
              <w:t xml:space="preserve">Les définitions de signes et de termes techniques (stridor, bronchospasme, angio-œdème, télangiectasie, KIT) sont écrites dans le texte principal au lieu d’ouvrir une fenêtre, ce qui allonge les points et contrevient au §7 (53 fenêtres seulement pour 14 points et 10 DX).</w:t>
            </w:r>
          </w:p>
          <w:p>
            <w:pPr>
              <w:spacing w:after="0"/>
            </w:pPr>
            <w:r>
              <w:rPr>
                <w:b/>
                <w:color w:val="145A32"/>
                <w:sz w:val="17"/>
                <w:szCs w:val="17"/>
              </w:rPr>
              <w:t xml:space="preserve">→ Transformer chaque définition en fenêtre &lt;details&gt; en ligne sur le terme (mécanisme, exemple chiffré, piège, source) et ramener le texte principal à 1 à 4 phrases par point.</w:t>
            </w:r>
          </w:p>
        </w:tc>
        <w:tc>
          <w:tcPr>
            <w:tcW w:w="1800" w:type="dxa"/>
            <w:vAlign w:val="top"/>
          </w:tcPr>
          <w:p>
            <w:pPr>
              <w:spacing w:after="0"/>
            </w:pPr>
            <w:r>
              <w:rPr>
                <w:sz w:val="17"/>
                <w:szCs w:val="17"/>
              </w:rPr>
              <w:t xml:space="preserve">PROMPT_V6 §6.2 et §7.</w:t>
            </w:r>
          </w:p>
        </w:tc>
      </w:tr>
    </w:tbl>
    <w:p>
      <w:pPr>
        <w:spacing w:after="120"/>
      </w:pPr>
    </w:p>
    <w:p>
      <w:pPr>
        <w:pStyle w:val="Titre1"/>
        <w:keepNext/>
      </w:pPr>
      <w:r>
        <w:rPr>
          <w:b/>
          <w:color w:val="1F618D"/>
          <w:sz w:val="26"/>
          <w:szCs w:val="26"/>
        </w:rPr>
        <w:t xml:space="preserve">Léger — 12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 › légendes des tableaux d’interprétation 9.b à 9.k (10 occurrences ; première en 9.b)</w:t>
            </w:r>
          </w:p>
        </w:tc>
        <w:tc>
          <w:tcPr>
            <w:tcW w:w="2600" w:type="dxa"/>
            <w:vAlign w:val="top"/>
          </w:tcPr>
          <w:p>
            <w:pPr>
              <w:spacing w:after="0"/>
            </w:pPr>
            <w:r>
              <w:rPr>
                <w:i/>
                <w:sz w:val="17"/>
                <w:szCs w:val="17"/>
              </w:rPr>
              <w:t xml:space="preserve">« Interprétation de Observation documentée et journal des accès »</w:t>
            </w:r>
          </w:p>
        </w:tc>
        <w:tc>
          <w:tcPr>
            <w:tcW w:w="3000" w:type="dxa"/>
            <w:vAlign w:val="top"/>
          </w:tcPr>
          <w:p>
            <w:pPr>
              <w:spacing w:after="40"/>
            </w:pPr>
            <w:r>
              <w:rPr>
                <w:sz w:val="17"/>
                <w:szCs w:val="17"/>
              </w:rPr>
              <w:t xml:space="preserve">La légende automatique « Interprétation de » omet l’élision et l’article devant chaque nom d’examen (« de Observation », « de Acide », « de Hormone », « de Imagerie », « de Tryptase »…), ce qui produit dix fautes de grammaire.</w:t>
            </w:r>
          </w:p>
          <w:p>
            <w:pPr>
              <w:spacing w:after="0"/>
            </w:pPr>
            <w:r>
              <w:rPr>
                <w:b/>
                <w:color w:val="145A32"/>
                <w:sz w:val="17"/>
                <w:szCs w:val="17"/>
              </w:rPr>
              <w:t xml:space="preserve">→ Écrire : « Interprétation de l’observation documentée… », « … de la tryptase… », « … des métanéphrines… », « … de l’acide 5-hydroxyindolacétique… », « … de la thyréostimuline… », « … de l’hormone folliculo-stimulante… », « … du bilan de sécurité… », « … du test de Minor… », « … de la biopsie… », « … de l’imagerie ciblée… » ; mieux, une légende verbale (« Le tableau interprète la tryptase… »).</w:t>
            </w:r>
          </w:p>
        </w:tc>
        <w:tc>
          <w:tcPr>
            <w:tcW w:w="1800" w:type="dxa"/>
            <w:vAlign w:val="top"/>
          </w:tcPr>
          <w:p>
            <w:pPr>
              <w:spacing w:after="0"/>
            </w:pPr>
            <w:r>
              <w:rPr>
                <w:sz w:val="17"/>
                <w:szCs w:val="17"/>
              </w:rPr>
              <w:t xml:space="preserve">Grevisse, Le Bon Usage, règles de l’élision et de l’article ; PROMPT_V6 (prompt de base PROFILES,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7 › fenêtre 7.3 « Syndrome de bouffées vasomotrices en contexte ménopausique » › 1er paragraphe</w:t>
            </w:r>
          </w:p>
        </w:tc>
        <w:tc>
          <w:tcPr>
            <w:tcW w:w="2600" w:type="dxa"/>
            <w:vAlign w:val="top"/>
          </w:tcPr>
          <w:p>
            <w:pPr>
              <w:spacing w:after="0"/>
            </w:pPr>
            <w:r>
              <w:rPr>
                <w:i/>
                <w:sz w:val="17"/>
                <w:szCs w:val="17"/>
              </w:rPr>
              <w:t xml:space="preserve">« Une diarrhée chronique, un syndrome tumoral ou des malaises circulatoires ne se déduit pas de ce seul mécanisme. »</w:t>
            </w:r>
          </w:p>
        </w:tc>
        <w:tc>
          <w:tcPr>
            <w:tcW w:w="3000" w:type="dxa"/>
            <w:vAlign w:val="top"/>
          </w:tcPr>
          <w:p>
            <w:pPr>
              <w:spacing w:after="40"/>
            </w:pPr>
            <w:r>
              <w:rPr>
                <w:sz w:val="17"/>
                <w:szCs w:val="17"/>
              </w:rPr>
              <w:t xml:space="preserve">Le verbe reste au singulier alors que la coordination par « ou » se termine par un sujet pluriel, ce qui impose l’accord au pluriel.</w:t>
            </w:r>
          </w:p>
          <w:p>
            <w:pPr>
              <w:spacing w:after="0"/>
            </w:pPr>
            <w:r>
              <w:rPr>
                <w:b/>
                <w:color w:val="145A32"/>
                <w:sz w:val="17"/>
                <w:szCs w:val="17"/>
              </w:rPr>
              <w:t xml:space="preserve">→ Une diarrhée chronique, un syndrome tumoral ou des malaises circulatoires ne se déduisent pas de ce seul mécanisme.</w:t>
            </w:r>
          </w:p>
        </w:tc>
        <w:tc>
          <w:tcPr>
            <w:tcW w:w="1800" w:type="dxa"/>
            <w:vAlign w:val="top"/>
          </w:tcPr>
          <w:p>
            <w:pPr>
              <w:spacing w:after="0"/>
            </w:pPr>
            <w:r>
              <w:rPr>
                <w:sz w:val="17"/>
                <w:szCs w:val="17"/>
              </w:rPr>
              <w:t xml:space="preserve">Grevisse, Le Bon Usage, accord du verbe avec des sujets coordonnés par « ou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8 › fenêtre « Les critères doivent être utilisés dans leur périmètre exact » › tableau › ligne 1</w:t>
            </w:r>
          </w:p>
        </w:tc>
        <w:tc>
          <w:tcPr>
            <w:tcW w:w="2600" w:type="dxa"/>
            <w:vAlign w:val="top"/>
          </w:tcPr>
          <w:p>
            <w:pPr>
              <w:spacing w:after="0"/>
            </w:pPr>
            <w:r>
              <w:rPr>
                <w:i/>
                <w:sz w:val="17"/>
                <w:szCs w:val="17"/>
              </w:rPr>
              <w:t xml:space="preserve">« Le flushing est décrit dans la revue française S2 de 2013. »</w:t>
            </w:r>
          </w:p>
        </w:tc>
        <w:tc>
          <w:tcPr>
            <w:tcW w:w="3000" w:type="dxa"/>
            <w:vAlign w:val="top"/>
          </w:tcPr>
          <w:p>
            <w:pPr>
              <w:spacing w:after="40"/>
            </w:pPr>
            <w:r>
              <w:rPr>
                <w:sz w:val="17"/>
                <w:szCs w:val="17"/>
              </w:rPr>
              <w:t xml:space="preserve">L’étiquette « S2 » se lit comme un niveau de recommandation (S2/S2k) alors qu’elle renvoie à la référence [S2], ce qui trompe le lecteur sur la valeur de la source.</w:t>
            </w:r>
          </w:p>
          <w:p>
            <w:pPr>
              <w:spacing w:after="0"/>
            </w:pPr>
            <w:r>
              <w:rPr>
                <w:b/>
                <w:color w:val="145A32"/>
                <w:sz w:val="17"/>
                <w:szCs w:val="17"/>
              </w:rPr>
              <w:t xml:space="preserve">→ Le flushing est décrit dans la revue française de Lafont et coll. (2013) [S2].</w:t>
            </w:r>
          </w:p>
        </w:tc>
        <w:tc>
          <w:tcPr>
            <w:tcW w:w="1800" w:type="dxa"/>
            <w:vAlign w:val="top"/>
          </w:tcPr>
          <w:p>
            <w:pPr>
              <w:spacing w:after="0"/>
            </w:pPr>
            <w:r>
              <w:rPr>
                <w:sz w:val="17"/>
                <w:szCs w:val="17"/>
              </w:rPr>
              <w:t xml:space="preserve">Référence [S2] du fichier ; PROMPT_V6 (prompt de base PROFILES, Standard V6), § 3.8.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4 › fenêtre « Quatre confusions dangereuses nécessitent une discrimination explicite » › tableau › ligne 1 (premier emploi de HUG)</w:t>
            </w:r>
          </w:p>
        </w:tc>
        <w:tc>
          <w:tcPr>
            <w:tcW w:w="2600" w:type="dxa"/>
            <w:vAlign w:val="top"/>
          </w:tcPr>
          <w:p>
            <w:pPr>
              <w:spacing w:after="0"/>
            </w:pPr>
            <w:r>
              <w:rPr>
                <w:i/>
                <w:sz w:val="17"/>
                <w:szCs w:val="17"/>
              </w:rPr>
              <w:t xml:space="preserve">« Les critères cliniques HUG imposent le traitement d’une anaphylaxie probable »</w:t>
            </w:r>
          </w:p>
        </w:tc>
        <w:tc>
          <w:tcPr>
            <w:tcW w:w="3000" w:type="dxa"/>
            <w:vAlign w:val="top"/>
          </w:tcPr>
          <w:p>
            <w:pPr>
              <w:spacing w:after="40"/>
            </w:pPr>
            <w:r>
              <w:rPr>
                <w:sz w:val="17"/>
                <w:szCs w:val="17"/>
              </w:rPr>
              <w:t xml:space="preserve">Plusieurs sigles apparaissent avant leur développement ou ne sont jamais développés : HUG (développé seulement au point 8), 5-HIAA (point 4, développé en 9.e), SSP, OFSP, ESUR, CHUV, NCT, SMIFK–CIMS, DGAKI, ÖGAI et SGAI.</w:t>
            </w:r>
          </w:p>
          <w:p>
            <w:pPr>
              <w:spacing w:after="0"/>
            </w:pPr>
            <w:r>
              <w:rPr>
                <w:b/>
                <w:color w:val="145A32"/>
                <w:sz w:val="17"/>
                <w:szCs w:val="17"/>
              </w:rPr>
              <w:t xml:space="preserve">→ Développer chaque sigle à sa première apparition, par exemple « les critères cliniques des Hôpitaux universitaires de Genève (HUG) », « l’acide 5-hydroxyindolacétique (5-HIAA) », « situation clinique de départ (SSP, Situation as Starting Point) », « Office fédéral de la santé publique (OFSP) », « European Society of Urogenital Radiology (ESUR) ».</w:t>
            </w:r>
          </w:p>
        </w:tc>
        <w:tc>
          <w:tcPr>
            <w:tcW w:w="1800" w:type="dxa"/>
            <w:vAlign w:val="top"/>
          </w:tcPr>
          <w:p>
            <w:pPr>
              <w:spacing w:after="0"/>
            </w:pPr>
            <w:r>
              <w:rPr>
                <w:sz w:val="17"/>
                <w:szCs w:val="17"/>
              </w:rPr>
              <w:t xml:space="preserve">PROMPT_V6 (prompt de base PROFILES, Standard V6), § 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9.c › fenêtre « Calcul dérivé : interpréter la variation sans inventer une norme » › exemple fictif (constat valable pour tout le fichier)</w:t>
            </w:r>
          </w:p>
        </w:tc>
        <w:tc>
          <w:tcPr>
            <w:tcW w:w="2600" w:type="dxa"/>
            <w:vAlign w:val="top"/>
          </w:tcPr>
          <w:p>
            <w:pPr>
              <w:spacing w:after="0"/>
            </w:pPr>
            <w:r>
              <w:rPr>
                <w:i/>
                <w:sz w:val="17"/>
                <w:szCs w:val="17"/>
              </w:rPr>
              <w:t xml:space="preserve">« La valeur aiguë de 15 dépasse le seuil individuel de 14 »</w:t>
            </w:r>
          </w:p>
        </w:tc>
        <w:tc>
          <w:tcPr>
            <w:tcW w:w="3000" w:type="dxa"/>
            <w:vAlign w:val="top"/>
          </w:tcPr>
          <w:p>
            <w:pPr>
              <w:spacing w:after="40"/>
            </w:pPr>
            <w:r>
              <w:rPr>
                <w:sz w:val="17"/>
                <w:szCs w:val="17"/>
              </w:rPr>
              <w:t xml:space="preserve">Le fichier ne contient aucune espace insécable : 91 deux-points, 193 points-virgules, les guillemets « » et toutes les paires nombre-unité (2 µg/L, 45 mg, 24 h) peuvent se couper en fin de ligne, contrairement à la typographie française.</w:t>
            </w:r>
          </w:p>
          <w:p>
            <w:pPr>
              <w:spacing w:after="0"/>
            </w:pPr>
            <w:r>
              <w:rPr>
                <w:b/>
                <w:color w:val="145A32"/>
                <w:sz w:val="17"/>
                <w:szCs w:val="17"/>
              </w:rPr>
              <w:t xml:space="preserve">→ Remplacer l’espace avant « : ; ? ! » et à l’intérieur des guillemets par une espace fine insécable (&amp;#8239;) et l’espace entre nombre et unité par une espace insécable (&amp;nbsp;).</w:t>
            </w:r>
          </w:p>
        </w:tc>
        <w:tc>
          <w:tcPr>
            <w:tcW w:w="1800" w:type="dxa"/>
            <w:vAlign w:val="top"/>
          </w:tcPr>
          <w:p>
            <w:pPr>
              <w:spacing w:after="0"/>
            </w:pPr>
            <w:r>
              <w:rPr>
                <w:sz w:val="17"/>
                <w:szCs w:val="17"/>
              </w:rPr>
              <w:t xml:space="preserve">Imprimerie nationale, Lexique des règles typographiques en usage à l’Imprimerie nationale ; PROMPT_V6 (prompt de base PROFILES,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2 › légende du tableau des indicateurs (même défaut pour les légendes et en-têtes de colonnes de la plupart des tableaux)</w:t>
            </w:r>
          </w:p>
        </w:tc>
        <w:tc>
          <w:tcPr>
            <w:tcW w:w="2600" w:type="dxa"/>
            <w:vAlign w:val="top"/>
          </w:tcPr>
          <w:p>
            <w:pPr>
              <w:spacing w:after="0"/>
            </w:pPr>
            <w:r>
              <w:rPr>
                <w:i/>
                <w:sz w:val="17"/>
                <w:szCs w:val="17"/>
              </w:rPr>
              <w:t xml:space="preserve">« État des données quantitatives concernant le symptôme G7 »</w:t>
            </w:r>
          </w:p>
        </w:tc>
        <w:tc>
          <w:tcPr>
            <w:tcW w:w="3000" w:type="dxa"/>
            <w:vAlign w:val="top"/>
          </w:tcPr>
          <w:p>
            <w:pPr>
              <w:spacing w:after="40"/>
            </w:pPr>
            <w:r>
              <w:rPr>
                <w:sz w:val="17"/>
                <w:szCs w:val="17"/>
              </w:rPr>
              <w:t xml:space="preserve">Les légendes et en-têtes (« État des données… », « Interprétation du calcul dérivé », « Conduites hépatiques décrites dans l’AIPS suisse lue », « Champ », « Élément », « Situation », « Confusion », « Groupe futur ») restent nominaux, alors que le prompt proscrit toute phrase nominale.</w:t>
            </w:r>
          </w:p>
          <w:p>
            <w:pPr>
              <w:spacing w:after="0"/>
            </w:pPr>
            <w:r>
              <w:rPr>
                <w:b/>
                <w:color w:val="145A32"/>
                <w:sz w:val="17"/>
                <w:szCs w:val="17"/>
              </w:rPr>
              <w:t xml:space="preserve">→ Rendre les légendes verbales, par exemple « Le tableau montre quelles données quantitatives manquent pour le symptôme G7 » ; réserver la forme nominale aux seuls intitulés de colonnes très courts.</w:t>
            </w:r>
          </w:p>
        </w:tc>
        <w:tc>
          <w:tcPr>
            <w:tcW w:w="1800" w:type="dxa"/>
            <w:vAlign w:val="top"/>
          </w:tcPr>
          <w:p>
            <w:pPr>
              <w:spacing w:after="0"/>
            </w:pPr>
            <w:r>
              <w:rPr>
                <w:sz w:val="17"/>
                <w:szCs w:val="17"/>
              </w:rPr>
              <w:t xml:space="preserve">PROMPT_V6 (prompt de base PROFILES, Standard V6), § 6.1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En-tête du fichier › paragraphe de présentation</w:t>
            </w:r>
          </w:p>
        </w:tc>
        <w:tc>
          <w:tcPr>
            <w:tcW w:w="2600" w:type="dxa"/>
            <w:vAlign w:val="top"/>
          </w:tcPr>
          <w:p>
            <w:pPr>
              <w:spacing w:after="0"/>
            </w:pPr>
            <w:r>
              <w:rPr>
                <w:i/>
                <w:sz w:val="17"/>
                <w:szCs w:val="17"/>
              </w:rPr>
              <w:t xml:space="preserve">« Les fenêtres développent les mécanismes et les limites des décisions ; les tableaux se consultent par défilement horizontal sur un petit écran. »</w:t>
            </w:r>
          </w:p>
        </w:tc>
        <w:tc>
          <w:tcPr>
            <w:tcW w:w="3000" w:type="dxa"/>
            <w:vAlign w:val="top"/>
          </w:tcPr>
          <w:p>
            <w:pPr>
              <w:spacing w:after="40"/>
            </w:pPr>
            <w:r>
              <w:rPr>
                <w:sz w:val="17"/>
                <w:szCs w:val="17"/>
              </w:rPr>
              <w:t xml:space="preserve">Cette phrase et les rappels de méthode (« Le tableau différentiel fixe… », « Les questions ci-dessus servent à préparer… ») constituent des méta-commentaires sur le fichier, interdits par le prompt.</w:t>
            </w:r>
          </w:p>
          <w:p>
            <w:pPr>
              <w:spacing w:after="0"/>
            </w:pPr>
            <w:r>
              <w:rPr>
                <w:b/>
                <w:color w:val="145A32"/>
                <w:sz w:val="17"/>
                <w:szCs w:val="17"/>
              </w:rPr>
              <w:t xml:space="preserve">→ Supprimer ces phrases de méta-commentaire et ouvrir directement sur le problème médical.</w:t>
            </w:r>
          </w:p>
        </w:tc>
        <w:tc>
          <w:tcPr>
            <w:tcW w:w="1800" w:type="dxa"/>
            <w:vAlign w:val="top"/>
          </w:tcPr>
          <w:p>
            <w:pPr>
              <w:spacing w:after="0"/>
            </w:pPr>
            <w:r>
              <w:rPr>
                <w:sz w:val="17"/>
                <w:szCs w:val="17"/>
              </w:rPr>
              <w:t xml:space="preserve">PROMPT_V6 (prompt de base PROFILES, Standard V6),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9.k › 2e paragraphe (3 occurrences de « flushs »)</w:t>
            </w:r>
          </w:p>
        </w:tc>
        <w:tc>
          <w:tcPr>
            <w:tcW w:w="2600" w:type="dxa"/>
            <w:vAlign w:val="top"/>
          </w:tcPr>
          <w:p>
            <w:pPr>
              <w:spacing w:after="0"/>
            </w:pPr>
            <w:r>
              <w:rPr>
                <w:i/>
                <w:sz w:val="17"/>
                <w:szCs w:val="17"/>
              </w:rPr>
              <w:t xml:space="preserve">« sans généraliser une technique à tous les flushs. »</w:t>
            </w:r>
          </w:p>
        </w:tc>
        <w:tc>
          <w:tcPr>
            <w:tcW w:w="3000" w:type="dxa"/>
            <w:vAlign w:val="top"/>
          </w:tcPr>
          <w:p>
            <w:pPr>
              <w:spacing w:after="40"/>
            </w:pPr>
            <w:r>
              <w:rPr>
                <w:sz w:val="17"/>
                <w:szCs w:val="17"/>
              </w:rPr>
              <w:t xml:space="preserve">Le fichier alterne « flushing », « flush », « flushs » et « bouffées » sans règle, ce qui mêle anglicisme et pluriel francisé.</w:t>
            </w:r>
          </w:p>
          <w:p>
            <w:pPr>
              <w:spacing w:after="0"/>
            </w:pPr>
            <w:r>
              <w:rPr>
                <w:b/>
                <w:color w:val="145A32"/>
                <w:sz w:val="17"/>
                <w:szCs w:val="17"/>
              </w:rPr>
              <w:t xml:space="preserve">→ Employer « flushing » seulement comme intitulé PROFILES, puis « flush » (pluriel « flushs ») ou « bouffée vasomotrice » de façon constante après l’avoir défini au point 1.</w:t>
            </w:r>
          </w:p>
        </w:tc>
        <w:tc>
          <w:tcPr>
            <w:tcW w:w="1800" w:type="dxa"/>
            <w:vAlign w:val="top"/>
          </w:tcPr>
          <w:p>
            <w:pPr>
              <w:spacing w:after="0"/>
            </w:pPr>
            <w:r>
              <w:rPr>
                <w:sz w:val="17"/>
                <w:szCs w:val="17"/>
              </w:rPr>
              <w:t xml:space="preserve">PROMPT_V6 (prompt de base PROFILES,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L7-L19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Début du corps du fichier › absence de titre « Bloc 1 » avant le point 1</w:t>
            </w:r>
          </w:p>
        </w:tc>
        <w:tc>
          <w:tcPr>
            <w:tcW w:w="2600" w:type="dxa"/>
            <w:vAlign w:val="top"/>
          </w:tcPr>
          <w:p>
            <w:pPr>
              <w:spacing w:after="0"/>
            </w:pPr>
            <w:r>
              <w:rPr>
                <w:i/>
                <w:sz w:val="17"/>
                <w:szCs w:val="17"/>
              </w:rPr>
              <w:t xml:space="preserve">« Bloc 2 — Liste différentielle fixée et comparaison des dix diagnostics »</w:t>
            </w:r>
          </w:p>
        </w:tc>
        <w:tc>
          <w:tcPr>
            <w:tcW w:w="3000" w:type="dxa"/>
            <w:vAlign w:val="top"/>
          </w:tcPr>
          <w:p>
            <w:pPr>
              <w:spacing w:after="40"/>
            </w:pPr>
            <w:r>
              <w:rPr>
                <w:sz w:val="17"/>
                <w:szCs w:val="17"/>
              </w:rPr>
              <w:t xml:space="preserve">Le fichier titre le Bloc 2 mais jamais le Bloc 1 ; il n’utilise pas non plus le gabarit V6 (titres de points en &lt;h2&gt; au lieu de &lt;strong&gt;, conteneur et styles différents), ce qui rompt l’homogénéité entre lots.</w:t>
            </w:r>
          </w:p>
          <w:p>
            <w:pPr>
              <w:spacing w:after="0"/>
            </w:pPr>
            <w:r>
              <w:rPr>
                <w:b/>
                <w:color w:val="145A32"/>
                <w:sz w:val="17"/>
                <w:szCs w:val="17"/>
              </w:rPr>
              <w:t xml:space="preserve">→ Insérer avant le point 1 le titre « Bloc 1 — Monographie du SSP G7 en 14 points » et aligner la mise en forme des titres de points sur le gabarit (&lt;p&gt;&lt;strong&gt;1. Définition et sémantique de la plainte.&lt;/strong&gt;).</w:t>
            </w:r>
          </w:p>
        </w:tc>
        <w:tc>
          <w:tcPr>
            <w:tcW w:w="1800" w:type="dxa"/>
            <w:vAlign w:val="top"/>
          </w:tcPr>
          <w:p>
            <w:pPr>
              <w:spacing w:after="0"/>
            </w:pPr>
            <w:r>
              <w:rPr>
                <w:sz w:val="17"/>
                <w:szCs w:val="17"/>
              </w:rPr>
              <w:t xml:space="preserve">PROMPT_V6 (prompt de base PROFILES, Standard V6), § 4.1, § 5 (titres en &lt;strong&gt;)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L7-L20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Sources › entrées [S1] à [S25] (25 occurrences ; première en [S1])</w:t>
            </w:r>
          </w:p>
        </w:tc>
        <w:tc>
          <w:tcPr>
            <w:tcW w:w="2600" w:type="dxa"/>
            <w:vAlign w:val="top"/>
          </w:tcPr>
          <w:p>
            <w:pPr>
              <w:spacing w:after="0"/>
            </w:pPr>
            <w:r>
              <w:rPr>
                <w:i/>
                <w:sz w:val="17"/>
                <w:szCs w:val="17"/>
              </w:rPr>
              <w:t xml:space="preserve">« [S1] SMIFK–CIMS — PROFILES, Situations as Starting Points — 2023. »</w:t>
            </w:r>
          </w:p>
        </w:tc>
        <w:tc>
          <w:tcPr>
            <w:tcW w:w="3000" w:type="dxa"/>
            <w:vAlign w:val="top"/>
          </w:tcPr>
          <w:p>
            <w:pPr>
              <w:spacing w:after="40"/>
            </w:pPr>
            <w:r>
              <w:rPr>
                <w:sz w:val="17"/>
                <w:szCs w:val="17"/>
              </w:rPr>
              <w:t xml:space="preserve">Chaque URL est cachée derrière le lien « Ouvrir la source » ; la liste imprimée ou copiée ne montre donc pas l’URL exigée par le prompt.</w:t>
            </w:r>
          </w:p>
          <w:p>
            <w:pPr>
              <w:spacing w:after="0"/>
            </w:pPr>
            <w:r>
              <w:rPr>
                <w:b/>
                <w:color w:val="145A32"/>
                <w:sz w:val="17"/>
                <w:szCs w:val="17"/>
              </w:rPr>
              <w:t xml:space="preserve">→ Afficher l’URL en clair dans chaque entrée, par exemple « — https://smifk-cims.ch/profiles-2023/ssps — consulté le 21.10.2026 ».</w:t>
            </w:r>
          </w:p>
        </w:tc>
        <w:tc>
          <w:tcPr>
            <w:tcW w:w="1800" w:type="dxa"/>
            <w:vAlign w:val="top"/>
          </w:tcPr>
          <w:p>
            <w:pPr>
              <w:spacing w:after="0"/>
            </w:pPr>
            <w:r>
              <w:rPr>
                <w:sz w:val="17"/>
                <w:szCs w:val="17"/>
              </w:rPr>
              <w:t xml:space="preserve">PROMPT_V6 (prompt de base PROFILES, Standard V6), § 3.8 et § 9 (format de la section Sources).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L7-L22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LOT_7_Rapport_Audit_Appel_A_V6.html</w:t>
            </w:r>
          </w:p>
        </w:tc>
        <w:tc>
          <w:tcPr>
            <w:tcW w:w="2350" w:type="dxa"/>
            <w:vAlign w:val="top"/>
          </w:tcPr>
          <w:p>
            <w:pPr>
              <w:spacing w:after="0"/>
            </w:pPr>
            <w:r>
              <w:rPr>
                <w:sz w:val="17"/>
                <w:szCs w:val="17"/>
              </w:rPr>
              <w:t xml:space="preserve">Rapport › section 1 « Périmètre et méthode de la relecture » › 4e paragraphe (même jargon en section 7 : « diff », « fetch brut »)</w:t>
            </w:r>
          </w:p>
        </w:tc>
        <w:tc>
          <w:tcPr>
            <w:tcW w:w="2600" w:type="dxa"/>
            <w:vAlign w:val="top"/>
          </w:tcPr>
          <w:p>
            <w:pPr>
              <w:spacing w:after="0"/>
            </w:pPr>
            <w:r>
              <w:rPr>
                <w:i/>
                <w:sz w:val="17"/>
                <w:szCs w:val="17"/>
              </w:rPr>
              <w:t xml:space="preserve">« Les vérifications de structure et de rendu mobile ont été effectuées séparément par root. »</w:t>
            </w:r>
          </w:p>
        </w:tc>
        <w:tc>
          <w:tcPr>
            <w:tcW w:w="3000" w:type="dxa"/>
            <w:vAlign w:val="top"/>
          </w:tcPr>
          <w:p>
            <w:pPr>
              <w:spacing w:after="40"/>
            </w:pPr>
            <w:r>
              <w:rPr>
                <w:sz w:val="17"/>
                <w:szCs w:val="17"/>
              </w:rPr>
              <w:t xml:space="preserve">Le rapport emploie un jargon informatique non expliqué (« root », « diff », « fetch brut ») qui reste opaque pour un lecteur médical.</w:t>
            </w:r>
          </w:p>
          <w:p>
            <w:pPr>
              <w:spacing w:after="0"/>
            </w:pPr>
            <w:r>
              <w:rPr>
                <w:b/>
                <w:color w:val="145A32"/>
                <w:sz w:val="17"/>
                <w:szCs w:val="17"/>
              </w:rPr>
              <w:t xml:space="preserve">→ Les vérifications de structure et de rendu mobile ont été effectuées séparément par un contrôle technique automatisé ; remplacer « diff » par « comparaison ligne à ligne des versions » et « fetch brut » par « téléchargement direct ».</w:t>
            </w:r>
          </w:p>
        </w:tc>
        <w:tc>
          <w:tcPr>
            <w:tcW w:w="1800" w:type="dxa"/>
            <w:vAlign w:val="top"/>
          </w:tcPr>
          <w:p>
            <w:pPr>
              <w:spacing w:after="0"/>
            </w:pPr>
            <w:r>
              <w:rPr>
                <w:sz w:val="17"/>
                <w:szCs w:val="17"/>
              </w:rPr>
              <w:t xml:space="preserve">PROMPT_V6 (prompt de base PROFILES,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L7-M12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LOT_7_Appel_A_V5_Ultra_Pedagogique_Plan_et_Liste.html</w:t>
            </w:r>
          </w:p>
        </w:tc>
        <w:tc>
          <w:tcPr>
            <w:tcW w:w="2350" w:type="dxa"/>
            <w:vAlign w:val="top"/>
          </w:tcPr>
          <w:p>
            <w:pPr>
              <w:spacing w:after="0"/>
            </w:pPr>
            <w:r>
              <w:rPr>
                <w:sz w:val="17"/>
                <w:szCs w:val="17"/>
              </w:rPr>
              <w:t xml:space="preserve">Point 2 › paragraphe « Les recherches ont porté sur… »</w:t>
            </w:r>
          </w:p>
        </w:tc>
        <w:tc>
          <w:tcPr>
            <w:tcW w:w="2600" w:type="dxa"/>
            <w:vAlign w:val="top"/>
          </w:tcPr>
          <w:p>
            <w:pPr>
              <w:spacing w:after="0"/>
            </w:pPr>
            <w:r>
              <w:rPr>
                <w:i/>
                <w:sz w:val="17"/>
                <w:szCs w:val="17"/>
              </w:rPr>
              <w:t xml:space="preserve">« Les recherches ont porté sur les sources OFSP, les documents cliniques suisses HUG et les recommandations européennes des maladies retenues. »</w:t>
            </w:r>
          </w:p>
        </w:tc>
        <w:tc>
          <w:tcPr>
            <w:tcW w:w="3000" w:type="dxa"/>
            <w:vAlign w:val="top"/>
          </w:tcPr>
          <w:p>
            <w:pPr>
              <w:spacing w:after="40"/>
            </w:pPr>
            <w:r>
              <w:rPr>
                <w:sz w:val="17"/>
                <w:szCs w:val="17"/>
              </w:rPr>
              <w:t xml:space="preserve">La correction C7 du rapport V6 n’est que partiellement appliquée : OFSP et HUG apparaissent ici pour la première fois sans être développés (HUG n’est développé qu’au point 8).</w:t>
            </w:r>
          </w:p>
          <w:p>
            <w:pPr>
              <w:spacing w:after="0"/>
            </w:pPr>
            <w:r>
              <w:rPr>
                <w:b/>
                <w:color w:val="145A32"/>
                <w:sz w:val="17"/>
                <w:szCs w:val="17"/>
              </w:rPr>
              <w:t xml:space="preserve">→ Écrire : « Les recherches ont porté sur les sources de l’Office fédéral de la santé publique (OFSP), les documents cliniques suisses des Hôpitaux universitaires de Genève (HUG) et les recommandations européennes des maladies retenues. »</w:t>
            </w:r>
          </w:p>
        </w:tc>
        <w:tc>
          <w:tcPr>
            <w:tcW w:w="1800" w:type="dxa"/>
            <w:vAlign w:val="top"/>
          </w:tcPr>
          <w:p>
            <w:pPr>
              <w:spacing w:after="0"/>
            </w:pPr>
            <w:r>
              <w:rPr>
                <w:sz w:val="17"/>
                <w:szCs w:val="17"/>
              </w:rPr>
              <w:t xml:space="preserve">PROMPT_V6 §6.5 ; LOT_7_Rapport_Audit_Appel_A_V6.html, correction C7.</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Périmètre. Le LOT_7 (SSP G7, flushing / bouffées vasomotrices) ne contient que deux fichiers clonés fidèlement depuis Drive (tailles et SHA-256 conformes au manifeste) : l’Appel A V5 (164 115 octets, balise FIN_FICHIER présente, 53 fenêtres équilibrées, aucun title= ni lien href='#', aucun script) et le rapport d’audit de l’Appel A V6. Les Parties 1 à 4 de l’Appel B sont absentes : aucune des dix monographies DX.1–DX.10 n’a été rédigée ni auditée, ce qui fait l’objet du constat L7-M01. Aucun Google Doc exporté ni doublon n’a été trouvé.</w:t>
      </w:r>
    </w:p>
    <w:p>
      <w:pPr>
        <w:spacing w:after="100"/>
        <w:jc w:val="both"/>
      </w:pPr>
      <w:r>
        <w:rPr>
          <w:sz w:val="19"/>
          <w:szCs w:val="19"/>
        </w:rPr>
        <w:t xml:space="preserve">Méthode. J’ai lu en entier le prompt V6, l’Appel A et le rapport d’audit V6. J’ai vérifié chaque correction annoncée par ce rapport dans le texte de l’Appel A : C1 (deux recueils de 5-HIAA), C2 (branche d’urgence de l’algorithme), C3 (préanalyse de la FSH), C4 (consensus HemaSphere), C5 (critères de rosacée), C6 (hypersensibilité au Veoza), C8 (date de Reese 2021) et les compléments Adrenalin Sintetica et Femoston sont appliqués ; C7 (sigles) ne l’est que partiellement (L7-M12). L’empreinte SHA-256 du fichier clinique citée par le rapport correspond à celle du manifeste. J’ai relu sur swissmedicinfo.ch les AIPS suisses de Veoza (mars 2025), Epipen (septembre 2025), Adrenalin Sintetica (novembre 2024) et Femoston (août 2025), ainsi que la source S3, et j’ai refait le calcul de la tryptase.</w:t>
      </w:r>
    </w:p>
    <w:p>
      <w:pPr>
        <w:spacing w:after="100"/>
        <w:jc w:val="both"/>
      </w:pPr>
      <w:r>
        <w:rPr>
          <w:sz w:val="19"/>
          <w:szCs w:val="19"/>
        </w:rPr>
        <w:t xml:space="preserve">Forces. Les données pharmacologiques vérifiées sont exactes : fézolinétant 45 mg une fois par jour, contre-indications DFGe &lt; 30 mL/min/1,73 m², Child-Pugh B/C et tous les inhibiteurs du CYP1A2, bilan hépatique initial et mensuel pendant trois mois, seuils d’arrêt &gt; 5 × LSN ou &gt; 3 × LSN avec bilirubine &gt; 2 × LSN ; Epipen 0,3 mg IM avec seconde injection après 5 à 15 minutes ; Adrenalin Sintetica 500 µg IM répétable toutes les 5 minutes ; schéma Femoston 1/10 et ses contre-indications. La formule de la tryptase (1,2 × basale + 2 µg/L) et l’exemple chiffré sont justes. Le cours refuse avec rigueur les chiffres inventés, sépare marqueur, imagerie et preuve tissulaire, et place la sécurité vitale avant l’enquête étiologique.</w:t>
      </w:r>
    </w:p>
    <w:p>
      <w:pPr>
        <w:spacing w:after="100"/>
        <w:jc w:val="both"/>
      </w:pPr>
      <w:r>
        <w:rPr>
          <w:sz w:val="19"/>
          <w:szCs w:val="19"/>
        </w:rPr>
        <w:t xml:space="preserve">Faiblesses majeures. La faiblesse la plus importante pour l’étudiant est l’absence de tumeurs sécrétantes classiques du différentiel : le carcinome médullaire de la thyroïde et le VIPome ne sont pas nommés, alors que la source S3 du cours les inclut (L7-M02, Grave). L’ordre des DX ne suit pas la règle fréquence pondérée par la gravité et place l’anaphylaxie au 7e rang ; l’épidémiologie ne contient aucun chiffre, même propre à une cause ; les flushs médicamenteux et alcooliques restent sans agent ni mécanisme nommé ; les valeurs normales SI manquent pour toutes les analyses biologiques.</w:t>
      </w:r>
    </w:p>
    <w:p>
      <w:pPr>
        <w:spacing w:after="100"/>
        <w:jc w:val="both"/>
      </w:pPr>
      <w:r>
        <w:rPr>
          <w:sz w:val="19"/>
          <w:szCs w:val="19"/>
        </w:rPr>
        <w:t xml:space="preserve">Risques pour le patient ou l’étudiant. Je n’ai trouvé aucune erreur de dose, de voie ou de contre-indication. Les risques viennent d’omissions : l’absence des doses pédiatriques d’Epipen et de la prescription de deux auto-injecteurs, l’absence de la demi-dose d’adrénaline que l’AIPS envisage sous tricyclique ou bêtabloquant, et une conduite d’urgence de l’anaphylaxie limitée à l’adrénaline, sans positionnement, oxygène ni remplissage. Un candidat formé sur ce texte pourrait aussi ne pas évoquer un carcinome médullaire devant un flush avec diarrhée et nodule thyroïdien.</w:t>
      </w:r>
    </w:p>
    <w:p>
      <w:pPr>
        <w:spacing w:after="100"/>
        <w:jc w:val="both"/>
      </w:pPr>
      <w:r>
        <w:rPr>
          <w:sz w:val="19"/>
          <w:szCs w:val="19"/>
        </w:rPr>
        <w:t xml:space="preserve">Écarts au prompt sans effet direct sur le fond. Les sous-parties 9.b à 9.d ne suivent pas le plan canonique (1re intention, alternatives, 2e intention), et de nombreuses définitions restent dans le texte principal au lieu d’ouvrir une fenêtre. L’avis du rapport V6, selon lequel « aucun défaut majeur restant » ne persiste, est donc trop favorable dans le domaine médical.</w:t>
      </w:r>
    </w:p>
    <w:p>
      <w:pPr>
        <w:spacing w:after="100"/>
        <w:jc w:val="both"/>
      </w:pPr>
      <w:r>
        <w:rPr>
          <w:sz w:val="19"/>
          <w:szCs w:val="19"/>
        </w:rPr>
        <w:t xml:space="preserve">Priorités de correction. 1) Produire et faire auditer les quatre Parties de l’Appel B (L7-M01). 2) Ajouter le carcinome médullaire de la thyroïde et le VIPome au différentiel et à l’algorithme (L7-M02). 3) Compléter les données de sécurité de l’adrénaline et la conduite d’urgence (L7-M06 à M08). 4) Revoir l’ordre des DX et chiffrer l’épidémiologie propre aux causes (L7-M03, M04). 5) Nommer les agents des flushs médicamenteux, ajouter les valeurs SI, restructurer le point 9 et convertir les définitions en fenêtres (L7-M05, M09 à M12).</w:t>
      </w:r>
    </w:p>
    <w:p>
      <w:pPr>
        <w:pStyle w:val="Titre1"/>
        <w:keepNext/>
      </w:pPr>
      <w:r>
        <w:rPr>
          <w:b/>
          <w:color w:val="1A5276"/>
          <w:sz w:val="26"/>
          <w:szCs w:val="26"/>
        </w:rPr>
        <w:t xml:space="preserve">Rapport d'audit linguistique</w:t>
      </w:r>
    </w:p>
    <w:p>
      <w:pPr>
        <w:spacing w:after="100"/>
        <w:jc w:val="both"/>
      </w:pPr>
      <w:r>
        <w:rPr>
          <w:sz w:val="19"/>
          <w:szCs w:val="19"/>
        </w:rPr>
        <w:t xml:space="preserve">Cet audit linguistique et de conformité au prompt de base V6 porte sur le LOT_7, qui correspond au SSP G7 de PROFILES 2023 (flushing / bouffées vasomotrices). Le dossier cloné contient seulement deux fichiers : l’Appel A (164 115 octets, empreinte identique au manifeste) et le rapport d’audit de cet Appel A. Les Parties 1 à 4 de l’Appel B manquent entièrement ; elles n’ont donc pas pu être auditées, et le lot reste incomplet.</w:t>
      </w:r>
    </w:p>
    <w:p>
      <w:pPr>
        <w:spacing w:after="100"/>
        <w:jc w:val="both"/>
      </w:pPr>
      <w:r>
        <w:rPr>
          <w:sz w:val="19"/>
          <w:szCs w:val="19"/>
        </w:rPr>
        <w:t xml:space="preserve">L’auditeur a lu le prompt V6 en entier, puis le texte visible complet des deux fichiers. Il a contrôlé le format, la balise FIN_FICHIER, les 14 points, le Bloc 2, les fenêtres, les tableaux et la langue. Un script a compté les balises &lt;details&gt;, les attributs title=, les lignes trop longues et les espaces insécables, et il a vérifié chaque extrait cité. Deux recherches web ont recoupé l’information professionnelle suisse de Veoza et la liste des causes graves de flush.</w:t>
      </w:r>
    </w:p>
    <w:p>
      <w:pPr>
        <w:spacing w:after="100"/>
        <w:jc w:val="both"/>
      </w:pPr>
      <w:r>
        <w:rPr>
          <w:sz w:val="19"/>
          <w:szCs w:val="19"/>
        </w:rPr>
        <w:t xml:space="preserve">Le fichier présente de vraies forces. Il est en HTML strict, sans Google Docs ni attribut title=, il se termine par sa balise FIN_FICHIER, et tous ses tableaux défilent dans un conteneur. Les 14 points et les sous-parties 11.A–D existent. Les posologies sensibles (Epipen® 0,3 mg IM, adrénaline 500 µg IM, Femoston® 1/10, Veoza® 45 mg) s’appuient sur les AIPS suisses, et les contre-indications de Veoza® concordent avec l’information professionnelle suisse. Le texte emploie presque partout des phrases verbales, et il écrit honnêtement « donnée non trouvée » au lieu d’inventer.</w:t>
      </w:r>
    </w:p>
    <w:p>
      <w:pPr>
        <w:spacing w:after="100"/>
        <w:jc w:val="both"/>
      </w:pPr>
      <w:r>
        <w:rPr>
          <w:sz w:val="19"/>
          <w:szCs w:val="19"/>
        </w:rPr>
        <w:t xml:space="preserve">Les faiblesses majeures touchent la forme pédagogique imposée. Aucun terme technique n’ouvre de fenêtre en ligne, car les 53 fenêtres sont des blocs de section. Le point 9 ne suit pas le découpage 9.a–9.d. L’ordre des DX reste pédagogique et place l’anaphylaxie au 7e rang. Le point 2 ne donne aucun chiffre, la définition s’appuie sur un simple résumé de 2013, et les colonnes « Normal » de plusieurs examens ne portent aucune valeur.</w:t>
      </w:r>
    </w:p>
    <w:p>
      <w:pPr>
        <w:spacing w:after="100"/>
        <w:jc w:val="both"/>
      </w:pPr>
      <w:r>
        <w:rPr>
          <w:sz w:val="19"/>
          <w:szCs w:val="19"/>
        </w:rPr>
        <w:t xml:space="preserve">La langue est correcte dans l’ensemble, mais elle souffre de défauts répétés : dix légendes « Interprétation de » sans article ni élision, un accord fautif, des sigles développés trop tard, l’absence totale d’espaces insécables, des légendes nominales et des méta-commentaires. Les réserves négatives (« ne remplace pas », « ne prouve pas ») reviennent plus de quarante fois et alourdissent la lecture.</w:t>
      </w:r>
    </w:p>
    <w:p>
      <w:pPr>
        <w:spacing w:after="100"/>
        <w:jc w:val="both"/>
      </w:pPr>
      <w:r>
        <w:rPr>
          <w:sz w:val="19"/>
          <w:szCs w:val="19"/>
        </w:rPr>
        <w:t xml:space="preserve">Aucun constat critique ne menace directement un patient : les doses et les conduites d’urgence vérifiées restent justes. Pour l’étudiant, le risque vient surtout de l’omission du carcinome médullaire de la thyroïde, cause grave citée par la source S3 du dossier, et de l’absence de chiffres. Le rapport d’audit joint surestime enfin la conformité, car il ne relève pas les écarts au gabarit et au plan.</w:t>
      </w:r>
    </w:p>
    <w:p>
      <w:pPr>
        <w:spacing w:after="100"/>
        <w:jc w:val="both"/>
      </w:pPr>
      <w:r>
        <w:rPr>
          <w:sz w:val="19"/>
          <w:szCs w:val="19"/>
        </w:rPr>
        <w:t xml:space="preserve">Les priorités de correction sont, dans l’ordre : produire et auditer les quatre Parties de l’Appel B ; ajouter les fenêtres en ligne sur chaque terme ; restructurer le point 9 et justifier l’ordre des DX ; nommer le carcinome médullaire de la thyroïde ; chiffrer l’épidémiologie par cause et les intervalles de référence ; corriger enfin la grammaire, les sigles et la typographie.</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