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mc="http://schemas.openxmlformats.org/markup-compatibility/2006" mc:Ignorable="w14">
  <w:body>
    <w:p>
      <w:pPr>
        <w:spacing w:after="60"/>
      </w:pPr>
      <w:r>
        <w:rPr>
          <w:b/>
          <w:color w:val="1A5276"/>
          <w:sz w:val="40"/>
          <w:szCs w:val="40"/>
        </w:rPr>
        <w:t xml:space="preserve">LOT 1 — Transpiration anormale (SSP G1)</w:t>
      </w:r>
    </w:p>
    <w:p>
      <w:pPr>
        <w:spacing w:after="60"/>
      </w:pPr>
      <w:r>
        <w:rPr>
          <w:i/>
          <w:color w:val="5D6D7E"/>
          <w:sz w:val="24"/>
          <w:szCs w:val="24"/>
        </w:rPr>
        <w:t xml:space="preserve">Liste des problèmes à corriger — audit médical, linguistique et conformité au prompt de base</w:t>
      </w:r>
    </w:p>
    <w:p>
      <w:pPr>
        <w:spacing w:after="200"/>
      </w:pPr>
      <w:r>
        <w:rPr>
          <w:color w:val="5D6D7E"/>
          <w:sz w:val="18"/>
          <w:szCs w:val="18"/>
        </w:rPr>
        <w:t xml:space="preserve">Audit du 2026-10-22 · Claude — audits médical et linguistique indépendants</w:t>
      </w:r>
    </w:p>
    <w:p>
      <w:pPr>
        <w:pStyle w:val="Titre1"/>
        <w:keepNext/>
      </w:pPr>
      <w:r>
        <w:rPr>
          <w:b/>
          <w:color w:val="1A5276"/>
          <w:sz w:val="26"/>
          <w:szCs w:val="26"/>
        </w:rPr>
        <w:t xml:space="preserve">Mode d'emploi</w:t>
      </w:r>
    </w:p>
    <w:p>
      <w:pPr>
        <w:spacing w:after="40"/>
      </w:pPr>
      <w:r>
        <w:rPr>
          <w:sz w:val="19"/>
          <w:szCs w:val="19"/>
        </w:rPr>
        <w:t xml:space="preserve">• Chaque ligne décrit un problème et son emplacement exact. Le correcteur n'a pas besoin de relire le lot entier.</w:t>
      </w:r>
    </w:p>
    <w:p>
      <w:pPr>
        <w:spacing w:after="40"/>
      </w:pPr>
      <w:r>
        <w:rPr>
          <w:sz w:val="19"/>
          <w:szCs w:val="19"/>
        </w:rPr>
        <w:t xml:space="preserve">• L'emplacement suit le chemin Fichier › Bloc › point › fenêtre. L'extrait cite le texte fautif mot pour mot : une recherche Ctrl+F le retrouve.</w:t>
      </w:r>
    </w:p>
    <w:p>
      <w:pPr>
        <w:spacing w:after="40"/>
      </w:pPr>
      <w:r>
        <w:rPr>
          <w:sz w:val="19"/>
          <w:szCs w:val="19"/>
        </w:rPr>
        <w:t xml:space="preserve">• Le correcteur applique la correction, puis il clique sur la case : elle se coche en rouge (☒).</w:t>
      </w:r>
    </w:p>
    <w:p>
      <w:pPr>
        <w:spacing w:after="40"/>
      </w:pPr>
      <w:r>
        <w:rPr>
          <w:sz w:val="19"/>
          <w:szCs w:val="19"/>
        </w:rPr>
        <w:t xml:space="preserve">• L'auditeur suivant contrôle chaque case cochée avant de valider le lot.</w:t>
      </w:r>
    </w:p>
    <w:p>
      <w:pPr>
        <w:pStyle w:val="Titre1"/>
        <w:keepNext/>
      </w:pPr>
      <w:r>
        <w:rPr>
          <w:b/>
          <w:color w:val="1A5276"/>
          <w:sz w:val="26"/>
          <w:szCs w:val="26"/>
        </w:rPr>
        <w:t xml:space="preserve">Synthèse</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1800"/>
        <w:gridCol w:w="1100"/>
        <w:gridCol w:w="11500"/>
      </w:tblGrid>
      <w:tr>
        <w:trPr>
          <w:tblHeader/>
          <w:cantSplit/>
        </w:trPr>
        <w:tc>
          <w:tcPr>
            <w:tcW w:w="1800" w:type="dxa"/>
            <w:shd w:val="clear" w:color="auto" w:fill="1A5276"/>
            <w:vAlign w:val="top"/>
          </w:tcPr>
          <w:p>
            <w:pPr>
              <w:spacing w:after="0"/>
            </w:pPr>
            <w:r>
              <w:rPr>
                <w:b/>
                <w:color w:val="FFFFFF"/>
                <w:sz w:val="17"/>
                <w:szCs w:val="17"/>
              </w:rPr>
              <w:t xml:space="preserve">Gravité</w:t>
            </w:r>
          </w:p>
        </w:tc>
        <w:tc>
          <w:tcPr>
            <w:tcW w:w="1100" w:type="dxa"/>
            <w:shd w:val="clear" w:color="auto" w:fill="1A5276"/>
            <w:vAlign w:val="top"/>
          </w:tcPr>
          <w:p>
            <w:pPr>
              <w:spacing w:after="0"/>
            </w:pPr>
            <w:r>
              <w:rPr>
                <w:b/>
                <w:color w:val="FFFFFF"/>
                <w:sz w:val="17"/>
                <w:szCs w:val="17"/>
              </w:rPr>
              <w:t xml:space="preserve">Nombre</w:t>
            </w:r>
          </w:p>
        </w:tc>
        <w:tc>
          <w:tcPr>
            <w:tcW w:w="11500" w:type="dxa"/>
            <w:shd w:val="clear" w:color="auto" w:fill="1A5276"/>
            <w:vAlign w:val="top"/>
          </w:tcPr>
          <w:p>
            <w:pPr>
              <w:spacing w:after="0"/>
            </w:pPr>
            <w:r>
              <w:rPr>
                <w:b/>
                <w:color w:val="FFFFFF"/>
                <w:sz w:val="17"/>
                <w:szCs w:val="17"/>
              </w:rPr>
              <w:t xml:space="preserve">Définition</w:t>
            </w:r>
          </w:p>
        </w:tc>
      </w:tr>
      <w:tr>
        <w:trPr>
          <w:cantSplit/>
        </w:trPr>
        <w:tc>
          <w:tcPr>
            <w:tcW w:w="1800" w:type="dxa"/>
            <w:shd w:val="clear" w:color="auto" w:fill="FADBD8"/>
            <w:vAlign w:val="top"/>
          </w:tcPr>
          <w:p>
            <w:pPr>
              <w:spacing w:after="0"/>
            </w:pPr>
            <w:r>
              <w:rPr>
                <w:sz w:val="17"/>
                <w:szCs w:val="17"/>
              </w:rPr>
              <w:t xml:space="preserve">Critique</w:t>
            </w:r>
          </w:p>
        </w:tc>
        <w:tc>
          <w:tcPr>
            <w:tcW w:w="1100" w:type="dxa"/>
            <w:shd w:val="clear" w:color="auto" w:fill="FADBD8"/>
            <w:vAlign w:val="top"/>
          </w:tcPr>
          <w:p>
            <w:pPr>
              <w:spacing w:after="0"/>
            </w:pPr>
            <w:r>
              <w:rPr>
                <w:sz w:val="17"/>
                <w:szCs w:val="17"/>
              </w:rPr>
              <w:t xml:space="preserve">1</w:t>
            </w:r>
          </w:p>
        </w:tc>
        <w:tc>
          <w:tcPr>
            <w:tcW w:w="11500" w:type="dxa"/>
            <w:shd w:val="clear" w:color="auto" w:fill="FADBD8"/>
            <w:vAlign w:val="top"/>
          </w:tcPr>
          <w:p>
            <w:pPr>
              <w:spacing w:after="0"/>
            </w:pPr>
            <w:r>
              <w:rPr>
                <w:sz w:val="17"/>
                <w:szCs w:val="17"/>
              </w:rPr>
              <w:t xml:space="preserve">L'erreur peut nuire à un patient (dose, contre-indication, conduite dangereuse). Correction immédiate.</w:t>
            </w:r>
          </w:p>
        </w:tc>
      </w:tr>
      <w:tr>
        <w:trPr>
          <w:cantSplit/>
        </w:trPr>
        <w:tc>
          <w:tcPr>
            <w:tcW w:w="1800" w:type="dxa"/>
            <w:shd w:val="clear" w:color="auto" w:fill="FDEBD0"/>
            <w:vAlign w:val="top"/>
          </w:tcPr>
          <w:p>
            <w:pPr>
              <w:spacing w:after="0"/>
            </w:pPr>
            <w:r>
              <w:rPr>
                <w:sz w:val="17"/>
                <w:szCs w:val="17"/>
              </w:rPr>
              <w:t xml:space="preserve">Grave</w:t>
            </w:r>
          </w:p>
        </w:tc>
        <w:tc>
          <w:tcPr>
            <w:tcW w:w="1100" w:type="dxa"/>
            <w:shd w:val="clear" w:color="auto" w:fill="FDEBD0"/>
            <w:vAlign w:val="top"/>
          </w:tcPr>
          <w:p>
            <w:pPr>
              <w:spacing w:after="0"/>
            </w:pPr>
            <w:r>
              <w:rPr>
                <w:sz w:val="17"/>
                <w:szCs w:val="17"/>
              </w:rPr>
              <w:t xml:space="preserve">61</w:t>
            </w:r>
          </w:p>
        </w:tc>
        <w:tc>
          <w:tcPr>
            <w:tcW w:w="11500" w:type="dxa"/>
            <w:shd w:val="clear" w:color="auto" w:fill="FDEBD0"/>
            <w:vAlign w:val="top"/>
          </w:tcPr>
          <w:p>
            <w:pPr>
              <w:spacing w:after="0"/>
            </w:pPr>
            <w:r>
              <w:rPr>
                <w:sz w:val="17"/>
                <w:szCs w:val="17"/>
              </w:rPr>
              <w:t xml:space="preserve">Le contenu est faux, non sourcé ou viole une règle absolue du prompt de base.</w:t>
            </w:r>
          </w:p>
        </w:tc>
      </w:tr>
      <w:tr>
        <w:trPr>
          <w:cantSplit/>
        </w:trPr>
        <w:tc>
          <w:tcPr>
            <w:tcW w:w="1800" w:type="dxa"/>
            <w:shd w:val="clear" w:color="auto" w:fill="FEF9E7"/>
            <w:vAlign w:val="top"/>
          </w:tcPr>
          <w:p>
            <w:pPr>
              <w:spacing w:after="0"/>
            </w:pPr>
            <w:r>
              <w:rPr>
                <w:sz w:val="17"/>
                <w:szCs w:val="17"/>
              </w:rPr>
              <w:t xml:space="preserve">Moyen</w:t>
            </w:r>
          </w:p>
        </w:tc>
        <w:tc>
          <w:tcPr>
            <w:tcW w:w="1100" w:type="dxa"/>
            <w:shd w:val="clear" w:color="auto" w:fill="FEF9E7"/>
            <w:vAlign w:val="top"/>
          </w:tcPr>
          <w:p>
            <w:pPr>
              <w:spacing w:after="0"/>
            </w:pPr>
            <w:r>
              <w:rPr>
                <w:sz w:val="17"/>
                <w:szCs w:val="17"/>
              </w:rPr>
              <w:t xml:space="preserve">49</w:t>
            </w:r>
          </w:p>
        </w:tc>
        <w:tc>
          <w:tcPr>
            <w:tcW w:w="11500" w:type="dxa"/>
            <w:shd w:val="clear" w:color="auto" w:fill="FEF9E7"/>
            <w:vAlign w:val="top"/>
          </w:tcPr>
          <w:p>
            <w:pPr>
              <w:spacing w:after="0"/>
            </w:pPr>
            <w:r>
              <w:rPr>
                <w:sz w:val="17"/>
                <w:szCs w:val="17"/>
              </w:rPr>
              <w:t xml:space="preserve">Le contenu est incomplet, imprécis ou mal structuré ; la pédagogie en souffre.</w:t>
            </w:r>
          </w:p>
        </w:tc>
      </w:tr>
      <w:tr>
        <w:trPr>
          <w:cantSplit/>
        </w:trPr>
        <w:tc>
          <w:tcPr>
            <w:tcW w:w="1800" w:type="dxa"/>
            <w:shd w:val="clear" w:color="auto" w:fill="EBF5FB"/>
            <w:vAlign w:val="top"/>
          </w:tcPr>
          <w:p>
            <w:pPr>
              <w:spacing w:after="0"/>
            </w:pPr>
            <w:r>
              <w:rPr>
                <w:sz w:val="17"/>
                <w:szCs w:val="17"/>
              </w:rPr>
              <w:t xml:space="preserve">Léger</w:t>
            </w:r>
          </w:p>
        </w:tc>
        <w:tc>
          <w:tcPr>
            <w:tcW w:w="1100" w:type="dxa"/>
            <w:shd w:val="clear" w:color="auto" w:fill="EBF5FB"/>
            <w:vAlign w:val="top"/>
          </w:tcPr>
          <w:p>
            <w:pPr>
              <w:spacing w:after="0"/>
            </w:pPr>
            <w:r>
              <w:rPr>
                <w:sz w:val="17"/>
                <w:szCs w:val="17"/>
              </w:rPr>
              <w:t xml:space="preserve">15</w:t>
            </w:r>
          </w:p>
        </w:tc>
        <w:tc>
          <w:tcPr>
            <w:tcW w:w="11500" w:type="dxa"/>
            <w:shd w:val="clear" w:color="auto" w:fill="EBF5FB"/>
            <w:vAlign w:val="top"/>
          </w:tcPr>
          <w:p>
            <w:pPr>
              <w:spacing w:after="0"/>
            </w:pPr>
            <w:r>
              <w:rPr>
                <w:sz w:val="17"/>
                <w:szCs w:val="17"/>
              </w:rPr>
              <w:t xml:space="preserve">Faute de langue, de typographie ou de mise en forme sans conséquence sur le fond.</w:t>
            </w:r>
          </w:p>
        </w:tc>
      </w:tr>
      <w:tr>
        <w:trPr>
          <w:cantSplit/>
        </w:trPr>
        <w:tc>
          <w:tcPr>
            <w:tcW w:w="1800" w:type="dxa"/>
            <w:shd w:val="clear" w:color="auto" w:fill="EAECEE"/>
            <w:vAlign w:val="top"/>
          </w:tcPr>
          <w:p>
            <w:pPr>
              <w:spacing w:after="0"/>
            </w:pPr>
            <w:r>
              <w:rPr>
                <w:sz w:val="17"/>
                <w:szCs w:val="17"/>
              </w:rPr>
              <w:t xml:space="preserve">Total</w:t>
            </w:r>
          </w:p>
        </w:tc>
        <w:tc>
          <w:tcPr>
            <w:tcW w:w="1100" w:type="dxa"/>
            <w:shd w:val="clear" w:color="auto" w:fill="EAECEE"/>
            <w:vAlign w:val="top"/>
          </w:tcPr>
          <w:p>
            <w:pPr>
              <w:spacing w:after="0"/>
            </w:pPr>
            <w:r>
              <w:rPr>
                <w:sz w:val="17"/>
                <w:szCs w:val="17"/>
              </w:rPr>
              <w:t xml:space="preserve">126</w:t>
            </w:r>
          </w:p>
        </w:tc>
        <w:tc>
          <w:tcPr>
            <w:tcW w:w="11500" w:type="dxa"/>
            <w:shd w:val="clear" w:color="auto" w:fill="EAECEE"/>
            <w:vAlign w:val="top"/>
          </w:tcPr>
          <w:p>
            <w:pPr>
              <w:spacing w:after="0"/>
            </w:pPr>
            <w:r>
              <w:rPr>
                <w:sz w:val="17"/>
                <w:szCs w:val="17"/>
              </w:rPr>
              <w:t xml:space="preserve"/>
            </w:r>
          </w:p>
        </w:tc>
      </w:tr>
    </w:tbl>
    <w:p>
      <w:pPr>
        <w:spacing w:after="120"/>
      </w:pPr>
    </w:p>
    <w:p>
      <w:pPr>
        <w:spacing w:after="40"/>
      </w:pPr>
      <w:r>
        <w:rPr>
          <w:sz w:val="17"/>
          <w:szCs w:val="17"/>
        </w:rPr>
        <w:t xml:space="preserve">Le LOT_1 n'est pas publiable : seule une V6 HTML existe, prudente mais vidée de doses, de seuils, de tableaux et de sources numérotées, et l'Appel A reste un Google Doc dont la liste DX omet l'endocardite, le VIH et le syndrome coronarien aigu.</w:t>
      </w:r>
    </w:p>
    <w:p>
      <w:pPr>
        <w:spacing w:after="40"/>
      </w:pPr>
      <w:r>
        <w:rPr>
          <w:sz w:val="17"/>
          <w:szCs w:val="17"/>
        </w:rPr>
        <w:t xml:space="preserve">Les posologies des générations V4 contiennent une erreur Critique (glucose 20 % sous-dosé) et plusieurs spécialités non autorisées en Suisse ; il ne faut pas les réinjecter avant correction.</w:t>
      </w:r>
    </w:p>
    <w:p>
      <w:pPr>
        <w:spacing w:after="40"/>
      </w:pPr>
      <w:r>
        <w:rPr>
          <w:sz w:val="17"/>
          <w:szCs w:val="17"/>
        </w:rPr>
        <w:t xml:space="preserve">Le LOT_1 compte 79 constats : 0 Critique, 33 Graves, 31 Moyens et 15 Légers. Aucun fichier n'est conforme au prompt V6 : huit Google Docs sont vides, trois sont des conversions qui ont détruit les fenêtres et les chiffres, et la seule version .html (V6) a perdu tout contenu chiffré et toute source primaire.</w:t>
      </w:r>
    </w:p>
    <w:p>
      <w:pPr>
        <w:spacing w:after="40"/>
      </w:pPr>
      <w:r>
        <w:rPr>
          <w:sz w:val="17"/>
          <w:szCs w:val="17"/>
        </w:rPr>
        <w:t xml:space="preserve">La correction prioritaire consiste à archiver les documents vides et périmés, puis à régénérer en .html l'Appel A et les quatre Parties, en fusionnant les données sourcées de la V4 avec la langue de la V6.</w:t>
      </w:r>
    </w:p>
    <w:p>
      <w:pPr>
        <w:pStyle w:val="Titre1"/>
        <w:keepNext/>
      </w:pPr>
      <w:r>
        <w:rPr>
          <w:b/>
          <w:color w:val="1A5276"/>
          <w:sz w:val="26"/>
          <w:szCs w:val="26"/>
        </w:rPr>
        <w:t xml:space="preserve">Fichiers audités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400"/>
        <w:gridCol w:w="4600"/>
        <w:gridCol w:w="1500"/>
        <w:gridCol w:w="1900"/>
      </w:tblGrid>
      <w:tr>
        <w:trPr>
          <w:tblHeader/>
          <w:cantSplit/>
        </w:trPr>
        <w:tc>
          <w:tcPr>
            <w:tcW w:w="6400" w:type="dxa"/>
            <w:shd w:val="clear" w:color="auto" w:fill="1A5276"/>
            <w:vAlign w:val="top"/>
          </w:tcPr>
          <w:p>
            <w:pPr>
              <w:spacing w:after="0"/>
            </w:pPr>
            <w:r>
              <w:rPr>
                <w:b/>
                <w:color w:val="FFFFFF"/>
                <w:sz w:val="17"/>
                <w:szCs w:val="17"/>
              </w:rPr>
              <w:t xml:space="preserve">Fichier</w:t>
            </w:r>
          </w:p>
        </w:tc>
        <w:tc>
          <w:tcPr>
            <w:tcW w:w="4600" w:type="dxa"/>
            <w:shd w:val="clear" w:color="auto" w:fill="1A5276"/>
            <w:vAlign w:val="top"/>
          </w:tcPr>
          <w:p>
            <w:pPr>
              <w:spacing w:after="0"/>
            </w:pPr>
            <w:r>
              <w:rPr>
                <w:b/>
                <w:color w:val="FFFFFF"/>
                <w:sz w:val="17"/>
                <w:szCs w:val="17"/>
              </w:rPr>
              <w:t xml:space="preserve">Identifiant Drive</w:t>
            </w:r>
          </w:p>
        </w:tc>
        <w:tc>
          <w:tcPr>
            <w:tcW w:w="1500" w:type="dxa"/>
            <w:shd w:val="clear" w:color="auto" w:fill="1A5276"/>
            <w:vAlign w:val="top"/>
          </w:tcPr>
          <w:p>
            <w:pPr>
              <w:spacing w:after="0"/>
            </w:pPr>
            <w:r>
              <w:rPr>
                <w:b/>
                <w:color w:val="FFFFFF"/>
                <w:sz w:val="17"/>
                <w:szCs w:val="17"/>
              </w:rPr>
              <w:t xml:space="preserve">Taille (octets)</w:t>
            </w:r>
          </w:p>
        </w:tc>
        <w:tc>
          <w:tcPr>
            <w:tcW w:w="1900" w:type="dxa"/>
            <w:shd w:val="clear" w:color="auto" w:fill="1A5276"/>
            <w:vAlign w:val="top"/>
          </w:tcPr>
          <w:p>
            <w:pPr>
              <w:spacing w:after="0"/>
            </w:pPr>
            <w:r>
              <w:rPr>
                <w:b/>
                <w:color w:val="FFFFFF"/>
                <w:sz w:val="17"/>
                <w:szCs w:val="17"/>
              </w:rPr>
              <w:t xml:space="preserve">Statut</w:t>
            </w:r>
          </w:p>
        </w:tc>
      </w:tr>
      <w:tr>
        <w:trPr>
          <w:cantSplit/>
        </w:trPr>
        <w:tc>
          <w:tcPr>
            <w:tcW w:w="6400" w:type="dxa"/>
            <w:vAlign w:val="top"/>
          </w:tcPr>
          <w:p>
            <w:pPr>
              <w:spacing w:after="0"/>
            </w:pPr>
            <w:r>
              <w:rPr>
                <w:sz w:val="17"/>
                <w:szCs w:val="17"/>
              </w:rPr>
              <w:t xml:space="preserve">LOT_1_Appel_A_Plan_et_Liste__export_GoogleDoc.html</w:t>
            </w:r>
          </w:p>
        </w:tc>
        <w:tc>
          <w:tcPr>
            <w:tcW w:w="4600" w:type="dxa"/>
            <w:vAlign w:val="top"/>
          </w:tcPr>
          <w:p>
            <w:pPr>
              <w:spacing w:after="0"/>
            </w:pPr>
            <w:r>
              <w:rPr>
                <w:sz w:val="17"/>
                <w:szCs w:val="17"/>
              </w:rPr>
              <w:t xml:space="preserve">1rEgJd0XeVF0DG2Y5A7pl-nIUXws6N-UvcVAB025Rhq8</w:t>
            </w:r>
          </w:p>
        </w:tc>
        <w:tc>
          <w:tcPr>
            <w:tcW w:w="1500" w:type="dxa"/>
            <w:vAlign w:val="top"/>
          </w:tcPr>
          <w:p>
            <w:pPr>
              <w:spacing w:after="0"/>
            </w:pPr>
            <w:r>
              <w:rPr>
                <w:sz w:val="17"/>
                <w:szCs w:val="17"/>
              </w:rPr>
              <w:t xml:space="preserve">41345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LOT_1_Appel_B_V4_Argon_Expert_Complet__export_GoogleDoc.html</w:t>
            </w:r>
          </w:p>
        </w:tc>
        <w:tc>
          <w:tcPr>
            <w:tcW w:w="4600" w:type="dxa"/>
            <w:vAlign w:val="top"/>
          </w:tcPr>
          <w:p>
            <w:pPr>
              <w:spacing w:after="0"/>
            </w:pPr>
            <w:r>
              <w:rPr>
                <w:sz w:val="17"/>
                <w:szCs w:val="17"/>
              </w:rPr>
              <w:t xml:space="preserve">1qZyqAtn_dMCEtCC-fO4DkfJc0NIVzB8wt3TzK8O5xaY</w:t>
            </w:r>
          </w:p>
        </w:tc>
        <w:tc>
          <w:tcPr>
            <w:tcW w:w="1500" w:type="dxa"/>
            <w:vAlign w:val="top"/>
          </w:tcPr>
          <w:p>
            <w:pPr>
              <w:spacing w:after="0"/>
            </w:pPr>
            <w:r>
              <w:rPr>
                <w:sz w:val="17"/>
                <w:szCs w:val="17"/>
              </w:rPr>
              <w:t xml:space="preserve">44128</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LOT_1_Appel_B_V4_Argon_Part1_D1.1_D1.2__export_GoogleDoc.html</w:t>
            </w:r>
          </w:p>
        </w:tc>
        <w:tc>
          <w:tcPr>
            <w:tcW w:w="4600" w:type="dxa"/>
            <w:vAlign w:val="top"/>
          </w:tcPr>
          <w:p>
            <w:pPr>
              <w:spacing w:after="0"/>
            </w:pPr>
            <w:r>
              <w:rPr>
                <w:sz w:val="17"/>
                <w:szCs w:val="17"/>
              </w:rPr>
              <w:t xml:space="preserve">1RiNUhPyMotVybouHh9ju64uMui_lO9xZTzfuAicszpU</w:t>
            </w:r>
          </w:p>
        </w:tc>
        <w:tc>
          <w:tcPr>
            <w:tcW w:w="1500" w:type="dxa"/>
            <w:vAlign w:val="top"/>
          </w:tcPr>
          <w:p>
            <w:pPr>
              <w:spacing w:after="0"/>
            </w:pPr>
            <w:r>
              <w:rPr>
                <w:sz w:val="17"/>
                <w:szCs w:val="17"/>
              </w:rPr>
              <w:t xml:space="preserve">76185</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LOT_1_Appel_B_Argon_Partie_4_Enrichie_Federal__export_GoogleDoc.html</w:t>
            </w:r>
          </w:p>
        </w:tc>
        <w:tc>
          <w:tcPr>
            <w:tcW w:w="4600" w:type="dxa"/>
            <w:vAlign w:val="top"/>
          </w:tcPr>
          <w:p>
            <w:pPr>
              <w:spacing w:after="0"/>
            </w:pPr>
            <w:r>
              <w:rPr>
                <w:sz w:val="17"/>
                <w:szCs w:val="17"/>
              </w:rPr>
              <w:t xml:space="preserve">1ojpQMaxuC1ovPmvC8okYYwlwPxGU1hszqE08q8De_5g</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LOT_1_Appel_B_Argon_Partie_3_Enrichie_Federal__export_GoogleDoc.html</w:t>
            </w:r>
          </w:p>
        </w:tc>
        <w:tc>
          <w:tcPr>
            <w:tcW w:w="4600" w:type="dxa"/>
            <w:vAlign w:val="top"/>
          </w:tcPr>
          <w:p>
            <w:pPr>
              <w:spacing w:after="0"/>
            </w:pPr>
            <w:r>
              <w:rPr>
                <w:sz w:val="17"/>
                <w:szCs w:val="17"/>
              </w:rPr>
              <w:t xml:space="preserve">1zoHAs0bR6NdKw-kSFWeV1LNIv0ykCecH6boof3YVZFI</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LOT_1_Appel_B_Argon_Partie_2_Enrichie_Federal__export_GoogleDoc.html</w:t>
            </w:r>
          </w:p>
        </w:tc>
        <w:tc>
          <w:tcPr>
            <w:tcW w:w="4600" w:type="dxa"/>
            <w:vAlign w:val="top"/>
          </w:tcPr>
          <w:p>
            <w:pPr>
              <w:spacing w:after="0"/>
            </w:pPr>
            <w:r>
              <w:rPr>
                <w:sz w:val="17"/>
                <w:szCs w:val="17"/>
              </w:rPr>
              <w:t xml:space="preserve">1dhtywI_oGiSrdYXqOCXvAOk7MNy9a91HPteuv0iq_GM</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LOT_1_Appel_B_Argon_Partie_1_Enrichie_Federal__export_GoogleDoc.html</w:t>
            </w:r>
          </w:p>
        </w:tc>
        <w:tc>
          <w:tcPr>
            <w:tcW w:w="4600" w:type="dxa"/>
            <w:vAlign w:val="top"/>
          </w:tcPr>
          <w:p>
            <w:pPr>
              <w:spacing w:after="0"/>
            </w:pPr>
            <w:r>
              <w:rPr>
                <w:sz w:val="17"/>
                <w:szCs w:val="17"/>
              </w:rPr>
              <w:t xml:space="preserve">1mZ8jAx23pEgecd3qYYUgdr-oocj1d0Qza7VsRqeAy_c</w:t>
            </w:r>
          </w:p>
        </w:tc>
        <w:tc>
          <w:tcPr>
            <w:tcW w:w="1500" w:type="dxa"/>
            <w:vAlign w:val="top"/>
          </w:tcPr>
          <w:p>
            <w:pPr>
              <w:spacing w:after="0"/>
            </w:pPr>
            <w:r>
              <w:rPr>
                <w:sz w:val="17"/>
                <w:szCs w:val="17"/>
              </w:rPr>
              <w:t xml:space="preserve">596</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LOT_1_Appel_B_V3_Argon_Partie_1_D1.1_a_D1.2__export_GoogleDoc.html</w:t>
            </w:r>
          </w:p>
        </w:tc>
        <w:tc>
          <w:tcPr>
            <w:tcW w:w="4600" w:type="dxa"/>
            <w:vAlign w:val="top"/>
          </w:tcPr>
          <w:p>
            <w:pPr>
              <w:spacing w:after="0"/>
            </w:pPr>
            <w:r>
              <w:rPr>
                <w:sz w:val="17"/>
                <w:szCs w:val="17"/>
              </w:rPr>
              <w:t xml:space="preserve">1in2x5gkJRev9BkGhdDBmw9ph8tJCJFOpo1o0mErbq_g</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LOT_1_Appel_B_Partie_3_Diff_D1.7_a_D1.10_Fédéral__export_GoogleDoc.html</w:t>
            </w:r>
          </w:p>
        </w:tc>
        <w:tc>
          <w:tcPr>
            <w:tcW w:w="4600" w:type="dxa"/>
            <w:vAlign w:val="top"/>
          </w:tcPr>
          <w:p>
            <w:pPr>
              <w:spacing w:after="0"/>
            </w:pPr>
            <w:r>
              <w:rPr>
                <w:sz w:val="17"/>
                <w:szCs w:val="17"/>
              </w:rPr>
              <w:t xml:space="preserve">1wbTtPMJojaJ6eJ2xgFJXNMmPq4KclPaWlEP4MCmjepw</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LOT_1_Appel_B_Partie_2_Diff_D1.4_a_D1.6_Fédéral__export_GoogleDoc.html</w:t>
            </w:r>
          </w:p>
        </w:tc>
        <w:tc>
          <w:tcPr>
            <w:tcW w:w="4600" w:type="dxa"/>
            <w:vAlign w:val="top"/>
          </w:tcPr>
          <w:p>
            <w:pPr>
              <w:spacing w:after="0"/>
            </w:pPr>
            <w:r>
              <w:rPr>
                <w:sz w:val="17"/>
                <w:szCs w:val="17"/>
              </w:rPr>
              <w:t xml:space="preserve">1plmzdpNU0PoXC32akN_63GC4YZ4bj5r50SN5O4q6Jmc</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LOT_1_Appel_B_Partie_1_Diff_D1.1_a_D1.3_V2_Fédéral__export_GoogleDoc.html</w:t>
            </w:r>
          </w:p>
        </w:tc>
        <w:tc>
          <w:tcPr>
            <w:tcW w:w="4600" w:type="dxa"/>
            <w:vAlign w:val="top"/>
          </w:tcPr>
          <w:p>
            <w:pPr>
              <w:spacing w:after="0"/>
            </w:pPr>
            <w:r>
              <w:rPr>
                <w:sz w:val="17"/>
                <w:szCs w:val="17"/>
              </w:rPr>
              <w:t xml:space="preserve">1Urf62E5ahuEc-rzmU3Ib_OjfpLNNA-NYypEkTgXVoWQ</w:t>
            </w:r>
          </w:p>
        </w:tc>
        <w:tc>
          <w:tcPr>
            <w:tcW w:w="1500" w:type="dxa"/>
            <w:vAlign w:val="top"/>
          </w:tcPr>
          <w:p>
            <w:pPr>
              <w:spacing w:after="0"/>
            </w:pPr>
            <w:r>
              <w:rPr>
                <w:sz w:val="17"/>
                <w:szCs w:val="17"/>
              </w:rPr>
              <w:t xml:space="preserve">519</w:t>
            </w:r>
          </w:p>
        </w:tc>
        <w:tc>
          <w:tcPr>
            <w:tcW w:w="1900" w:type="dxa"/>
            <w:vAlign w:val="top"/>
          </w:tcPr>
          <w:p>
            <w:pPr>
              <w:spacing w:after="0"/>
            </w:pPr>
            <w:r>
              <w:rPr>
                <w:sz w:val="17"/>
                <w:szCs w:val="17"/>
              </w:rPr>
              <w:t xml:space="preserve">export Google Doc</w:t>
            </w:r>
          </w:p>
        </w:tc>
      </w:tr>
      <w:tr>
        <w:trPr>
          <w:cantSplit/>
        </w:trPr>
        <w:tc>
          <w:tcPr>
            <w:tcW w:w="6400" w:type="dxa"/>
            <w:vAlign w:val="top"/>
          </w:tcPr>
          <w:p>
            <w:pPr>
              <w:spacing w:after="0"/>
            </w:pPr>
            <w:r>
              <w:rPr>
                <w:sz w:val="17"/>
                <w:szCs w:val="17"/>
              </w:rPr>
              <w:t xml:space="preserve">LOT_1_V6_Enrichi_8plus_Partie_1_Integral.html</w:t>
            </w:r>
          </w:p>
        </w:tc>
        <w:tc>
          <w:tcPr>
            <w:tcW w:w="4600" w:type="dxa"/>
            <w:vAlign w:val="top"/>
          </w:tcPr>
          <w:p>
            <w:pPr>
              <w:spacing w:after="0"/>
            </w:pPr>
            <w:r>
              <w:rPr>
                <w:sz w:val="17"/>
                <w:szCs w:val="17"/>
              </w:rPr>
              <w:t xml:space="preserve">1zBumKwg6TvZ_rcsTOq9dCLFDkr9yXguy</w:t>
            </w:r>
          </w:p>
        </w:tc>
        <w:tc>
          <w:tcPr>
            <w:tcW w:w="1500" w:type="dxa"/>
            <w:vAlign w:val="top"/>
          </w:tcPr>
          <w:p>
            <w:pPr>
              <w:spacing w:after="0"/>
            </w:pPr>
            <w:r>
              <w:rPr>
                <w:sz w:val="17"/>
                <w:szCs w:val="17"/>
              </w:rPr>
              <w:t xml:space="preserve">84120</w:t>
            </w:r>
          </w:p>
        </w:tc>
        <w:tc>
          <w:tcPr>
            <w:tcW w:w="1900" w:type="dxa"/>
            <w:vAlign w:val="top"/>
          </w:tcPr>
          <w:p>
            <w:pPr>
              <w:spacing w:after="0"/>
            </w:pPr>
            <w:r>
              <w:rPr>
                <w:sz w:val="17"/>
                <w:szCs w:val="17"/>
              </w:rPr>
              <w:t xml:space="preserve">HTML</w:t>
            </w:r>
          </w:p>
        </w:tc>
      </w:tr>
    </w:tbl>
    <w:p>
      <w:pPr>
        <w:spacing w:after="120"/>
      </w:pPr>
    </w:p>
    <w:p>
      <w:pPr>
        <w:pStyle w:val="Titre1"/>
        <w:keepNext/>
      </w:pPr>
      <w:r>
        <w:rPr>
          <w:b/>
          <w:color w:val="8B0000"/>
          <w:sz w:val="26"/>
          <w:szCs w:val="26"/>
        </w:rPr>
        <w:t xml:space="preserve">Critique — 1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8B0000"/>
            <w:vAlign w:val="top"/>
          </w:tcPr>
          <w:p>
            <w:pPr>
              <w:spacing w:after="0"/>
            </w:pPr>
            <w:r>
              <w:rPr>
                <w:b/>
                <w:color w:val="FFFFFF"/>
                <w:sz w:val="17"/>
                <w:szCs w:val="17"/>
              </w:rPr>
              <w:t xml:space="preserve">Fait</w:t>
            </w:r>
          </w:p>
        </w:tc>
        <w:tc>
          <w:tcPr>
            <w:tcW w:w="900" w:type="dxa"/>
            <w:shd w:val="clear" w:color="auto" w:fill="8B0000"/>
            <w:vAlign w:val="top"/>
          </w:tcPr>
          <w:p>
            <w:pPr>
              <w:spacing w:after="0"/>
            </w:pPr>
            <w:r>
              <w:rPr>
                <w:b/>
                <w:color w:val="FFFFFF"/>
                <w:sz w:val="17"/>
                <w:szCs w:val="17"/>
              </w:rPr>
              <w:t xml:space="preserve">N°</w:t>
            </w:r>
          </w:p>
        </w:tc>
        <w:tc>
          <w:tcPr>
            <w:tcW w:w="1250" w:type="dxa"/>
            <w:shd w:val="clear" w:color="auto" w:fill="8B0000"/>
            <w:vAlign w:val="top"/>
          </w:tcPr>
          <w:p>
            <w:pPr>
              <w:spacing w:after="0"/>
            </w:pPr>
            <w:r>
              <w:rPr>
                <w:b/>
                <w:color w:val="FFFFFF"/>
                <w:sz w:val="17"/>
                <w:szCs w:val="17"/>
              </w:rPr>
              <w:t xml:space="preserve">Domaine</w:t>
            </w:r>
          </w:p>
        </w:tc>
        <w:tc>
          <w:tcPr>
            <w:tcW w:w="1900" w:type="dxa"/>
            <w:shd w:val="clear" w:color="auto" w:fill="8B0000"/>
            <w:vAlign w:val="top"/>
          </w:tcPr>
          <w:p>
            <w:pPr>
              <w:spacing w:after="0"/>
            </w:pPr>
            <w:r>
              <w:rPr>
                <w:b/>
                <w:color w:val="FFFFFF"/>
                <w:sz w:val="17"/>
                <w:szCs w:val="17"/>
              </w:rPr>
              <w:t xml:space="preserve">Fichier</w:t>
            </w:r>
          </w:p>
        </w:tc>
        <w:tc>
          <w:tcPr>
            <w:tcW w:w="2350" w:type="dxa"/>
            <w:shd w:val="clear" w:color="auto" w:fill="8B0000"/>
            <w:vAlign w:val="top"/>
          </w:tcPr>
          <w:p>
            <w:pPr>
              <w:spacing w:after="0"/>
            </w:pPr>
            <w:r>
              <w:rPr>
                <w:b/>
                <w:color w:val="FFFFFF"/>
                <w:sz w:val="17"/>
                <w:szCs w:val="17"/>
              </w:rPr>
              <w:t xml:space="preserve">Emplacement</w:t>
            </w:r>
          </w:p>
        </w:tc>
        <w:tc>
          <w:tcPr>
            <w:tcW w:w="2600" w:type="dxa"/>
            <w:shd w:val="clear" w:color="auto" w:fill="8B0000"/>
            <w:vAlign w:val="top"/>
          </w:tcPr>
          <w:p>
            <w:pPr>
              <w:spacing w:after="0"/>
            </w:pPr>
            <w:r>
              <w:rPr>
                <w:b/>
                <w:color w:val="FFFFFF"/>
                <w:sz w:val="17"/>
                <w:szCs w:val="17"/>
              </w:rPr>
              <w:t xml:space="preserve">Extrait exact</w:t>
            </w:r>
          </w:p>
        </w:tc>
        <w:tc>
          <w:tcPr>
            <w:tcW w:w="3000" w:type="dxa"/>
            <w:shd w:val="clear" w:color="auto" w:fill="8B0000"/>
            <w:vAlign w:val="top"/>
          </w:tcPr>
          <w:p>
            <w:pPr>
              <w:spacing w:after="0"/>
            </w:pPr>
            <w:r>
              <w:rPr>
                <w:b/>
                <w:color w:val="FFFFFF"/>
                <w:sz w:val="17"/>
                <w:szCs w:val="17"/>
              </w:rPr>
              <w:t xml:space="preserve">Problème → correction</w:t>
            </w:r>
          </w:p>
        </w:tc>
        <w:tc>
          <w:tcPr>
            <w:tcW w:w="1800" w:type="dxa"/>
            <w:shd w:val="clear" w:color="auto" w:fill="8B0000"/>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ADBD8"/>
            <w:vAlign w:val="top"/>
          </w:tcPr>
          <w:p>
            <w:pPr>
              <w:spacing w:after="0"/>
            </w:pPr>
            <w:r>
              <w:rPr>
                <w:sz w:val="17"/>
                <w:szCs w:val="17"/>
              </w:rPr>
              <w:t xml:space="preserve">L1-M43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3 › D1.6 › point 11.B › patient inconscient</w:t>
            </w:r>
          </w:p>
        </w:tc>
        <w:tc>
          <w:tcPr>
            <w:tcW w:w="2600" w:type="dxa"/>
            <w:vAlign w:val="top"/>
          </w:tcPr>
          <w:p>
            <w:pPr>
              <w:spacing w:after="0"/>
            </w:pPr>
            <w:r>
              <w:rPr>
                <w:i/>
                <w:sz w:val="17"/>
                <w:szCs w:val="17"/>
              </w:rPr>
              <w:t xml:space="preserve">« 40 à 50 mL de G20% IV lent »</w:t>
            </w:r>
          </w:p>
        </w:tc>
        <w:tc>
          <w:tcPr>
            <w:tcW w:w="3000" w:type="dxa"/>
            <w:vAlign w:val="top"/>
          </w:tcPr>
          <w:p>
            <w:pPr>
              <w:spacing w:after="40"/>
            </w:pPr>
            <w:r>
              <w:rPr>
                <w:sz w:val="17"/>
                <w:szCs w:val="17"/>
              </w:rPr>
              <w:t xml:space="preserve">Ce volume n'apporte que 8 à 10 g de glucose, soit environ la moitié de la dose recommandée pour une hypoglycémie sévère : le patient inconscient risque une correction insuffisante.</w:t>
            </w:r>
          </w:p>
          <w:p>
            <w:pPr>
              <w:spacing w:after="0"/>
            </w:pPr>
            <w:r>
              <w:rPr>
                <w:b/>
                <w:color w:val="145A32"/>
                <w:sz w:val="17"/>
                <w:szCs w:val="17"/>
              </w:rPr>
              <w:t xml:space="preserve">→ Écrire : « 75 à 100 mL de glucose 20 % (15 à 20 g) en 15 minutes, ou 150 à 200 mL de glucose 10 % ; sans voie veineuse, glucagon 1 mg IM ; contrôle de la glycémie après 10 minutes et répétition si glycémie &lt; 4,0 mmol/L. »</w:t>
            </w:r>
          </w:p>
        </w:tc>
        <w:tc>
          <w:tcPr>
            <w:tcW w:w="1800" w:type="dxa"/>
            <w:vAlign w:val="top"/>
          </w:tcPr>
          <w:p>
            <w:pPr>
              <w:spacing w:after="0"/>
            </w:pPr>
            <w:r>
              <w:rPr>
                <w:sz w:val="17"/>
                <w:szCs w:val="17"/>
              </w:rPr>
              <w:t xml:space="preserve">JBDS-IP — The Hospital Management of Hypoglycaemia in Adults with Diabetes Mellitus, 2018, section adulte inconscient (i) « 75-100ml of 20% glucose over 15 minutes » — https://diabetestimes.co.uk/wp-content/uploads/2018/03/JBDS_HypoGuideline.pdf-FINAL-08.03.181.pdf — consulté le 22.10.2026</w:t>
            </w:r>
          </w:p>
        </w:tc>
      </w:tr>
    </w:tbl>
    <w:p>
      <w:pPr>
        <w:spacing w:after="120"/>
      </w:pPr>
    </w:p>
    <w:p>
      <w:pPr>
        <w:pStyle w:val="Titre1"/>
        <w:keepNext/>
      </w:pPr>
      <w:r>
        <w:rPr>
          <w:b/>
          <w:color w:val="C0392B"/>
          <w:sz w:val="26"/>
          <w:szCs w:val="26"/>
        </w:rPr>
        <w:t xml:space="preserve">Grave — 61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C0392B"/>
            <w:vAlign w:val="top"/>
          </w:tcPr>
          <w:p>
            <w:pPr>
              <w:spacing w:after="0"/>
            </w:pPr>
            <w:r>
              <w:rPr>
                <w:b/>
                <w:color w:val="FFFFFF"/>
                <w:sz w:val="17"/>
                <w:szCs w:val="17"/>
              </w:rPr>
              <w:t xml:space="preserve">Fait</w:t>
            </w:r>
          </w:p>
        </w:tc>
        <w:tc>
          <w:tcPr>
            <w:tcW w:w="900" w:type="dxa"/>
            <w:shd w:val="clear" w:color="auto" w:fill="C0392B"/>
            <w:vAlign w:val="top"/>
          </w:tcPr>
          <w:p>
            <w:pPr>
              <w:spacing w:after="0"/>
            </w:pPr>
            <w:r>
              <w:rPr>
                <w:b/>
                <w:color w:val="FFFFFF"/>
                <w:sz w:val="17"/>
                <w:szCs w:val="17"/>
              </w:rPr>
              <w:t xml:space="preserve">N°</w:t>
            </w:r>
          </w:p>
        </w:tc>
        <w:tc>
          <w:tcPr>
            <w:tcW w:w="1250" w:type="dxa"/>
            <w:shd w:val="clear" w:color="auto" w:fill="C0392B"/>
            <w:vAlign w:val="top"/>
          </w:tcPr>
          <w:p>
            <w:pPr>
              <w:spacing w:after="0"/>
            </w:pPr>
            <w:r>
              <w:rPr>
                <w:b/>
                <w:color w:val="FFFFFF"/>
                <w:sz w:val="17"/>
                <w:szCs w:val="17"/>
              </w:rPr>
              <w:t xml:space="preserve">Domaine</w:t>
            </w:r>
          </w:p>
        </w:tc>
        <w:tc>
          <w:tcPr>
            <w:tcW w:w="1900" w:type="dxa"/>
            <w:shd w:val="clear" w:color="auto" w:fill="C0392B"/>
            <w:vAlign w:val="top"/>
          </w:tcPr>
          <w:p>
            <w:pPr>
              <w:spacing w:after="0"/>
            </w:pPr>
            <w:r>
              <w:rPr>
                <w:b/>
                <w:color w:val="FFFFFF"/>
                <w:sz w:val="17"/>
                <w:szCs w:val="17"/>
              </w:rPr>
              <w:t xml:space="preserve">Fichier</w:t>
            </w:r>
          </w:p>
        </w:tc>
        <w:tc>
          <w:tcPr>
            <w:tcW w:w="2350" w:type="dxa"/>
            <w:shd w:val="clear" w:color="auto" w:fill="C0392B"/>
            <w:vAlign w:val="top"/>
          </w:tcPr>
          <w:p>
            <w:pPr>
              <w:spacing w:after="0"/>
            </w:pPr>
            <w:r>
              <w:rPr>
                <w:b/>
                <w:color w:val="FFFFFF"/>
                <w:sz w:val="17"/>
                <w:szCs w:val="17"/>
              </w:rPr>
              <w:t xml:space="preserve">Emplacement</w:t>
            </w:r>
          </w:p>
        </w:tc>
        <w:tc>
          <w:tcPr>
            <w:tcW w:w="2600" w:type="dxa"/>
            <w:shd w:val="clear" w:color="auto" w:fill="C0392B"/>
            <w:vAlign w:val="top"/>
          </w:tcPr>
          <w:p>
            <w:pPr>
              <w:spacing w:after="0"/>
            </w:pPr>
            <w:r>
              <w:rPr>
                <w:b/>
                <w:color w:val="FFFFFF"/>
                <w:sz w:val="17"/>
                <w:szCs w:val="17"/>
              </w:rPr>
              <w:t xml:space="preserve">Extrait exact</w:t>
            </w:r>
          </w:p>
        </w:tc>
        <w:tc>
          <w:tcPr>
            <w:tcW w:w="3000" w:type="dxa"/>
            <w:shd w:val="clear" w:color="auto" w:fill="C0392B"/>
            <w:vAlign w:val="top"/>
          </w:tcPr>
          <w:p>
            <w:pPr>
              <w:spacing w:after="0"/>
            </w:pPr>
            <w:r>
              <w:rPr>
                <w:b/>
                <w:color w:val="FFFFFF"/>
                <w:sz w:val="17"/>
                <w:szCs w:val="17"/>
              </w:rPr>
              <w:t xml:space="preserve">Problème → correction</w:t>
            </w:r>
          </w:p>
        </w:tc>
        <w:tc>
          <w:tcPr>
            <w:tcW w:w="1800" w:type="dxa"/>
            <w:shd w:val="clear" w:color="auto" w:fill="C0392B"/>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LOT_1_Appel_B_Argon_Partie_1_Enrichie_Federal__export_GoogleDoc.html</w:t>
            </w:r>
          </w:p>
        </w:tc>
        <w:tc>
          <w:tcPr>
            <w:tcW w:w="2350" w:type="dxa"/>
            <w:vAlign w:val="top"/>
          </w:tcPr>
          <w:p>
            <w:pPr>
              <w:spacing w:after="0"/>
            </w:pPr>
            <w:r>
              <w:rPr>
                <w:sz w:val="17"/>
                <w:szCs w:val="17"/>
              </w:rPr>
              <w:t xml:space="preserve">Document entier (unique ligne de titre)</w:t>
            </w:r>
          </w:p>
        </w:tc>
        <w:tc>
          <w:tcPr>
            <w:tcW w:w="2600" w:type="dxa"/>
            <w:vAlign w:val="top"/>
          </w:tcPr>
          <w:p>
            <w:pPr>
              <w:spacing w:after="0"/>
            </w:pPr>
            <w:r>
              <w:rPr>
                <w:i/>
                <w:sz w:val="17"/>
                <w:szCs w:val="17"/>
              </w:rPr>
              <w:t xml:space="preserve">« Fichier HTML complet dans le chat »</w:t>
            </w:r>
          </w:p>
        </w:tc>
        <w:tc>
          <w:tcPr>
            <w:tcW w:w="3000" w:type="dxa"/>
            <w:vAlign w:val="top"/>
          </w:tcPr>
          <w:p>
            <w:pPr>
              <w:spacing w:after="40"/>
            </w:pPr>
            <w:r>
              <w:rPr>
                <w:sz w:val="17"/>
                <w:szCs w:val="17"/>
              </w:rPr>
              <w:t xml:space="preserve">Le Google Doc ne contient qu'un titre qui renvoie au chat : la Partie 1 « Enrichie Fédéral » n'existe pas dans le Drive et le document viole la règle 0 (sortie .html exclusive, jamais de contenu rendu dans le chat).</w:t>
            </w:r>
          </w:p>
          <w:p>
            <w:pPr>
              <w:spacing w:after="0"/>
            </w:pPr>
            <w:r>
              <w:rPr>
                <w:b/>
                <w:color w:val="145A32"/>
                <w:sz w:val="17"/>
                <w:szCs w:val="17"/>
              </w:rPr>
              <w:t xml:space="preserve">→ Déplacer ce document dans CORBEILLE_DOUBLONS_OBSOLETES avec le suffixe _OBSOLETE_ ; régénérer la Partie 1 en fichier .html autonome déposé en text/html sans conversion.</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LOT_1_Appel_B_Argon_Partie_2_Enrichie_Federal__export_GoogleDoc.html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LOT_1_Appel_B_Argon_Partie_3_Enrichie_Federal__export_GoogleDoc.html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LOT_1_Appel_B_Argon_Partie_4_Enrichie_Federal__export_GoogleDoc.html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L1-L05</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LOT_1_Appel_B_Partie_1_Diff_D1.1_a_D1.3_V2_Fédéral__export_GoogleDoc.html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L1-L06</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LOT_1_Appel_B_Partie_2_Diff_D1.4_a_D1.6_Fédéral__export_GoogleDoc.html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L1-L07</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LOT_1_Appel_B_Partie_3_Diff_D1.7_a_D1.10_Fédéral__export_GoogleDoc.html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L1-L08</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LOT_1_Appel_B_V3_Argon_Partie_1_D1.1_a_D1.2__export_GoogleDoc.html</w:t>
            </w:r>
          </w:p>
        </w:tc>
        <w:tc>
          <w:tcPr>
            <w:tcW w:w="2350" w:type="dxa"/>
            <w:vAlign w:val="top"/>
          </w:tcPr>
          <w:p>
            <w:pPr>
              <w:spacing w:after="0"/>
            </w:pPr>
            <w:r>
              <w:rPr>
                <w:sz w:val="17"/>
                <w:szCs w:val="17"/>
              </w:rPr>
              <w:t xml:space="preserve">Document entier (aucun texte visible, export de 519 octets)</w:t>
            </w:r>
          </w:p>
        </w:tc>
        <w:tc>
          <w:tcPr>
            <w:tcW w:w="2600" w:type="dxa"/>
            <w:vAlign w:val="top"/>
          </w:tcPr>
          <w:p>
            <w:pPr>
              <w:spacing w:after="0"/>
            </w:pPr>
            <w:r>
              <w:rPr>
                <w:i/>
                <w:sz w:val="17"/>
                <w:szCs w:val="17"/>
              </w:rPr>
              <w:t xml:space="preserve">«  »</w:t>
            </w:r>
          </w:p>
        </w:tc>
        <w:tc>
          <w:tcPr>
            <w:tcW w:w="3000" w:type="dxa"/>
            <w:vAlign w:val="top"/>
          </w:tcPr>
          <w:p>
            <w:pPr>
              <w:spacing w:after="40"/>
            </w:pPr>
            <w:r>
              <w:rPr>
                <w:sz w:val="17"/>
                <w:szCs w:val="17"/>
              </w:rPr>
              <w:t xml:space="preserve">Le Google Doc est vide (1 Ko dans le Drive, aucun paragraphe rédigé) : il constitue un doublon mort qui encombre le dossier du lot et viole la règle 0 par son format Google Docs.</w:t>
            </w:r>
          </w:p>
          <w:p>
            <w:pPr>
              <w:spacing w:after="0"/>
            </w:pPr>
            <w:r>
              <w:rPr>
                <w:b/>
                <w:color w:val="145A32"/>
                <w:sz w:val="17"/>
                <w:szCs w:val="17"/>
              </w:rPr>
              <w:t xml:space="preserve">→ Déplacer ce document dans CORBEILLE_DOUBLONS_OBSOLETES avec le suffixe _OBSOLETE_ ; ne pas le mettre à la corbeille.</w:t>
            </w:r>
          </w:p>
        </w:tc>
        <w:tc>
          <w:tcPr>
            <w:tcW w:w="1800" w:type="dxa"/>
            <w:vAlign w:val="top"/>
          </w:tcPr>
          <w:p>
            <w:pPr>
              <w:spacing w:after="0"/>
            </w:pPr>
            <w:r>
              <w:rPr>
                <w:sz w:val="17"/>
                <w:szCs w:val="17"/>
              </w:rPr>
              <w:t xml:space="preserve">PROMPT_V6.md (prompt de base V6), § 0 et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L1-L09</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Document entier (format)</w:t>
            </w:r>
          </w:p>
        </w:tc>
        <w:tc>
          <w:tcPr>
            <w:tcW w:w="2600" w:type="dxa"/>
            <w:vAlign w:val="top"/>
          </w:tcPr>
          <w:p>
            <w:pPr>
              <w:spacing w:after="0"/>
            </w:pPr>
            <w:r>
              <w:rPr>
                <w:i/>
                <w:sz w:val="17"/>
                <w:szCs w:val="17"/>
              </w:rPr>
              <w:t xml:space="preserve">« Appel A : Plan Monographique et Liste Différentielle »</w:t>
            </w:r>
          </w:p>
        </w:tc>
        <w:tc>
          <w:tcPr>
            <w:tcW w:w="3000" w:type="dxa"/>
            <w:vAlign w:val="top"/>
          </w:tcPr>
          <w:p>
            <w:pPr>
              <w:spacing w:after="40"/>
            </w:pPr>
            <w:r>
              <w:rPr>
                <w:sz w:val="17"/>
                <w:szCs w:val="17"/>
              </w:rPr>
              <w:t xml:space="preserve">Le contenu de l'Appel A existe seulement sous forme de Google Docs converti : la conversion a détruit les fenêtres &lt;details&gt; et la balise FIN_FICHIER, ce que la règle 0 déclare invalide et bloquant.</w:t>
            </w:r>
          </w:p>
          <w:p>
            <w:pPr>
              <w:spacing w:after="0"/>
            </w:pPr>
            <w:r>
              <w:rPr>
                <w:b/>
                <w:color w:val="145A32"/>
                <w:sz w:val="17"/>
                <w:szCs w:val="17"/>
              </w:rPr>
              <w:t xml:space="preserve">→ Régénérer ce contenu en HTML5 complet selon le gabarit V6 (§ 9), le déposer en text/html sans conversion, vérifier l'égalité des tailles Drive/locale, puis archiver le Google Doc avec le suffixe _OBSOLETE_.</w:t>
            </w:r>
          </w:p>
        </w:tc>
        <w:tc>
          <w:tcPr>
            <w:tcW w:w="1800" w:type="dxa"/>
            <w:vAlign w:val="top"/>
          </w:tcPr>
          <w:p>
            <w:pPr>
              <w:spacing w:after="0"/>
            </w:pPr>
            <w:r>
              <w:rPr>
                <w:sz w:val="17"/>
                <w:szCs w:val="17"/>
              </w:rPr>
              <w:t xml:space="preserve">PROMPT_V6.md (prompt de base V6), § 0, § 9 et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L1-L10</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Document entier (format)</w:t>
            </w:r>
          </w:p>
        </w:tc>
        <w:tc>
          <w:tcPr>
            <w:tcW w:w="2600" w:type="dxa"/>
            <w:vAlign w:val="top"/>
          </w:tcPr>
          <w:p>
            <w:pPr>
              <w:spacing w:after="0"/>
            </w:pPr>
            <w:r>
              <w:rPr>
                <w:i/>
                <w:sz w:val="17"/>
                <w:szCs w:val="17"/>
              </w:rPr>
              <w:t xml:space="preserve">« Appel B V4 (Expert Argon) »</w:t>
            </w:r>
          </w:p>
        </w:tc>
        <w:tc>
          <w:tcPr>
            <w:tcW w:w="3000" w:type="dxa"/>
            <w:vAlign w:val="top"/>
          </w:tcPr>
          <w:p>
            <w:pPr>
              <w:spacing w:after="40"/>
            </w:pPr>
            <w:r>
              <w:rPr>
                <w:sz w:val="17"/>
                <w:szCs w:val="17"/>
              </w:rPr>
              <w:t xml:space="preserve">Le contenu de l'Appel B « Expert Complet » existe seulement sous forme de Google Docs converti : la conversion a détruit les fenêtres &lt;details&gt; et la balise FIN_FICHIER, ce que la règle 0 déclare invalide et bloquant.</w:t>
            </w:r>
          </w:p>
          <w:p>
            <w:pPr>
              <w:spacing w:after="0"/>
            </w:pPr>
            <w:r>
              <w:rPr>
                <w:b/>
                <w:color w:val="145A32"/>
                <w:sz w:val="17"/>
                <w:szCs w:val="17"/>
              </w:rPr>
              <w:t xml:space="preserve">→ Régénérer ce contenu en HTML5 complet selon le gabarit V6 (§ 9), le déposer en text/html sans conversion, vérifier l'égalité des tailles Drive/locale, puis archiver le Google Doc avec le suffixe _OBSOLETE_.</w:t>
            </w:r>
          </w:p>
        </w:tc>
        <w:tc>
          <w:tcPr>
            <w:tcW w:w="1800" w:type="dxa"/>
            <w:vAlign w:val="top"/>
          </w:tcPr>
          <w:p>
            <w:pPr>
              <w:spacing w:after="0"/>
            </w:pPr>
            <w:r>
              <w:rPr>
                <w:sz w:val="17"/>
                <w:szCs w:val="17"/>
              </w:rPr>
              <w:t xml:space="preserve">PROMPT_V6.md (prompt de base V6), § 0, § 9 et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L1-L11</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Document entier (format)</w:t>
            </w:r>
          </w:p>
        </w:tc>
        <w:tc>
          <w:tcPr>
            <w:tcW w:w="2600" w:type="dxa"/>
            <w:vAlign w:val="top"/>
          </w:tcPr>
          <w:p>
            <w:pPr>
              <w:spacing w:after="0"/>
            </w:pPr>
            <w:r>
              <w:rPr>
                <w:i/>
                <w:sz w:val="17"/>
                <w:szCs w:val="17"/>
              </w:rPr>
              <w:t xml:space="preserve">« Monographies Différentielles (D1.1 à D1.2) — Audit Argon V4 »</w:t>
            </w:r>
          </w:p>
        </w:tc>
        <w:tc>
          <w:tcPr>
            <w:tcW w:w="3000" w:type="dxa"/>
            <w:vAlign w:val="top"/>
          </w:tcPr>
          <w:p>
            <w:pPr>
              <w:spacing w:after="40"/>
            </w:pPr>
            <w:r>
              <w:rPr>
                <w:sz w:val="17"/>
                <w:szCs w:val="17"/>
              </w:rPr>
              <w:t xml:space="preserve">Le contenu de la Partie 1 V4 existe seulement sous forme de Google Docs converti : la conversion a détruit les fenêtres &lt;details&gt; et la balise FIN_FICHIER, ce que la règle 0 déclare invalide et bloquant.</w:t>
            </w:r>
          </w:p>
          <w:p>
            <w:pPr>
              <w:spacing w:after="0"/>
            </w:pPr>
            <w:r>
              <w:rPr>
                <w:b/>
                <w:color w:val="145A32"/>
                <w:sz w:val="17"/>
                <w:szCs w:val="17"/>
              </w:rPr>
              <w:t xml:space="preserve">→ Régénérer ce contenu en HTML5 complet selon le gabarit V6 (§ 9), le déposer en text/html sans conversion, vérifier l'égalité des tailles Drive/locale, puis archiver le Google Doc avec le suffixe _OBSOLETE_.</w:t>
            </w:r>
          </w:p>
        </w:tc>
        <w:tc>
          <w:tcPr>
            <w:tcW w:w="1800" w:type="dxa"/>
            <w:vAlign w:val="top"/>
          </w:tcPr>
          <w:p>
            <w:pPr>
              <w:spacing w:after="0"/>
            </w:pPr>
            <w:r>
              <w:rPr>
                <w:sz w:val="17"/>
                <w:szCs w:val="17"/>
              </w:rPr>
              <w:t xml:space="preserve">PROMPT_V6.md (prompt de base V6), § 0, § 9 et § 10</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En-tête du fichier et balise finale</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nommé « Partie_1_Integral » contient en réalité le SSP et les dix DX, et sa balise finale porte « LOT_1_PARTIE_1 » : le découpage canonique en cinq fichiers (Appel A puis Parties 1 à 4, cadence 2-3-2-3) n'est pas respecté et le nom trompe le lecteur.</w:t>
            </w:r>
          </w:p>
          <w:p>
            <w:pPr>
              <w:spacing w:after="0"/>
            </w:pPr>
            <w:r>
              <w:rPr>
                <w:b/>
                <w:color w:val="145A32"/>
                <w:sz w:val="17"/>
                <w:szCs w:val="17"/>
              </w:rPr>
              <w:t xml:space="preserve">→ Découper le contenu en cinq fichiers nommés LOT_1_Appel_A_V5_Ultra_Pedagogique_Plan_et_Liste.html, puis Partie_1_DX.1_a_DX.2, Partie_2_DX.3_a_DX.5, Partie_3_DX.6_a_DX.7 et Partie_4_DX.8_a_DX.10, chacun terminé par sa propre balise FIN_FICHIER.</w:t>
            </w:r>
          </w:p>
        </w:tc>
        <w:tc>
          <w:tcPr>
            <w:tcW w:w="1800" w:type="dxa"/>
            <w:vAlign w:val="top"/>
          </w:tcPr>
          <w:p>
            <w:pPr>
              <w:spacing w:after="0"/>
            </w:pPr>
            <w:r>
              <w:rPr>
                <w:sz w:val="17"/>
                <w:szCs w:val="17"/>
              </w:rPr>
              <w:t xml:space="preserve">PROMPT_V6.md (prompt de base V6), § 4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2 › après la liste D1.1–D1.10</w:t>
            </w:r>
          </w:p>
        </w:tc>
        <w:tc>
          <w:tcPr>
            <w:tcW w:w="2600" w:type="dxa"/>
            <w:vAlign w:val="top"/>
          </w:tcPr>
          <w:p>
            <w:pPr>
              <w:spacing w:after="0"/>
            </w:pPr>
            <w:r>
              <w:rPr>
                <w:i/>
                <w:sz w:val="17"/>
                <w:szCs w:val="17"/>
              </w:rPr>
              <w:t xml:space="preserve">« D1.10 — Phéochromocytome et paragangliomes fonctionnels »</w:t>
            </w:r>
          </w:p>
        </w:tc>
        <w:tc>
          <w:tcPr>
            <w:tcW w:w="3000" w:type="dxa"/>
            <w:vAlign w:val="top"/>
          </w:tcPr>
          <w:p>
            <w:pPr>
              <w:spacing w:after="40"/>
            </w:pPr>
            <w:r>
              <w:rPr>
                <w:sz w:val="17"/>
                <w:szCs w:val="17"/>
              </w:rPr>
              <w:t xml:space="preserve">Le Bloc 2 s'arrête à la liste : il manque la justification de chaque DX, le tableau comparatif des 10 DX (signe clé, examen clé, mécanisme, conduite immédiate) et l'algorithme discriminant exigés par le prompt.</w:t>
            </w:r>
          </w:p>
          <w:p>
            <w:pPr>
              <w:spacing w:after="0"/>
            </w:pPr>
            <w:r>
              <w:rPr>
                <w:b/>
                <w:color w:val="145A32"/>
                <w:sz w:val="17"/>
                <w:szCs w:val="17"/>
              </w:rPr>
              <w:t xml:space="preserve">→ Ajouter après la liste un tableau comparatif à quatre colonnes enveloppé dans &lt;div style='overflow-x:auto;'&gt; et un algorithme textuel qui indique, à chaque embranchement, le signe ou l'examen qui fait passer d'un DX à l'autre.</w:t>
            </w:r>
          </w:p>
        </w:tc>
        <w:tc>
          <w:tcPr>
            <w:tcW w:w="1800" w:type="dxa"/>
            <w:vAlign w:val="top"/>
          </w:tcPr>
          <w:p>
            <w:pPr>
              <w:spacing w:after="0"/>
            </w:pPr>
            <w:r>
              <w:rPr>
                <w:sz w:val="17"/>
                <w:szCs w:val="17"/>
              </w:rPr>
              <w:t xml:space="preserve">PROMPT_V6.md (prompt de base V6), § 4.1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points 1 à 11 › 17 termes soulignés (Hyperhidrose, Diaphorèse, HDSS, Test de Minor…)</w:t>
            </w:r>
          </w:p>
        </w:tc>
        <w:tc>
          <w:tcPr>
            <w:tcW w:w="2600" w:type="dxa"/>
            <w:vAlign w:val="top"/>
          </w:tcPr>
          <w:p>
            <w:pPr>
              <w:spacing w:after="0"/>
            </w:pPr>
            <w:r>
              <w:rPr>
                <w:i/>
                <w:sz w:val="17"/>
                <w:szCs w:val="17"/>
              </w:rPr>
              <w:t xml:space="preserve">« L'appareil sudoral humain comprend les Glandes eccrines »</w:t>
            </w:r>
          </w:p>
        </w:tc>
        <w:tc>
          <w:tcPr>
            <w:tcW w:w="3000" w:type="dxa"/>
            <w:vAlign w:val="top"/>
          </w:tcPr>
          <w:p>
            <w:pPr>
              <w:spacing w:after="40"/>
            </w:pPr>
            <w:r>
              <w:rPr>
                <w:sz w:val="17"/>
                <w:szCs w:val="17"/>
              </w:rPr>
              <w:t xml:space="preserve">Les 17 termes soulignés sont des liens vers des signets internes inexistants : aucune fenêtre &lt;details&gt; n'existe, donc aucun terme sémiologique n'est expliqué ni sourcé.</w:t>
            </w:r>
          </w:p>
          <w:p>
            <w:pPr>
              <w:spacing w:after="0"/>
            </w:pPr>
            <w:r>
              <w:rPr>
                <w:b/>
                <w:color w:val="145A32"/>
                <w:sz w:val="17"/>
                <w:szCs w:val="17"/>
              </w:rPr>
              <w:t xml:space="preserve">→ Remplacer chaque lien par une fenêtre &lt;details&gt; contenant le mécanisme pas à pas, un exemple chiffré, le piège d'examen et la source [Sn].</w:t>
            </w:r>
          </w:p>
        </w:tc>
        <w:tc>
          <w:tcPr>
            <w:tcW w:w="1800" w:type="dxa"/>
            <w:vAlign w:val="top"/>
          </w:tcPr>
          <w:p>
            <w:pPr>
              <w:spacing w:after="0"/>
            </w:pPr>
            <w:r>
              <w:rPr>
                <w:sz w:val="17"/>
                <w:szCs w:val="17"/>
              </w:rPr>
              <w:t xml:space="preserve">PROMPT_V6.md (prompt de base V6), § 7 et § 9 (règles techniques)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Fin du document</w:t>
            </w:r>
          </w:p>
        </w:tc>
        <w:tc>
          <w:tcPr>
            <w:tcW w:w="2600" w:type="dxa"/>
            <w:vAlign w:val="top"/>
          </w:tcPr>
          <w:p>
            <w:pPr>
              <w:spacing w:after="0"/>
            </w:pPr>
            <w:r>
              <w:rPr>
                <w:i/>
                <w:sz w:val="17"/>
                <w:szCs w:val="17"/>
              </w:rPr>
              <w:t xml:space="preserve">« Prévalence chez les patients hypertendus explorés pour une triade adrénergique paroxystique, source : Endocrine Society »</w:t>
            </w:r>
          </w:p>
        </w:tc>
        <w:tc>
          <w:tcPr>
            <w:tcW w:w="3000" w:type="dxa"/>
            <w:vAlign w:val="top"/>
          </w:tcPr>
          <w:p>
            <w:pPr>
              <w:spacing w:after="40"/>
            </w:pPr>
            <w:r>
              <w:rPr>
                <w:sz w:val="17"/>
                <w:szCs w:val="17"/>
              </w:rPr>
              <w:t xml:space="preserve">Le document se termine sans section Sources numérotée, sans mention de non-validation clinique et sans balise FIN_FICHIER ; aucune affirmation du Bloc 1 n'est rattachée à une source datée.</w:t>
            </w:r>
          </w:p>
          <w:p>
            <w:pPr>
              <w:spacing w:after="0"/>
            </w:pPr>
            <w:r>
              <w:rPr>
                <w:b/>
                <w:color w:val="145A32"/>
                <w:sz w:val="17"/>
                <w:szCs w:val="17"/>
              </w:rPr>
              <w:t xml:space="preserve">→ Ajouter la section &lt;h3&gt;Sources&lt;/h3&gt; [S1]…[Sn] (titre, organisme, année, URL, date de consultation), la mention « Contenu produit par IA à partir des sources citées ; non validé cliniquement par un médecin. » et &lt;!-- FIN_FICHIER LOT_1_APPEL_A --&gt;.</w:t>
            </w:r>
          </w:p>
        </w:tc>
        <w:tc>
          <w:tcPr>
            <w:tcW w:w="1800" w:type="dxa"/>
            <w:vAlign w:val="top"/>
          </w:tcPr>
          <w:p>
            <w:pPr>
              <w:spacing w:after="0"/>
            </w:pPr>
            <w:r>
              <w:rPr>
                <w:sz w:val="17"/>
                <w:szCs w:val="17"/>
              </w:rPr>
              <w:t xml:space="preserve">PROMPT_V6.md (prompt de base V6), § 3.8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2 › badges de D1.3, D1.5, D1.6 et D1.10</w:t>
            </w:r>
          </w:p>
        </w:tc>
        <w:tc>
          <w:tcPr>
            <w:tcW w:w="2600" w:type="dxa"/>
            <w:vAlign w:val="top"/>
          </w:tcPr>
          <w:p>
            <w:pPr>
              <w:spacing w:after="0"/>
            </w:pPr>
            <w:r>
              <w:rPr>
                <w:i/>
                <w:sz w:val="17"/>
                <w:szCs w:val="17"/>
              </w:rPr>
              <w:t xml:space="preserve">« atteints d'un SAOS non traité, source : AAFP »</w:t>
            </w:r>
          </w:p>
        </w:tc>
        <w:tc>
          <w:tcPr>
            <w:tcW w:w="3000" w:type="dxa"/>
            <w:vAlign w:val="top"/>
          </w:tcPr>
          <w:p>
            <w:pPr>
              <w:spacing w:after="40"/>
            </w:pPr>
            <w:r>
              <w:rPr>
                <w:sz w:val="17"/>
                <w:szCs w:val="17"/>
              </w:rPr>
              <w:t xml:space="preserve">Quatre badges s'appuient sur des sources exclusivement américaines (AAFP deux fois, ADA, Endocrine Society), que le prompt interdit comme référence.</w:t>
            </w:r>
          </w:p>
          <w:p>
            <w:pPr>
              <w:spacing w:after="0"/>
            </w:pPr>
            <w:r>
              <w:rPr>
                <w:b/>
                <w:color w:val="145A32"/>
                <w:sz w:val="17"/>
                <w:szCs w:val="17"/>
              </w:rPr>
              <w:t xml:space="preserve">→ Remplacer chaque badge par une source suisse ou européenne lue (Obsan, SSED, ERS, ESE) ou par « Ne rang — fréquence non quantifiée (Suisse) ».</w:t>
            </w:r>
          </w:p>
        </w:tc>
        <w:tc>
          <w:tcPr>
            <w:tcW w:w="1800" w:type="dxa"/>
            <w:vAlign w:val="top"/>
          </w:tcPr>
          <w:p>
            <w:pPr>
              <w:spacing w:after="0"/>
            </w:pPr>
            <w:r>
              <w:rPr>
                <w:sz w:val="17"/>
                <w:szCs w:val="17"/>
              </w:rPr>
              <w:t xml:space="preserve">PROMPT_V6.md (prompt de base V6), § 3.2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L1-L19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2 › badges D1.1 à D1.10</w:t>
            </w:r>
          </w:p>
        </w:tc>
        <w:tc>
          <w:tcPr>
            <w:tcW w:w="2600" w:type="dxa"/>
            <w:vAlign w:val="top"/>
          </w:tcPr>
          <w:p>
            <w:pPr>
              <w:spacing w:after="0"/>
            </w:pPr>
            <w:r>
              <w:rPr>
                <w:i/>
                <w:sz w:val="17"/>
                <w:szCs w:val="17"/>
              </w:rPr>
              <w:t xml:space="preserve">« 95 % — (Prévalence parmi les patients consultant pour une hyperhidrose isolée, source : Revue Médicale Suisse) »</w:t>
            </w:r>
          </w:p>
        </w:tc>
        <w:tc>
          <w:tcPr>
            <w:tcW w:w="3000" w:type="dxa"/>
            <w:vAlign w:val="top"/>
          </w:tcPr>
          <w:p>
            <w:pPr>
              <w:spacing w:after="40"/>
            </w:pPr>
            <w:r>
              <w:rPr>
                <w:sz w:val="17"/>
                <w:szCs w:val="17"/>
              </w:rPr>
              <w:t xml:space="preserve">Les dix pourcentages mesurent des grandeurs incomparables (part des hyperhidroses, prévalence d'un symptôme dans une maladie, part des lymphomes parmi les sueurs) et citent un organisme sans titre, année ni URL : ils ne fondent pas l'ordre annoncé et le critère d'ordre n'est pas énoncé.</w:t>
            </w:r>
          </w:p>
          <w:p>
            <w:pPr>
              <w:spacing w:after="0"/>
            </w:pPr>
            <w:r>
              <w:rPr>
                <w:b/>
                <w:color w:val="145A32"/>
                <w:sz w:val="17"/>
                <w:szCs w:val="17"/>
              </w:rPr>
              <w:t xml:space="preserve">→ Annoncer le critère d'ordre (fréquence suisse pondérée par la gravité) ; ne conserver un pourcentage que s'il mesure la même grandeur et s'il renvoie à une référence [Sn] complète ; sinon écrire « Ne rang — fréquence non quantifiée (Suisse) ».</w:t>
            </w:r>
          </w:p>
        </w:tc>
        <w:tc>
          <w:tcPr>
            <w:tcW w:w="1800" w:type="dxa"/>
            <w:vAlign w:val="top"/>
          </w:tcPr>
          <w:p>
            <w:pPr>
              <w:spacing w:after="0"/>
            </w:pPr>
            <w:r>
              <w:rPr>
                <w:sz w:val="17"/>
                <w:szCs w:val="17"/>
              </w:rPr>
              <w:t xml:space="preserve">PROMPT_V6.md (prompt de base 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L1-L20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2 Épidémiologie</w:t>
            </w:r>
          </w:p>
        </w:tc>
        <w:tc>
          <w:tcPr>
            <w:tcW w:w="2600" w:type="dxa"/>
            <w:vAlign w:val="top"/>
          </w:tcPr>
          <w:p>
            <w:pPr>
              <w:spacing w:after="0"/>
            </w:pPr>
            <w:r>
              <w:rPr>
                <w:i/>
                <w:sz w:val="17"/>
                <w:szCs w:val="17"/>
              </w:rPr>
              <w:t xml:space="preserve">« la prévalence transversale des sueurs nocturnes atteint 10 % à 41 % des patients adultes »</w:t>
            </w:r>
          </w:p>
        </w:tc>
        <w:tc>
          <w:tcPr>
            <w:tcW w:w="3000" w:type="dxa"/>
            <w:vAlign w:val="top"/>
          </w:tcPr>
          <w:p>
            <w:pPr>
              <w:spacing w:after="40"/>
            </w:pPr>
            <w:r>
              <w:rPr>
                <w:sz w:val="17"/>
                <w:szCs w:val="17"/>
              </w:rPr>
              <w:t xml:space="preserve">Toutes les données épidémiologiques du point 2 (1 % à 3 %, 0,6 % à 2,8 %, 10 % à 41 %, pic entre 41 et 55 ans, 12 % des enfants) sont données sans source ; aucune donnée suisse (OFS, Obsan) n'est citée alors que le titre annonce « Suisse ».</w:t>
            </w:r>
          </w:p>
          <w:p>
            <w:pPr>
              <w:spacing w:after="0"/>
            </w:pPr>
            <w:r>
              <w:rPr>
                <w:b/>
                <w:color w:val="145A32"/>
                <w:sz w:val="17"/>
                <w:szCs w:val="17"/>
              </w:rPr>
              <w:t xml:space="preserve">→ Rattacher chaque chiffre à une source lue [Sn] ; à défaut écrire « donnée non trouvée dans les sources consultées » et transmettre la question au fichier HELP.</w:t>
            </w:r>
          </w:p>
        </w:tc>
        <w:tc>
          <w:tcPr>
            <w:tcW w:w="1800" w:type="dxa"/>
            <w:vAlign w:val="top"/>
          </w:tcPr>
          <w:p>
            <w:pPr>
              <w:spacing w:after="0"/>
            </w:pPr>
            <w:r>
              <w:rPr>
                <w:sz w:val="17"/>
                <w:szCs w:val="17"/>
              </w:rPr>
              <w:t xml:space="preserve">PROMPT_V6.md (prompt de base V6), § 3.1, § 3.7 et § 5.2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L1-L21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9 Examens complémentaires</w:t>
            </w:r>
          </w:p>
        </w:tc>
        <w:tc>
          <w:tcPr>
            <w:tcW w:w="2600" w:type="dxa"/>
            <w:vAlign w:val="top"/>
          </w:tcPr>
          <w:p>
            <w:pPr>
              <w:spacing w:after="0"/>
            </w:pPr>
            <w:r>
              <w:rPr>
                <w:i/>
                <w:sz w:val="17"/>
                <w:szCs w:val="17"/>
              </w:rPr>
              <w:t xml:space="preserve">« Aucune investigation n'est indiquée devant une hyperhidrose focale typique »</w:t>
            </w:r>
          </w:p>
        </w:tc>
        <w:tc>
          <w:tcPr>
            <w:tcW w:w="3000" w:type="dxa"/>
            <w:vAlign w:val="top"/>
          </w:tcPr>
          <w:p>
            <w:pPr>
              <w:spacing w:after="40"/>
            </w:pPr>
            <w:r>
              <w:rPr>
                <w:sz w:val="17"/>
                <w:szCs w:val="17"/>
              </w:rPr>
              <w:t xml:space="preserve">Le point 9 ne suit pas la structure 9.a gold standard, 9.b première intention, 9.c alternatives, 9.d deuxième intention, et aucun examen (FSC, CRP, TSH, glycémie, IGRA, radiographie) ne reçoit de tableau d'interprétation normal | seuil | signification | conduite.</w:t>
            </w:r>
          </w:p>
          <w:p>
            <w:pPr>
              <w:spacing w:after="0"/>
            </w:pPr>
            <w:r>
              <w:rPr>
                <w:b/>
                <w:color w:val="145A32"/>
                <w:sz w:val="17"/>
                <w:szCs w:val="17"/>
              </w:rPr>
              <w:t xml:space="preserve">→ Réécrire le point 9 en quatre sous-parties en italique et ajouter un tableau d'interprétation en unités SI suisses pour chaque examen, avec sa fenêtre explicative.</w:t>
            </w:r>
          </w:p>
        </w:tc>
        <w:tc>
          <w:tcPr>
            <w:tcW w:w="1800" w:type="dxa"/>
            <w:vAlign w:val="top"/>
          </w:tcPr>
          <w:p>
            <w:pPr>
              <w:spacing w:after="0"/>
            </w:pPr>
            <w:r>
              <w:rPr>
                <w:sz w:val="17"/>
                <w:szCs w:val="17"/>
              </w:rPr>
              <w:t xml:space="preserve">PROMPT_V6.md (prompt de base V6), § 5.9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L1-L29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D1.1 à D1.10 (toutes les monographies)</w:t>
            </w:r>
          </w:p>
        </w:tc>
        <w:tc>
          <w:tcPr>
            <w:tcW w:w="2600" w:type="dxa"/>
            <w:vAlign w:val="top"/>
          </w:tcPr>
          <w:p>
            <w:pPr>
              <w:spacing w:after="0"/>
            </w:pPr>
            <w:r>
              <w:rPr>
                <w:i/>
                <w:sz w:val="17"/>
                <w:szCs w:val="17"/>
              </w:rPr>
              <w:t xml:space="preserve">« Syndrome d'hyperstimulation sympathique focale »</w:t>
            </w:r>
          </w:p>
        </w:tc>
        <w:tc>
          <w:tcPr>
            <w:tcW w:w="3000" w:type="dxa"/>
            <w:vAlign w:val="top"/>
          </w:tcPr>
          <w:p>
            <w:pPr>
              <w:spacing w:after="40"/>
            </w:pPr>
            <w:r>
              <w:rPr>
                <w:sz w:val="17"/>
                <w:szCs w:val="17"/>
              </w:rPr>
              <w:t xml:space="preserve">Chaque DX ne contient que les points 7 et 11.B, parfois un fragment de 11.D : douze des quatorze points et les sous-parties 11.A et 11.C manquent dans les dix monographies.</w:t>
            </w:r>
          </w:p>
          <w:p>
            <w:pPr>
              <w:spacing w:after="0"/>
            </w:pPr>
            <w:r>
              <w:rPr>
                <w:b/>
                <w:color w:val="145A32"/>
                <w:sz w:val="17"/>
                <w:szCs w:val="17"/>
              </w:rPr>
              <w:t xml:space="preserve">→ Archiver ce document comme brouillon et rédiger les dix monographies complètes en 14 points dans les Parties 1 à 4 .html.</w:t>
            </w:r>
          </w:p>
        </w:tc>
        <w:tc>
          <w:tcPr>
            <w:tcW w:w="1800" w:type="dxa"/>
            <w:vAlign w:val="top"/>
          </w:tcPr>
          <w:p>
            <w:pPr>
              <w:spacing w:after="0"/>
            </w:pPr>
            <w:r>
              <w:rPr>
                <w:sz w:val="17"/>
                <w:szCs w:val="17"/>
              </w:rPr>
              <w:t xml:space="preserve">PROMPT_V6.md (prompt de base V6), § 5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L1-L30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D1.1 › 11.B Moyens et méthodes (et toutes les rubriques 11.B)</w:t>
            </w:r>
          </w:p>
        </w:tc>
        <w:tc>
          <w:tcPr>
            <w:tcW w:w="2600" w:type="dxa"/>
            <w:vAlign w:val="top"/>
          </w:tcPr>
          <w:p>
            <w:pPr>
              <w:spacing w:after="0"/>
            </w:pPr>
            <w:r>
              <w:rPr>
                <w:i/>
                <w:sz w:val="17"/>
                <w:szCs w:val="17"/>
              </w:rPr>
              <w:t xml:space="preserve">« Éviction des déclencheurs thermiques/émotionnels. »</w:t>
            </w:r>
          </w:p>
        </w:tc>
        <w:tc>
          <w:tcPr>
            <w:tcW w:w="3000" w:type="dxa"/>
            <w:vAlign w:val="top"/>
          </w:tcPr>
          <w:p>
            <w:pPr>
              <w:spacing w:after="40"/>
            </w:pPr>
            <w:r>
              <w:rPr>
                <w:sz w:val="17"/>
                <w:szCs w:val="17"/>
              </w:rPr>
              <w:t xml:space="preserve">Le texte procède par listes télégraphiques et phrases nominales (« Classe : Sels métalliques. », « Molécule : … », « Posologie : … ») dans toutes les monographies, ce que le prompt interdit.</w:t>
            </w:r>
          </w:p>
          <w:p>
            <w:pPr>
              <w:spacing w:after="0"/>
            </w:pPr>
            <w:r>
              <w:rPr>
                <w:b/>
                <w:color w:val="145A32"/>
                <w:sz w:val="17"/>
                <w:szCs w:val="17"/>
              </w:rPr>
              <w:t xml:space="preserve">→ Réécrire chaque item en phrase verbale, par exemple : « Le patient évite les déclencheurs thermiques et émotionnels. »</w:t>
            </w:r>
          </w:p>
        </w:tc>
        <w:tc>
          <w:tcPr>
            <w:tcW w:w="1800" w:type="dxa"/>
            <w:vAlign w:val="top"/>
          </w:tcPr>
          <w:p>
            <w:pPr>
              <w:spacing w:after="0"/>
            </w:pPr>
            <w:r>
              <w:rPr>
                <w:sz w:val="17"/>
                <w:szCs w:val="17"/>
              </w:rPr>
              <w:t xml:space="preserve">PROMPT_V6.md (prompt de base V6),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L1-L43</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8 › critères IHHS (première occurrence ; 17 formules au total)</w:t>
            </w:r>
          </w:p>
        </w:tc>
        <w:tc>
          <w:tcPr>
            <w:tcW w:w="2600" w:type="dxa"/>
            <w:vAlign w:val="top"/>
          </w:tcPr>
          <w:p>
            <w:pPr>
              <w:spacing w:after="0"/>
            </w:pPr>
            <w:r>
              <w:rPr>
                <w:i/>
                <w:sz w:val="17"/>
                <w:szCs w:val="17"/>
              </w:rPr>
              <w:t xml:space="preserve">« Critères mineurs ( requis sur 6) »</w:t>
            </w:r>
          </w:p>
        </w:tc>
        <w:tc>
          <w:tcPr>
            <w:tcW w:w="3000" w:type="dxa"/>
            <w:vAlign w:val="top"/>
          </w:tcPr>
          <w:p>
            <w:pPr>
              <w:spacing w:after="40"/>
            </w:pPr>
            <w:r>
              <w:rPr>
                <w:sz w:val="17"/>
                <w:szCs w:val="17"/>
              </w:rPr>
              <w:t xml:space="preserve">La conversion en Google Docs a transformé 17 formules en images : les chiffres des critères ont disparu du texte (« depuis mois », « début ans », « aménorrhée jours », « (Femme ans) », « chambre fraîche ( ) »), ce qui rend les critères diagnostiques faux à la lecture.</w:t>
            </w:r>
          </w:p>
          <w:p>
            <w:pPr>
              <w:spacing w:after="0"/>
            </w:pPr>
            <w:r>
              <w:rPr>
                <w:b/>
                <w:color w:val="145A32"/>
                <w:sz w:val="17"/>
                <w:szCs w:val="17"/>
              </w:rPr>
              <w:t xml:space="preserve">→ Réécrire chaque valeur en texte HTML : « depuis au moins 6 mois », « au moins 2 critères sur 6 », « au moins 1 épisode par semaine », « début avant 25 ans », ainsi que les valeurs STRAW+10 et IOP issues de la source lue.</w:t>
            </w:r>
          </w:p>
        </w:tc>
        <w:tc>
          <w:tcPr>
            <w:tcW w:w="1800" w:type="dxa"/>
            <w:vAlign w:val="top"/>
          </w:tcPr>
          <w:p>
            <w:pPr>
              <w:spacing w:after="0"/>
            </w:pPr>
            <w:r>
              <w:rPr>
                <w:sz w:val="17"/>
                <w:szCs w:val="17"/>
              </w:rPr>
              <w:t xml:space="preserve">PROMPT_V6.md (prompt de base V6), § 0 et § 9 ; Hornberger J et al., J Am Acad Dermatol 2004;51:274-286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L1-L44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et D1.2 › 33 termes soulignés</w:t>
            </w:r>
          </w:p>
        </w:tc>
        <w:tc>
          <w:tcPr>
            <w:tcW w:w="2600" w:type="dxa"/>
            <w:vAlign w:val="top"/>
          </w:tcPr>
          <w:p>
            <w:pPr>
              <w:spacing w:after="0"/>
            </w:pPr>
            <w:r>
              <w:rPr>
                <w:i/>
                <w:sz w:val="17"/>
                <w:szCs w:val="17"/>
              </w:rPr>
              <w:t xml:space="preserve">« L'interrogatoire confirme la symétrie »</w:t>
            </w:r>
          </w:p>
        </w:tc>
        <w:tc>
          <w:tcPr>
            <w:tcW w:w="3000" w:type="dxa"/>
            <w:vAlign w:val="top"/>
          </w:tcPr>
          <w:p>
            <w:pPr>
              <w:spacing w:after="40"/>
            </w:pPr>
            <w:r>
              <w:rPr>
                <w:sz w:val="17"/>
                <w:szCs w:val="17"/>
              </w:rPr>
              <w:t xml:space="preserve">Les 33 termes soulignés renvoient à des signets inexistants : aucune fenêtre &lt;details&gt; n'explique les termes sémiologiques, les médicaments ni les scores.</w:t>
            </w:r>
          </w:p>
          <w:p>
            <w:pPr>
              <w:spacing w:after="0"/>
            </w:pPr>
            <w:r>
              <w:rPr>
                <w:b/>
                <w:color w:val="145A32"/>
                <w:sz w:val="17"/>
                <w:szCs w:val="17"/>
              </w:rPr>
              <w:t xml:space="preserve">→ Remplacer chaque lien par une fenêtre &lt;details&gt; riche (mécanisme, exemple chiffré, piège, source [Sn]).</w:t>
            </w:r>
          </w:p>
        </w:tc>
        <w:tc>
          <w:tcPr>
            <w:tcW w:w="1800" w:type="dxa"/>
            <w:vAlign w:val="top"/>
          </w:tcPr>
          <w:p>
            <w:pPr>
              <w:spacing w:after="0"/>
            </w:pPr>
            <w:r>
              <w:rPr>
                <w:sz w:val="17"/>
                <w:szCs w:val="17"/>
              </w:rPr>
              <w:t xml:space="preserve">PROMPT_V6.md (prompt de base V6),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L1-L45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9 et D1.2 › point 9</w:t>
            </w:r>
          </w:p>
        </w:tc>
        <w:tc>
          <w:tcPr>
            <w:tcW w:w="2600" w:type="dxa"/>
            <w:vAlign w:val="top"/>
          </w:tcPr>
          <w:p>
            <w:pPr>
              <w:spacing w:after="0"/>
            </w:pPr>
            <w:r>
              <w:rPr>
                <w:i/>
                <w:sz w:val="17"/>
                <w:szCs w:val="17"/>
              </w:rPr>
              <w:t xml:space="preserve">« Aucun bilan sanguin ni radiologique n'est indiqué si les critères IHHS sont remplis. »</w:t>
            </w:r>
          </w:p>
        </w:tc>
        <w:tc>
          <w:tcPr>
            <w:tcW w:w="3000" w:type="dxa"/>
            <w:vAlign w:val="top"/>
          </w:tcPr>
          <w:p>
            <w:pPr>
              <w:spacing w:after="40"/>
            </w:pPr>
            <w:r>
              <w:rPr>
                <w:sz w:val="17"/>
                <w:szCs w:val="17"/>
              </w:rPr>
              <w:t xml:space="preserve">Les deux monographies omettent la sous-partie 9.c (alternatives : grossesse, enfant, DFGe &lt; 30 mL/min) et aucun examen (TSH, FSH, glycémie, FSC, CRP) ne reçoit de tableau d'interprétation.</w:t>
            </w:r>
          </w:p>
          <w:p>
            <w:pPr>
              <w:spacing w:after="0"/>
            </w:pPr>
            <w:r>
              <w:rPr>
                <w:b/>
                <w:color w:val="145A32"/>
                <w:sz w:val="17"/>
                <w:szCs w:val="17"/>
              </w:rPr>
              <w:t xml:space="preserve">→ Ajouter 9.c et un tableau normal (SI) | seuil | signification | conduite pour chaque examen cité.</w:t>
            </w:r>
          </w:p>
        </w:tc>
        <w:tc>
          <w:tcPr>
            <w:tcW w:w="1800" w:type="dxa"/>
            <w:vAlign w:val="top"/>
          </w:tcPr>
          <w:p>
            <w:pPr>
              <w:spacing w:after="0"/>
            </w:pPr>
            <w:r>
              <w:rPr>
                <w:sz w:val="17"/>
                <w:szCs w:val="17"/>
              </w:rPr>
              <w:t xml:space="preserve">PROMPT_V6.md (prompt de base V6), § 5.9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L1-L46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Fin du document</w:t>
            </w:r>
          </w:p>
        </w:tc>
        <w:tc>
          <w:tcPr>
            <w:tcW w:w="2600" w:type="dxa"/>
            <w:vAlign w:val="top"/>
          </w:tcPr>
          <w:p>
            <w:pPr>
              <w:spacing w:after="0"/>
            </w:pPr>
            <w:r>
              <w:rPr>
                <w:i/>
                <w:sz w:val="17"/>
                <w:szCs w:val="17"/>
              </w:rPr>
              <w:t xml:space="preserve">« le traitement local vaginal ne nécessite pas d'ajout de progestatif »</w:t>
            </w:r>
          </w:p>
        </w:tc>
        <w:tc>
          <w:tcPr>
            <w:tcW w:w="3000" w:type="dxa"/>
            <w:vAlign w:val="top"/>
          </w:tcPr>
          <w:p>
            <w:pPr>
              <w:spacing w:after="40"/>
            </w:pPr>
            <w:r>
              <w:rPr>
                <w:sz w:val="17"/>
                <w:szCs w:val="17"/>
              </w:rPr>
              <w:t xml:space="preserve">Le document n'a ni section Sources, ni mention de non-validation, ni balise FIN_FICHIER ; les chiffres (âge médian 51 ans, 7,4 ans, 82 %, 90 % de répondeurs) ne sont rattachés à aucune source.</w:t>
            </w:r>
          </w:p>
          <w:p>
            <w:pPr>
              <w:spacing w:after="0"/>
            </w:pPr>
            <w:r>
              <w:rPr>
                <w:b/>
                <w:color w:val="145A32"/>
                <w:sz w:val="17"/>
                <w:szCs w:val="17"/>
              </w:rPr>
              <w:t xml:space="preserve">→ Ajouter les références [S1]…[Sn] lues, les appeler dans le texte, puis ajouter la mention de non-validation et la balise finale.</w:t>
            </w:r>
          </w:p>
        </w:tc>
        <w:tc>
          <w:tcPr>
            <w:tcW w:w="1800" w:type="dxa"/>
            <w:vAlign w:val="top"/>
          </w:tcPr>
          <w:p>
            <w:pPr>
              <w:spacing w:after="0"/>
            </w:pPr>
            <w:r>
              <w:rPr>
                <w:sz w:val="17"/>
                <w:szCs w:val="17"/>
              </w:rPr>
              <w:t xml:space="preserve">PROMPT_V6.md (prompt de base V6), § 3.8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L1-L56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(SSP et D1.1–D1.10)</w:t>
            </w:r>
          </w:p>
        </w:tc>
        <w:tc>
          <w:tcPr>
            <w:tcW w:w="2600" w:type="dxa"/>
            <w:vAlign w:val="top"/>
          </w:tcPr>
          <w:p>
            <w:pPr>
              <w:spacing w:after="0"/>
            </w:pPr>
            <w:r>
              <w:rPr>
                <w:i/>
                <w:sz w:val="17"/>
                <w:szCs w:val="17"/>
              </w:rPr>
              <w:t xml:space="preserve">« Le traitement débute souvent par un antitranspirant sur peau sèche et intacte. Une ionophorèse »</w:t>
            </w:r>
          </w:p>
        </w:tc>
        <w:tc>
          <w:tcPr>
            <w:tcW w:w="3000" w:type="dxa"/>
            <w:vAlign w:val="top"/>
          </w:tcPr>
          <w:p>
            <w:pPr>
              <w:spacing w:after="40"/>
            </w:pPr>
            <w:r>
              <w:rPr>
                <w:sz w:val="17"/>
                <w:szCs w:val="17"/>
              </w:rPr>
              <w:t xml:space="preserve">La version V6 a supprimé tous les chiffres, DCI, spécialités suisses ®, doses, durées, seuils SI et contre-indications présents dans la V4 : les items ① à ⑥ de 11.B et les seuils chiffrés exigés manquent dans les onze monographies, et le fichier (84 Ko) reste sous le seuil indicatif de 90 Ko.</w:t>
            </w:r>
          </w:p>
          <w:p>
            <w:pPr>
              <w:spacing w:after="0"/>
            </w:pPr>
            <w:r>
              <w:rPr>
                <w:b/>
                <w:color w:val="145A32"/>
                <w:sz w:val="17"/>
                <w:szCs w:val="17"/>
              </w:rPr>
              <w:t xml:space="preserve">→ Réintégrer, à partir de sources vérifiées, les données chiffrées de la V4 (doses, spécialités, seuils) et compléter 11.B selon les items ① à ⑥ pour chaque traitement.</w:t>
            </w:r>
          </w:p>
        </w:tc>
        <w:tc>
          <w:tcPr>
            <w:tcW w:w="1800" w:type="dxa"/>
            <w:vAlign w:val="top"/>
          </w:tcPr>
          <w:p>
            <w:pPr>
              <w:spacing w:after="0"/>
            </w:pPr>
            <w:r>
              <w:rPr>
                <w:sz w:val="17"/>
                <w:szCs w:val="17"/>
              </w:rPr>
              <w:t xml:space="preserve">PROMPT_V6.md (prompt de base V6), § 5.11, § 6.7, § 9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L1-L57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points 1 à 14</w:t>
            </w:r>
          </w:p>
        </w:tc>
        <w:tc>
          <w:tcPr>
            <w:tcW w:w="2600" w:type="dxa"/>
            <w:vAlign w:val="top"/>
          </w:tcPr>
          <w:p>
            <w:pPr>
              <w:spacing w:after="0"/>
            </w:pPr>
            <w:r>
              <w:rPr>
                <w:i/>
                <w:sz w:val="17"/>
                <w:szCs w:val="17"/>
              </w:rPr>
              <w:t xml:space="preserve">« L'hyperhidrose focale primaire est une sudation localisée excessive sans cause secondaire identifiée. »</w:t>
            </w:r>
          </w:p>
        </w:tc>
        <w:tc>
          <w:tcPr>
            <w:tcW w:w="3000" w:type="dxa"/>
            <w:vAlign w:val="top"/>
          </w:tcPr>
          <w:p>
            <w:pPr>
              <w:spacing w:after="40"/>
            </w:pPr>
            <w:r>
              <w:rPr>
                <w:sz w:val="17"/>
                <w:szCs w:val="17"/>
              </w:rPr>
              <w:t xml:space="preserve">Le texte ne contient aucune fenêtre &lt;details&gt; sur les termes sémiologiques, signes, examens, médicaments ou scores : les 33 fenêtres existantes sont seulement trois fenêtres génériques par monographie (hiérarchie des examens, actualisation 2026, références).</w:t>
            </w:r>
          </w:p>
          <w:p>
            <w:pPr>
              <w:spacing w:after="0"/>
            </w:pPr>
            <w:r>
              <w:rPr>
                <w:b/>
                <w:color w:val="145A32"/>
                <w:sz w:val="17"/>
                <w:szCs w:val="17"/>
              </w:rPr>
              <w:t xml:space="preserve">→ Ajouter une fenêtre &lt;details&gt; sur chaque terme technique (hyperhidrose, diaphorèse, test de Minor, HDSS, IAH, IGRA, métanéphrines…) avec mécanisme, exemple chiffré, piège et source [Sn].</w:t>
            </w:r>
          </w:p>
        </w:tc>
        <w:tc>
          <w:tcPr>
            <w:tcW w:w="1800" w:type="dxa"/>
            <w:vAlign w:val="top"/>
          </w:tcPr>
          <w:p>
            <w:pPr>
              <w:spacing w:after="0"/>
            </w:pPr>
            <w:r>
              <w:rPr>
                <w:sz w:val="17"/>
                <w:szCs w:val="17"/>
              </w:rPr>
              <w:t xml:space="preserve">PROMPT_V6.md (prompt de base V6), § 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L1-L58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point 9 Examens</w:t>
            </w:r>
          </w:p>
        </w:tc>
        <w:tc>
          <w:tcPr>
            <w:tcW w:w="2600" w:type="dxa"/>
            <w:vAlign w:val="top"/>
          </w:tcPr>
          <w:p>
            <w:pPr>
              <w:spacing w:after="0"/>
            </w:pPr>
            <w:r>
              <w:rPr>
                <w:i/>
                <w:sz w:val="17"/>
                <w:szCs w:val="17"/>
              </w:rPr>
              <w:t xml:space="preserve">« Le médecin dose TSH, T4 libre et, si nécessaire, T3 »</w:t>
            </w:r>
          </w:p>
        </w:tc>
        <w:tc>
          <w:tcPr>
            <w:tcW w:w="3000" w:type="dxa"/>
            <w:vAlign w:val="top"/>
          </w:tcPr>
          <w:p>
            <w:pPr>
              <w:spacing w:after="40"/>
            </w:pPr>
            <w:r>
              <w:rPr>
                <w:sz w:val="17"/>
                <w:szCs w:val="17"/>
              </w:rPr>
              <w:t xml:space="preserve">Le fichier ne contient aucun tableau : aucun examen ne reçoit son tableau d'interprétation valeur normale (SI) | seuil | signification | conduite.</w:t>
            </w:r>
          </w:p>
          <w:p>
            <w:pPr>
              <w:spacing w:after="0"/>
            </w:pPr>
            <w:r>
              <w:rPr>
                <w:b/>
                <w:color w:val="145A32"/>
                <w:sz w:val="17"/>
                <w:szCs w:val="17"/>
              </w:rPr>
              <w:t xml:space="preserve">→ Ajouter pour chaque examen cité un tableau d'interprétation enveloppé dans &lt;div style='overflow-x:auto;'&gt;, par exemple TSH 0,27–4,2 mU/L selon le laboratoire de référence cité.</w:t>
            </w:r>
          </w:p>
        </w:tc>
        <w:tc>
          <w:tcPr>
            <w:tcW w:w="1800" w:type="dxa"/>
            <w:vAlign w:val="top"/>
          </w:tcPr>
          <w:p>
            <w:pPr>
              <w:spacing w:after="0"/>
            </w:pPr>
            <w:r>
              <w:rPr>
                <w:sz w:val="17"/>
                <w:szCs w:val="17"/>
              </w:rPr>
              <w:t xml:space="preserve">PROMPT_V6.md (prompt de base V6), § 5.9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L1-L59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point 7 › sous-titres 7.1 et 7.2</w:t>
            </w:r>
          </w:p>
        </w:tc>
        <w:tc>
          <w:tcPr>
            <w:tcW w:w="2600" w:type="dxa"/>
            <w:vAlign w:val="top"/>
          </w:tcPr>
          <w:p>
            <w:pPr>
              <w:spacing w:after="0"/>
            </w:pPr>
            <w:r>
              <w:rPr>
                <w:i/>
                <w:sz w:val="17"/>
                <w:szCs w:val="17"/>
              </w:rPr>
              <w:t xml:space="preserve">« 7.1. Le tableau oriente le mécanisme »</w:t>
            </w:r>
          </w:p>
        </w:tc>
        <w:tc>
          <w:tcPr>
            <w:tcW w:w="3000" w:type="dxa"/>
            <w:vAlign w:val="top"/>
          </w:tcPr>
          <w:p>
            <w:pPr>
              <w:spacing w:after="40"/>
            </w:pPr>
            <w:r>
              <w:rPr>
                <w:sz w:val="17"/>
                <w:szCs w:val="17"/>
              </w:rPr>
              <w:t xml:space="preserve">Les sous-titres 7.1 et 7.2 sont identiques dans les onze monographies et ne nomment aucun syndrome ; aucun signe n'est relié à son mécanisme.</w:t>
            </w:r>
          </w:p>
          <w:p>
            <w:pPr>
              <w:spacing w:after="0"/>
            </w:pPr>
            <w:r>
              <w:rPr>
                <w:b/>
                <w:color w:val="145A32"/>
                <w:sz w:val="17"/>
                <w:szCs w:val="17"/>
              </w:rPr>
              <w:t xml:space="preserve">→ Nommer chaque syndrome (par exemple « 7.1 Syndrome adrénergique » et « 7.2 Syndrome neuroglycopénique » pour D1.6) et ouvrir sur chaque titre la fenêtre signe → mécanisme.</w:t>
            </w:r>
          </w:p>
        </w:tc>
        <w:tc>
          <w:tcPr>
            <w:tcW w:w="1800" w:type="dxa"/>
            <w:vAlign w:val="top"/>
          </w:tcPr>
          <w:p>
            <w:pPr>
              <w:spacing w:after="0"/>
            </w:pPr>
            <w:r>
              <w:rPr>
                <w:sz w:val="17"/>
                <w:szCs w:val="17"/>
              </w:rPr>
              <w:t xml:space="preserve">PROMPT_V6.md (prompt de base V6), § 5.7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L1-L60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Fin de chaque monographie › fenêtre « Consulter les références et leur portée » (11 occurrences, première dans SSP G1) et fin du fichier</w:t>
            </w:r>
          </w:p>
        </w:tc>
        <w:tc>
          <w:tcPr>
            <w:tcW w:w="2600" w:type="dxa"/>
            <w:vAlign w:val="top"/>
          </w:tcPr>
          <w:p>
            <w:pPr>
              <w:spacing w:after="0"/>
            </w:pPr>
            <w:r>
              <w:rPr>
                <w:i/>
                <w:sz w:val="17"/>
                <w:szCs w:val="17"/>
              </w:rPr>
              <w:t xml:space="preserve">« elles ne remplacent pas une bibliographie exhaustive de chaque affirmation. »</w:t>
            </w:r>
          </w:p>
        </w:tc>
        <w:tc>
          <w:tcPr>
            <w:tcW w:w="3000" w:type="dxa"/>
            <w:vAlign w:val="top"/>
          </w:tcPr>
          <w:p>
            <w:pPr>
              <w:spacing w:after="40"/>
            </w:pPr>
            <w:r>
              <w:rPr>
                <w:sz w:val="17"/>
                <w:szCs w:val="17"/>
              </w:rPr>
              <w:t xml:space="preserve">Le fichier n'a ni section Sources numérotée [S1]…[Sn], ni appels de source dans le texte, ni mention « Contenu produit par IA… non validé cliniquement par un médecin » ; il avoue lui-même l'absence de bibliographie.</w:t>
            </w:r>
          </w:p>
          <w:p>
            <w:pPr>
              <w:spacing w:after="0"/>
            </w:pPr>
            <w:r>
              <w:rPr>
                <w:b/>
                <w:color w:val="145A32"/>
                <w:sz w:val="17"/>
                <w:szCs w:val="17"/>
              </w:rPr>
              <w:t xml:space="preserve">→ Ajouter la section Sources numérotée et datée, appeler [Sn] après chaque affirmation et ajouter la mention de non-validation avant la balise FIN_FICHIER.</w:t>
            </w:r>
          </w:p>
        </w:tc>
        <w:tc>
          <w:tcPr>
            <w:tcW w:w="1800" w:type="dxa"/>
            <w:vAlign w:val="top"/>
          </w:tcPr>
          <w:p>
            <w:pPr>
              <w:spacing w:after="0"/>
            </w:pPr>
            <w:r>
              <w:rPr>
                <w:sz w:val="17"/>
                <w:szCs w:val="17"/>
              </w:rPr>
              <w:t xml:space="preserve">PROMPT_V6.md (prompt de base V6), § 3.8 et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L1-L61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D1.6 › 11.D › fenêtre « Vérifier la portée de l'actualisation 2026 » et références ; D1.10 › références</w:t>
            </w:r>
          </w:p>
        </w:tc>
        <w:tc>
          <w:tcPr>
            <w:tcW w:w="2600" w:type="dxa"/>
            <w:vAlign w:val="top"/>
          </w:tcPr>
          <w:p>
            <w:pPr>
              <w:spacing w:after="0"/>
            </w:pPr>
            <w:r>
              <w:rPr>
                <w:i/>
                <w:sz w:val="17"/>
                <w:szCs w:val="17"/>
              </w:rPr>
              <w:t xml:space="preserve">« Les Standards ADA 2026 rappellent la correction initiale par glucose rapide »</w:t>
            </w:r>
          </w:p>
        </w:tc>
        <w:tc>
          <w:tcPr>
            <w:tcW w:w="3000" w:type="dxa"/>
            <w:vAlign w:val="top"/>
          </w:tcPr>
          <w:p>
            <w:pPr>
              <w:spacing w:after="40"/>
            </w:pPr>
            <w:r>
              <w:rPr>
                <w:sz w:val="17"/>
                <w:szCs w:val="17"/>
              </w:rPr>
              <w:t xml:space="preserve">Les seules sources externes de D1.6 et D1.10 sont américaines (ADA Standards 2026, Endocrine Society 2014), ce que le prompt interdit comme référence.</w:t>
            </w:r>
          </w:p>
          <w:p>
            <w:pPr>
              <w:spacing w:after="0"/>
            </w:pPr>
            <w:r>
              <w:rPr>
                <w:b/>
                <w:color w:val="145A32"/>
                <w:sz w:val="17"/>
                <w:szCs w:val="17"/>
              </w:rPr>
              <w:t xml:space="preserve">→ Remplacer par des sources européennes ou suisses : International Hypoglycaemia Study Group (Diabetologia 2017) ou SSED pour D1.6 ; recommandations ESE/ENS@T pour D1.10.</w:t>
            </w:r>
          </w:p>
        </w:tc>
        <w:tc>
          <w:tcPr>
            <w:tcW w:w="1800" w:type="dxa"/>
            <w:vAlign w:val="top"/>
          </w:tcPr>
          <w:p>
            <w:pPr>
              <w:spacing w:after="0"/>
            </w:pPr>
            <w:r>
              <w:rPr>
                <w:sz w:val="17"/>
                <w:szCs w:val="17"/>
              </w:rPr>
              <w:t xml:space="preserve">PROMPT_V6.md (prompt de base V6),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L1-L62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Sommaire et toutes les rubriques « Consulter… » (33 balises summary)</w:t>
            </w:r>
          </w:p>
        </w:tc>
        <w:tc>
          <w:tcPr>
            <w:tcW w:w="2600" w:type="dxa"/>
            <w:vAlign w:val="top"/>
          </w:tcPr>
          <w:p>
            <w:pPr>
              <w:spacing w:after="0"/>
            </w:pPr>
            <w:r>
              <w:rPr>
                <w:i/>
                <w:sz w:val="17"/>
                <w:szCs w:val="17"/>
              </w:rPr>
              <w:t xml:space="preserve">« Consulter la hiérarchie des examens »</w:t>
            </w:r>
          </w:p>
        </w:tc>
        <w:tc>
          <w:tcPr>
            <w:tcW w:w="3000" w:type="dxa"/>
            <w:vAlign w:val="top"/>
          </w:tcPr>
          <w:p>
            <w:pPr>
              <w:spacing w:after="40"/>
            </w:pPr>
            <w:r>
              <w:rPr>
                <w:sz w:val="17"/>
                <w:szCs w:val="17"/>
              </w:rPr>
              <w:t xml:space="preserve">Les 33 balises &lt;summary&gt; portent un attribut title= utilisé comme infobulle, que le prompt interdit.</w:t>
            </w:r>
          </w:p>
          <w:p>
            <w:pPr>
              <w:spacing w:after="0"/>
            </w:pPr>
            <w:r>
              <w:rPr>
                <w:b/>
                <w:color w:val="145A32"/>
                <w:sz w:val="17"/>
                <w:szCs w:val="17"/>
              </w:rPr>
              <w:t xml:space="preserve">→ Supprimer tous les attributs title= des balises &lt;summary&gt;.</w:t>
            </w:r>
          </w:p>
        </w:tc>
        <w:tc>
          <w:tcPr>
            <w:tcW w:w="1800" w:type="dxa"/>
            <w:vAlign w:val="top"/>
          </w:tcPr>
          <w:p>
            <w:pPr>
              <w:spacing w:after="0"/>
            </w:pPr>
            <w:r>
              <w:rPr>
                <w:sz w:val="17"/>
                <w:szCs w:val="17"/>
              </w:rPr>
              <w:t xml:space="preserve">PROMPT_V6.md (prompt de base V6), § 9 (règles techniques) et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L1-L63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En-tête du fichier</w:t>
            </w:r>
          </w:p>
        </w:tc>
        <w:tc>
          <w:tcPr>
            <w:tcW w:w="2600" w:type="dxa"/>
            <w:vAlign w:val="top"/>
          </w:tcPr>
          <w:p>
            <w:pPr>
              <w:spacing w:after="0"/>
            </w:pPr>
            <w:r>
              <w:rPr>
                <w:i/>
                <w:sz w:val="17"/>
                <w:szCs w:val="17"/>
              </w:rPr>
              <w:t xml:space="preserve">« Chaque monographie comprend les quatorze rubriques et les quatre sous-parties de la prise en charge. »</w:t>
            </w:r>
          </w:p>
        </w:tc>
        <w:tc>
          <w:tcPr>
            <w:tcW w:w="3000" w:type="dxa"/>
            <w:vAlign w:val="top"/>
          </w:tcPr>
          <w:p>
            <w:pPr>
              <w:spacing w:after="40"/>
            </w:pPr>
            <w:r>
              <w:rPr>
                <w:sz w:val="17"/>
                <w:szCs w:val="17"/>
              </w:rPr>
              <w:t xml:space="preserve">Le fichier n'est construit que pour un seul fichier et ne reprend pas le Bloc 2 de l'Appel A (justification des DX, tableau comparatif, algorithme), alors qu'il annonce réunir le SSP et les dix diagnostics.</w:t>
            </w:r>
          </w:p>
          <w:p>
            <w:pPr>
              <w:spacing w:after="0"/>
            </w:pPr>
            <w:r>
              <w:rPr>
                <w:b/>
                <w:color w:val="145A32"/>
                <w:sz w:val="17"/>
                <w:szCs w:val="17"/>
              </w:rPr>
              <w:t xml:space="preserve">→ Créer l'Appel A .html avec le Bloc 2 complet avant les Parties de l'Appel B.</w:t>
            </w:r>
          </w:p>
        </w:tc>
        <w:tc>
          <w:tcPr>
            <w:tcW w:w="1800" w:type="dxa"/>
            <w:vAlign w:val="top"/>
          </w:tcPr>
          <w:p>
            <w:pPr>
              <w:spacing w:after="0"/>
            </w:pPr>
            <w:r>
              <w:rPr>
                <w:sz w:val="17"/>
                <w:szCs w:val="17"/>
              </w:rPr>
              <w:t xml:space="preserve">PROMPT_V6.md (prompt de base V6), § 4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Fichier entier (Appel A, Blocs 1 et 2)</w:t>
            </w:r>
          </w:p>
        </w:tc>
        <w:tc>
          <w:tcPr>
            <w:tcW w:w="2600" w:type="dxa"/>
            <w:vAlign w:val="top"/>
          </w:tcPr>
          <w:p>
            <w:pPr>
              <w:spacing w:after="0"/>
            </w:pPr>
            <w:r>
              <w:rPr>
                <w:i/>
                <w:sz w:val="17"/>
                <w:szCs w:val="17"/>
              </w:rPr>
              <w:t xml:space="preserve">« Appel A : Plan Monographique et Liste Différentielle »</w:t>
            </w:r>
          </w:p>
        </w:tc>
        <w:tc>
          <w:tcPr>
            <w:tcW w:w="3000" w:type="dxa"/>
            <w:vAlign w:val="top"/>
          </w:tcPr>
          <w:p>
            <w:pPr>
              <w:spacing w:after="40"/>
            </w:pPr>
            <w:r>
              <w:rPr>
                <w:sz w:val="17"/>
                <w:szCs w:val="17"/>
              </w:rPr>
              <w:t xml:space="preserve">L'Appel A n'existe que sous forme de Google Doc exporté : il viole la règle 0 et ne contient ni fenêtre &lt;details&gt;, ni tableau, ni section Sources [S1]…[Sn], ni mention de non-validation, ni balise FIN_FICHIER.</w:t>
            </w:r>
          </w:p>
          <w:p>
            <w:pPr>
              <w:spacing w:after="0"/>
            </w:pPr>
            <w:r>
              <w:rPr>
                <w:b/>
                <w:color w:val="145A32"/>
                <w:sz w:val="17"/>
                <w:szCs w:val="17"/>
              </w:rPr>
              <w:t xml:space="preserve">→ Régénérer l'Appel A en fichier LOT_1_Appel_A_V5_Ultra_Pedagogique_Plan_et_Liste.html selon le gabarit V6 (§ 9), déposé en text/html sans conversion, puis faire auditer cet Appel A avant toute Partie de l'Appel B.</w:t>
            </w:r>
          </w:p>
        </w:tc>
        <w:tc>
          <w:tcPr>
            <w:tcW w:w="1800" w:type="dxa"/>
            <w:vAlign w:val="top"/>
          </w:tcPr>
          <w:p>
            <w:pPr>
              <w:spacing w:after="0"/>
            </w:pPr>
            <w:r>
              <w:rPr>
                <w:sz w:val="17"/>
                <w:szCs w:val="17"/>
              </w:rPr>
              <w:t xml:space="preserve">PROMPT_V6 § 0 (sortie .html obligatoire, jamais de Google Docs) et § 4 (5 fichiers HTML, cadence 2-3-2-3) ; § 3.8 ; § 9</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Fichier entier (Parties 1 à 4, D1.1–D1.10)</w:t>
            </w:r>
          </w:p>
        </w:tc>
        <w:tc>
          <w:tcPr>
            <w:tcW w:w="2600" w:type="dxa"/>
            <w:vAlign w:val="top"/>
          </w:tcPr>
          <w:p>
            <w:pPr>
              <w:spacing w:after="0"/>
            </w:pPr>
            <w:r>
              <w:rPr>
                <w:i/>
                <w:sz w:val="17"/>
                <w:szCs w:val="17"/>
              </w:rPr>
              <w:t xml:space="preserve">« LOT 1 : Transpiration Anormale (SSP G1) - Appel B V4 (Expert Argon) »</w:t>
            </w:r>
          </w:p>
        </w:tc>
        <w:tc>
          <w:tcPr>
            <w:tcW w:w="3000" w:type="dxa"/>
            <w:vAlign w:val="top"/>
          </w:tcPr>
          <w:p>
            <w:pPr>
              <w:spacing w:after="40"/>
            </w:pPr>
            <w:r>
              <w:rPr>
                <w:sz w:val="17"/>
                <w:szCs w:val="17"/>
              </w:rPr>
              <w:t xml:space="preserve">Ce Google Doc est une génération périmée qui ne traite que les points 7 et 11.B de chaque DX : les points 1–6, 8–10, 11.A, 11.C, 11.D (partiellement), 12–14 manquent pour les dix monographies.</w:t>
            </w:r>
          </w:p>
          <w:p>
            <w:pPr>
              <w:spacing w:after="0"/>
            </w:pPr>
            <w:r>
              <w:rPr>
                <w:b/>
                <w:color w:val="145A32"/>
                <w:sz w:val="17"/>
                <w:szCs w:val="17"/>
              </w:rPr>
              <w:t xml:space="preserve">→ Archiver ce document dans CORBEILLE_DOUBLONS_OBSOLETES avec le suffixe _OBSOLETE_ après dépôt d'une version HTML complète ; n'en réinjecter les posologies qu'après correction des constats L1-M36 à L1-M47.</w:t>
            </w:r>
          </w:p>
        </w:tc>
        <w:tc>
          <w:tcPr>
            <w:tcW w:w="1800" w:type="dxa"/>
            <w:vAlign w:val="top"/>
          </w:tcPr>
          <w:p>
            <w:pPr>
              <w:spacing w:after="0"/>
            </w:pPr>
            <w:r>
              <w:rPr>
                <w:sz w:val="17"/>
                <w:szCs w:val="17"/>
              </w:rPr>
              <w:t xml:space="preserve">PROMPT_V6 § 0 (sortie .html obligatoire, jamais de Google Docs) et § 4 (5 fichiers HTML, cadence 2-3-2-3) ; § 5 (14 points obligatoires) ; § 12 (aucun doublon)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8 › critères mineurs (et 16 autres valeurs du fichier)</w:t>
            </w:r>
          </w:p>
        </w:tc>
        <w:tc>
          <w:tcPr>
            <w:tcW w:w="2600" w:type="dxa"/>
            <w:vAlign w:val="top"/>
          </w:tcPr>
          <w:p>
            <w:pPr>
              <w:spacing w:after="0"/>
            </w:pPr>
            <w:r>
              <w:rPr>
                <w:i/>
                <w:sz w:val="17"/>
                <w:szCs w:val="17"/>
              </w:rPr>
              <w:t xml:space="preserve">« Critères mineurs ( requis sur 6) »</w:t>
            </w:r>
          </w:p>
        </w:tc>
        <w:tc>
          <w:tcPr>
            <w:tcW w:w="3000" w:type="dxa"/>
            <w:vAlign w:val="top"/>
          </w:tcPr>
          <w:p>
            <w:pPr>
              <w:spacing w:after="40"/>
            </w:pPr>
            <w:r>
              <w:rPr>
                <w:sz w:val="17"/>
                <w:szCs w:val="17"/>
              </w:rPr>
              <w:t xml:space="preserve">Les nombres, symboles et seuils de ce Google Doc sont des images d'équation (17 images) : le texte visible perd « ≥ 2 », « ≥ 6 mois », « &lt; 25 ans », l'équation d'hydrolyse et la durée d'aménorrhée, ce qui rend les critères diagnostiques illisibles ; le fichier est en outre supplanté par la V6.</w:t>
            </w:r>
          </w:p>
          <w:p>
            <w:pPr>
              <w:spacing w:after="0"/>
            </w:pPr>
            <w:r>
              <w:rPr>
                <w:b/>
                <w:color w:val="145A32"/>
                <w:sz w:val="17"/>
                <w:szCs w:val="17"/>
              </w:rPr>
              <w:t xml:space="preserve">→ Archiver le fichier comme obsolète ; dans la version HTML active, écrire les seuils en texte : « Critère majeur : sudation focale visible depuis au moins 6 mois sans cause secondaire ; au moins 2 critères mineurs sur 6 : bilatéralité et symétrie, gêne quotidienne, au moins 1 épisode par semaine, début avant 25 ans, anamnèse familiale positive, absence de sudation pendant le sommeil. »</w:t>
            </w:r>
          </w:p>
        </w:tc>
        <w:tc>
          <w:tcPr>
            <w:tcW w:w="1800" w:type="dxa"/>
            <w:vAlign w:val="top"/>
          </w:tcPr>
          <w:p>
            <w:pPr>
              <w:spacing w:after="0"/>
            </w:pPr>
            <w:r>
              <w:rPr>
                <w:sz w:val="17"/>
                <w:szCs w:val="17"/>
              </w:rPr>
              <w:t xml:space="preserve">AWMF/DDG — S1-Leitlinie 013-059 « Definition und Therapie der primären Hyperhidrose », 2023 (valable jusqu'au 18.02.2028) — https://register.awmf.org/assets/guidelines/013-059l_S1_Definition-Therapie-primaeren-Hyperhidrose_2023-07.pdf — consulté le 22.10.2026 (tableau 1) ; PROMPT_V6 § 0 (sortie .html obligatoire, jamais de Google Docs) et § 4 (5 fichiers HTML, cadence 2-3-2-3)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LOT_1_Appel_B_Argon_Partie_1_Enrichie_Federal__export_GoogleDoc.html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Fichier HTML complet dans le chat »</w:t>
            </w:r>
          </w:p>
        </w:tc>
        <w:tc>
          <w:tcPr>
            <w:tcW w:w="3000" w:type="dxa"/>
            <w:vAlign w:val="top"/>
          </w:tcPr>
          <w:p>
            <w:pPr>
              <w:spacing w:after="40"/>
            </w:pPr>
            <w:r>
              <w:rPr>
                <w:sz w:val="17"/>
                <w:szCs w:val="17"/>
              </w:rPr>
              <w:t xml:space="preserve">Ce Google Doc de 596 octets ne contient qu'un titre renvoyant au chat : le contenu n'a jamais été déposé.</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LOT_1_Appel_B_Argon_Partie_2_Enrichie_Federal__export_GoogleDoc.html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519 octets est vide : il constitue un doublon sans contenu qui pollue le dossier du lot.</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LOT_1_Appel_B_Argon_Partie_3_Enrichie_Federal__export_GoogleDoc.html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519 octets est vide : il constitue un doublon sans contenu qui pollue le dossier du lot.</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LOT_1_Appel_B_Argon_Partie_4_Enrichie_Federal__export_GoogleDoc.html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519 octets est vide : il constitue un doublon sans contenu qui pollue le dossier du lot.</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LOT_1_Appel_B_Partie_1_Diff_D1.1_a_D1.3_V2_Fédéral__export_GoogleDoc.html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519 octets est vide : il constitue un doublon sans contenu qui pollue le dossier du lot.</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L1-M09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LOT_1_Appel_B_Partie_2_Diff_D1.4_a_D1.6_Fédéral__export_GoogleDoc.html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519 octets est vide : il constitue un doublon sans contenu qui pollue le dossier du lot.</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LOT_1_Appel_B_Partie_3_Diff_D1.7_a_D1.10_Fédéral__export_GoogleDoc.html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519 octets est vide : il constitue un doublon sans contenu qui pollue le dossier du lot.</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LOT_1_Appel_B_V3_Argon_Partie_1_D1.1_a_D1.2__export_GoogleDoc.html</w:t>
            </w:r>
          </w:p>
        </w:tc>
        <w:tc>
          <w:tcPr>
            <w:tcW w:w="2350" w:type="dxa"/>
            <w:vAlign w:val="top"/>
          </w:tcPr>
          <w:p>
            <w:pPr>
              <w:spacing w:after="0"/>
            </w:pPr>
            <w:r>
              <w:rPr>
                <w:sz w:val="17"/>
                <w:szCs w:val="17"/>
              </w:rPr>
              <w:t xml:space="preserve">Fichier entier</w:t>
            </w:r>
          </w:p>
        </w:tc>
        <w:tc>
          <w:tcPr>
            <w:tcW w:w="2600" w:type="dxa"/>
            <w:vAlign w:val="top"/>
          </w:tcPr>
          <w:p>
            <w:pPr>
              <w:spacing w:after="0"/>
            </w:pPr>
            <w:r>
              <w:rPr>
                <w:i/>
                <w:sz w:val="17"/>
                <w:szCs w:val="17"/>
              </w:rPr>
              <w:t xml:space="preserve">« (document vide : aucun texte visible ; extrait impossible) »</w:t>
            </w:r>
          </w:p>
        </w:tc>
        <w:tc>
          <w:tcPr>
            <w:tcW w:w="3000" w:type="dxa"/>
            <w:vAlign w:val="top"/>
          </w:tcPr>
          <w:p>
            <w:pPr>
              <w:spacing w:after="40"/>
            </w:pPr>
            <w:r>
              <w:rPr>
                <w:sz w:val="17"/>
                <w:szCs w:val="17"/>
              </w:rPr>
              <w:t xml:space="preserve">Ce Google Doc de 596 octets ne contient qu'un titre renvoyant au chat : le contenu n'a jamais été déposé.</w:t>
            </w:r>
          </w:p>
          <w:p>
            <w:pPr>
              <w:spacing w:after="0"/>
            </w:pPr>
            <w:r>
              <w:rPr>
                <w:b/>
                <w:color w:val="145A32"/>
                <w:sz w:val="17"/>
                <w:szCs w:val="17"/>
              </w:rPr>
              <w:t xml:space="preserve">→ Déplacer le document dans CORBEILLE_DOUBLONS_OBSOLETES avec le suffixe _OBSOLETE_ (sans le mettre à la corbeille) et produire la Partie correspondante en .html.</w:t>
            </w:r>
          </w:p>
        </w:tc>
        <w:tc>
          <w:tcPr>
            <w:tcW w:w="1800" w:type="dxa"/>
            <w:vAlign w:val="top"/>
          </w:tcPr>
          <w:p>
            <w:pPr>
              <w:spacing w:after="0"/>
            </w:pPr>
            <w:r>
              <w:rPr>
                <w:sz w:val="17"/>
                <w:szCs w:val="17"/>
              </w:rPr>
              <w:t xml:space="preserve">PROMPT_V6 § 0 (sortie .html obligatoire, jamais de Google Docs) et § 4 (5 fichiers HTML, cadence 2-3-2-3) ; § 12 (aucun doublon, jamais de corbeille)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En-tête du fichier</w:t>
            </w:r>
          </w:p>
        </w:tc>
        <w:tc>
          <w:tcPr>
            <w:tcW w:w="2600" w:type="dxa"/>
            <w:vAlign w:val="top"/>
          </w:tcPr>
          <w:p>
            <w:pPr>
              <w:spacing w:after="0"/>
            </w:pPr>
            <w:r>
              <w:rPr>
                <w:i/>
                <w:sz w:val="17"/>
                <w:szCs w:val="17"/>
              </w:rPr>
              <w:t xml:space="preserve">« Cette édition réunit le SSP principal et les dix diagnostics du plan initial. »</w:t>
            </w:r>
          </w:p>
        </w:tc>
        <w:tc>
          <w:tcPr>
            <w:tcW w:w="3000" w:type="dxa"/>
            <w:vAlign w:val="top"/>
          </w:tcPr>
          <w:p>
            <w:pPr>
              <w:spacing w:after="40"/>
            </w:pPr>
            <w:r>
              <w:rPr>
                <w:sz w:val="17"/>
                <w:szCs w:val="17"/>
              </w:rPr>
              <w:t xml:space="preserve">Le fichier réunit SSP et dix DX dans une seule « Partie 1 », ce qui casse la cadence 2-3-2-3 ; l'Appel A HTML et les Parties 2 à 4 n'existent pas et les DX restent numérotés D1.x au lieu de DX.1–DX.10.</w:t>
            </w:r>
          </w:p>
          <w:p>
            <w:pPr>
              <w:spacing w:after="0"/>
            </w:pPr>
            <w:r>
              <w:rPr>
                <w:b/>
                <w:color w:val="145A32"/>
                <w:sz w:val="17"/>
                <w:szCs w:val="17"/>
              </w:rPr>
              <w:t xml:space="preserve">→ Scinder en cinq fichiers : Appel A (SSP + Bloc 2), Partie 1 DX.1–DX.2, Partie 2 DX.3–DX.5, Partie 3 DX.6–DX.7, Partie 4 DX.8–DX.10, avec les noms canoniques du § 4 et la numérotation DX.n.</w:t>
            </w:r>
          </w:p>
        </w:tc>
        <w:tc>
          <w:tcPr>
            <w:tcW w:w="1800" w:type="dxa"/>
            <w:vAlign w:val="top"/>
          </w:tcPr>
          <w:p>
            <w:pPr>
              <w:spacing w:after="0"/>
            </w:pPr>
            <w:r>
              <w:rPr>
                <w:sz w:val="17"/>
                <w:szCs w:val="17"/>
              </w:rPr>
              <w:t xml:space="preserve">PROMPT_V6 § 4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Fichier entier › point 9 des 11 monographies</w:t>
            </w:r>
          </w:p>
        </w:tc>
        <w:tc>
          <w:tcPr>
            <w:tcW w:w="2600" w:type="dxa"/>
            <w:vAlign w:val="top"/>
          </w:tcPr>
          <w:p>
            <w:pPr>
              <w:spacing w:after="0"/>
            </w:pPr>
            <w:r>
              <w:rPr>
                <w:i/>
                <w:sz w:val="17"/>
                <w:szCs w:val="17"/>
              </w:rPr>
              <w:t xml:space="preserve">« Le médecin dose TSH, T4 libre et, si nécessaire, T3, puis réalise un ECG si des palpitations sont présentes. »</w:t>
            </w:r>
          </w:p>
        </w:tc>
        <w:tc>
          <w:tcPr>
            <w:tcW w:w="3000" w:type="dxa"/>
            <w:vAlign w:val="top"/>
          </w:tcPr>
          <w:p>
            <w:pPr>
              <w:spacing w:after="40"/>
            </w:pPr>
            <w:r>
              <w:rPr>
                <w:sz w:val="17"/>
                <w:szCs w:val="17"/>
              </w:rPr>
              <w:t xml:space="preserve">Le fichier ne contient aucun tableau (0 balise &lt;table&gt;) : aucun examen (TSH, T4 libre, glycémie, métanéphrines, IAH, FSH, IGRA, hémogramme) ne reçoit de valeur normale SI, de seuil, de signification ni de conduite.</w:t>
            </w:r>
          </w:p>
          <w:p>
            <w:pPr>
              <w:spacing w:after="0"/>
            </w:pPr>
            <w:r>
              <w:rPr>
                <w:b/>
                <w:color w:val="145A32"/>
                <w:sz w:val="17"/>
                <w:szCs w:val="17"/>
              </w:rPr>
              <w:t xml:space="preserve">→ Ajouter pour chaque examen un tableau « Normal (SI) | Seuil | Signification | Conduite » ; par exemple Glycémie : seuil d'alerte &lt; 3,9 mmol/L, hypoglycémie cliniquement significative &lt; 3,0 mmol/L ; IAH : ≥ 5/h avec symptômes, ≥ 15/h sans symptômes ; et une fenêtre explicative par examen.</w:t>
            </w:r>
          </w:p>
        </w:tc>
        <w:tc>
          <w:tcPr>
            <w:tcW w:w="1800" w:type="dxa"/>
            <w:vAlign w:val="top"/>
          </w:tcPr>
          <w:p>
            <w:pPr>
              <w:spacing w:after="0"/>
            </w:pPr>
            <w:r>
              <w:rPr>
                <w:sz w:val="17"/>
                <w:szCs w:val="17"/>
              </w:rPr>
              <w:t xml:space="preserve">PROMPT_V6 § 5 point 9 et § 13 ; International Hypoglycaemia Study Group, Diabetologia 2017;60:3-6 ; ICSD-3 (AASM/ESRS) pour l'IAH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Fichier entier › blocs « Consulter les références et leur portée » (premier extrait : D1.6 › 11.D)</w:t>
            </w:r>
          </w:p>
        </w:tc>
        <w:tc>
          <w:tcPr>
            <w:tcW w:w="2600" w:type="dxa"/>
            <w:vAlign w:val="top"/>
          </w:tcPr>
          <w:p>
            <w:pPr>
              <w:spacing w:after="0"/>
            </w:pPr>
            <w:r>
              <w:rPr>
                <w:i/>
                <w:sz w:val="17"/>
                <w:szCs w:val="17"/>
              </w:rPr>
              <w:t xml:space="preserve">« Les Standards ADA 2026 rappellent la correction initiale par glucose rapide chez la personne consciente »</w:t>
            </w:r>
          </w:p>
        </w:tc>
        <w:tc>
          <w:tcPr>
            <w:tcW w:w="3000" w:type="dxa"/>
            <w:vAlign w:val="top"/>
          </w:tcPr>
          <w:p>
            <w:pPr>
              <w:spacing w:after="40"/>
            </w:pPr>
            <w:r>
              <w:rPr>
                <w:sz w:val="17"/>
                <w:szCs w:val="17"/>
              </w:rPr>
              <w:t xml:space="preserve">Le fichier n'a pas de section Sources numérotée [S1]…[Sn] datée ni la mention de non-validation ; ses seules références externes sont américaines (ADA 2026, Endocrine Society 2014) ou britannique grand public (NHS), et la plupart des monographies ne citent que le Google Doc de départ.</w:t>
            </w:r>
          </w:p>
          <w:p>
            <w:pPr>
              <w:spacing w:after="0"/>
            </w:pPr>
            <w:r>
              <w:rPr>
                <w:b/>
                <w:color w:val="145A32"/>
                <w:sz w:val="17"/>
                <w:szCs w:val="17"/>
              </w:rPr>
              <w:t xml:space="preserve">→ Créer une section Sources [S1]…[Sn] (titre, organisme, année, URL, date de consultation), remplacer ADA par JBDS-IP 2018/2023 ou SSED, Endocrine Society par la prise de position ESH 2020 (Lenders et al., J Hypertens 2020;38:1443-1456), NHS par ETA 2018 ; ajouter « Contenu produit par IA à partir des sources citées ; non validé cliniquement par un médecin. »</w:t>
            </w:r>
          </w:p>
        </w:tc>
        <w:tc>
          <w:tcPr>
            <w:tcW w:w="1800" w:type="dxa"/>
            <w:vAlign w:val="top"/>
          </w:tcPr>
          <w:p>
            <w:pPr>
              <w:spacing w:after="0"/>
            </w:pPr>
            <w:r>
              <w:rPr>
                <w:sz w:val="17"/>
                <w:szCs w:val="17"/>
              </w:rPr>
              <w:t xml:space="preserve">PROMPT_V6 § 3.2 (aucune recommandation exclusivement américaine) et § 3.8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Fichier entier › point 11.B des 11 monographies (exemple D1.7)</w:t>
            </w:r>
          </w:p>
        </w:tc>
        <w:tc>
          <w:tcPr>
            <w:tcW w:w="2600" w:type="dxa"/>
            <w:vAlign w:val="top"/>
          </w:tcPr>
          <w:p>
            <w:pPr>
              <w:spacing w:after="0"/>
            </w:pPr>
            <w:r>
              <w:rPr>
                <w:i/>
                <w:sz w:val="17"/>
                <w:szCs w:val="17"/>
              </w:rPr>
              <w:t xml:space="preserve">« Les antithyroïdiens traitent une synthèse excessive mais ne constituent pas le traitement habituel d'une thyroïdite destructrice. »</w:t>
            </w:r>
          </w:p>
        </w:tc>
        <w:tc>
          <w:tcPr>
            <w:tcW w:w="3000" w:type="dxa"/>
            <w:vAlign w:val="top"/>
          </w:tcPr>
          <w:p>
            <w:pPr>
              <w:spacing w:after="40"/>
            </w:pPr>
            <w:r>
              <w:rPr>
                <w:sz w:val="17"/>
                <w:szCs w:val="17"/>
              </w:rPr>
              <w:t xml:space="preserve">Aucune monographie ne donne de classe, de DCI, de spécialité suisse ®, de dose, de voie, de durée, d'adaptation rénale ni de contre-indication : le point 11.B est vidé de toute pharmacologie (chlorure d'aluminium, toxine botulique, œstradiol, glucagon, carbimazole, quadrithérapie antituberculeuse, alpha-bloquant).</w:t>
            </w:r>
          </w:p>
          <w:p>
            <w:pPr>
              <w:spacing w:after="0"/>
            </w:pPr>
            <w:r>
              <w:rPr>
                <w:b/>
                <w:color w:val="145A32"/>
                <w:sz w:val="17"/>
                <w:szCs w:val="17"/>
              </w:rPr>
              <w:t xml:space="preserve">→ Rédiger 11.B selon le schéma ① classe ② DCI + fenêtre mécanisme ③ spécialité suisse ® vérifiée dans l'AIPS ④ dose, voie, rythme, adaptation rénale et hépatique ⑤ durée ⑥ contre-indications ; exemple D1.1 : « Toxine botulique A (BOTOX®) : 50 U intradermiques par aisselle (100 U dans 4,0 mL de NaCl 0,9 %), points espacés de 1 à 2 cm, répétition au plus tôt après 16 semaines. »</w:t>
            </w:r>
          </w:p>
        </w:tc>
        <w:tc>
          <w:tcPr>
            <w:tcW w:w="1800" w:type="dxa"/>
            <w:vAlign w:val="top"/>
          </w:tcPr>
          <w:p>
            <w:pPr>
              <w:spacing w:after="0"/>
            </w:pPr>
            <w:r>
              <w:rPr>
                <w:sz w:val="17"/>
                <w:szCs w:val="17"/>
              </w:rPr>
              <w:t xml:space="preserve">Swissmedic — Information professionnelle BOTOX® (AbbVie AG, n° 52433), état mai 2025, rubriques Indications et Posologie « Hyperhidrosis axillae primaire » — https://ch.oddb.org/de/gcc/fachinfo/reg/52433 (reproduction de l'AIPS) — consulté le 22.10.2026 ; PROMPT_V6 § 5 point 11.B</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SSP G1 › point 3 Physiopathologie</w:t>
            </w:r>
          </w:p>
        </w:tc>
        <w:tc>
          <w:tcPr>
            <w:tcW w:w="2600" w:type="dxa"/>
            <w:vAlign w:val="top"/>
          </w:tcPr>
          <w:p>
            <w:pPr>
              <w:spacing w:after="0"/>
            </w:pPr>
            <w:r>
              <w:rPr>
                <w:i/>
                <w:sz w:val="17"/>
                <w:szCs w:val="17"/>
              </w:rPr>
              <w:t xml:space="preserve">« La sudation dépend des voies autonomes et de la thermorégulation. »</w:t>
            </w:r>
          </w:p>
        </w:tc>
        <w:tc>
          <w:tcPr>
            <w:tcW w:w="3000" w:type="dxa"/>
            <w:vAlign w:val="top"/>
          </w:tcPr>
          <w:p>
            <w:pPr>
              <w:spacing w:after="40"/>
            </w:pPr>
            <w:r>
              <w:rPr>
                <w:sz w:val="17"/>
                <w:szCs w:val="17"/>
              </w:rPr>
              <w:t xml:space="preserve">La physiopathologie se réduit à deux phrases génériques sans mécanisme : elle perd la voie sympathique cholinergique, les récepteurs muscariniques M3 et le rôle du thermostat hypothalamique, pourtant présents dans l'Appel A.</w:t>
            </w:r>
          </w:p>
          <w:p>
            <w:pPr>
              <w:spacing w:after="0"/>
            </w:pPr>
            <w:r>
              <w:rPr>
                <w:b/>
                <w:color w:val="145A32"/>
                <w:sz w:val="17"/>
                <w:szCs w:val="17"/>
              </w:rPr>
              <w:t xml:space="preserve">→ Rétablir : « Les fibres sympathiques post-ganglionnaires libèrent de l'acétylcholine sur les récepteurs muscariniques M3 des glandes eccrines ; dans l'hyperhidrose primaire, les glandes ne sont ni plus nombreuses ni plus grandes mais surstimulées. » Ajouter une fenêtre pour chaque voie secondaire (pyrogènes, catécholamines, carence œstrogénique).</w:t>
            </w:r>
          </w:p>
        </w:tc>
        <w:tc>
          <w:tcPr>
            <w:tcW w:w="1800" w:type="dxa"/>
            <w:vAlign w:val="top"/>
          </w:tcPr>
          <w:p>
            <w:pPr>
              <w:spacing w:after="0"/>
            </w:pPr>
            <w:r>
              <w:rPr>
                <w:sz w:val="17"/>
                <w:szCs w:val="17"/>
              </w:rPr>
              <w:t xml:space="preserve">AWMF/DDG — S1-Leitlinie 013-059 « Definition und Therapie der primären Hyperhidrose », 2023 (valable jusqu'au 18.02.2028) — https://register.awmf.org/assets/guidelines/013-059l_S1_Definition-Therapie-primaeren-Hyperhidrose_2023-07.pdf — consulté le 22.10.2026 (§ 1.1 Pathophysiologie)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D1.8 › point 1 Définition (et points 2, 3, 9, 11.B)</w:t>
            </w:r>
          </w:p>
        </w:tc>
        <w:tc>
          <w:tcPr>
            <w:tcW w:w="2600" w:type="dxa"/>
            <w:vAlign w:val="top"/>
          </w:tcPr>
          <w:p>
            <w:pPr>
              <w:spacing w:after="0"/>
            </w:pPr>
            <w:r>
              <w:rPr>
                <w:i/>
                <w:sz w:val="17"/>
                <w:szCs w:val="17"/>
              </w:rPr>
              <w:t xml:space="preserve">« Les infections mycosiques pulmonaires constituent un groupe distinct qui dépend de l'exposition et du terrain. »</w:t>
            </w:r>
          </w:p>
        </w:tc>
        <w:tc>
          <w:tcPr>
            <w:tcW w:w="3000" w:type="dxa"/>
            <w:vAlign w:val="top"/>
          </w:tcPr>
          <w:p>
            <w:pPr>
              <w:spacing w:after="40"/>
            </w:pPr>
            <w:r>
              <w:rPr>
                <w:sz w:val="17"/>
                <w:szCs w:val="17"/>
              </w:rPr>
              <w:t xml:space="preserve">La monographie de la tuberculose contient des phrases sur les mycoses pulmonaires issues d'un autre lot, hors du DX annoncé, ce qui brouille la définition et la prise en charge.</w:t>
            </w:r>
          </w:p>
          <w:p>
            <w:pPr>
              <w:spacing w:after="0"/>
            </w:pPr>
            <w:r>
              <w:rPr>
                <w:b/>
                <w:color w:val="145A32"/>
                <w:sz w:val="17"/>
                <w:szCs w:val="17"/>
              </w:rPr>
              <w:t xml:space="preserve">→ Supprimer toutes les phrases relatives aux mycoses dans D1.8 et les remplacer par le contenu tuberculeux propre (définition du complexe M. tuberculosis, transmission aérienne, déclaration obligatoire).</w:t>
            </w:r>
          </w:p>
        </w:tc>
        <w:tc>
          <w:tcPr>
            <w:tcW w:w="1800" w:type="dxa"/>
            <w:vAlign w:val="top"/>
          </w:tcPr>
          <w:p>
            <w:pPr>
              <w:spacing w:after="0"/>
            </w:pPr>
            <w:r>
              <w:rPr>
                <w:sz w:val="17"/>
                <w:szCs w:val="17"/>
              </w:rPr>
              <w:t xml:space="preserve">PROMPT_V6 § 5 et § 8 (monographie du DX annoncé) ; Ligue pulmonaire suisse/OFSP — Manuel de la tuberculose, 2021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L1-M19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D1.5 › point 1 Définition (et points 2, 8, 14)</w:t>
            </w:r>
          </w:p>
        </w:tc>
        <w:tc>
          <w:tcPr>
            <w:tcW w:w="2600" w:type="dxa"/>
            <w:vAlign w:val="top"/>
          </w:tcPr>
          <w:p>
            <w:pPr>
              <w:spacing w:after="0"/>
            </w:pPr>
            <w:r>
              <w:rPr>
                <w:i/>
                <w:sz w:val="17"/>
                <w:szCs w:val="17"/>
              </w:rPr>
              <w:t xml:space="preserve">« Un trouble à symptomatologie somatique implique une réponse disproportionnée et persistante aux symptômes, qu'une maladie somatique soit présente ou non. »</w:t>
            </w:r>
          </w:p>
        </w:tc>
        <w:tc>
          <w:tcPr>
            <w:tcW w:w="3000" w:type="dxa"/>
            <w:vAlign w:val="top"/>
          </w:tcPr>
          <w:p>
            <w:pPr>
              <w:spacing w:after="40"/>
            </w:pPr>
            <w:r>
              <w:rPr>
                <w:sz w:val="17"/>
                <w:szCs w:val="17"/>
              </w:rPr>
              <w:t xml:space="preserve">La monographie du trouble panique introduit le trouble à symptomatologie somatique, un autre diagnostic, issu d'un autre lot ; le lecteur confond deux entités distinctes.</w:t>
            </w:r>
          </w:p>
          <w:p>
            <w:pPr>
              <w:spacing w:after="0"/>
            </w:pPr>
            <w:r>
              <w:rPr>
                <w:b/>
                <w:color w:val="145A32"/>
                <w:sz w:val="17"/>
                <w:szCs w:val="17"/>
              </w:rPr>
              <w:t xml:space="preserve">→ Supprimer les phrases sur le trouble à symptomatologie somatique et définir le trouble panique (attaques inattendues récurrentes, au moins un mois d'inquiétude persistante ou de changement de comportement).</w:t>
            </w:r>
          </w:p>
        </w:tc>
        <w:tc>
          <w:tcPr>
            <w:tcW w:w="1800" w:type="dxa"/>
            <w:vAlign w:val="top"/>
          </w:tcPr>
          <w:p>
            <w:pPr>
              <w:spacing w:after="0"/>
            </w:pPr>
            <w:r>
              <w:rPr>
                <w:sz w:val="17"/>
                <w:szCs w:val="17"/>
              </w:rPr>
              <w:t xml:space="preserve">OMS — CIM-11, 6B01 Trouble panique, 2022 — https://icd.who.int/browse/2024-01/mms/fr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L1-M20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D1.6 › point 8 Critères</w:t>
            </w:r>
          </w:p>
        </w:tc>
        <w:tc>
          <w:tcPr>
            <w:tcW w:w="2600" w:type="dxa"/>
            <w:vAlign w:val="top"/>
          </w:tcPr>
          <w:p>
            <w:pPr>
              <w:spacing w:after="0"/>
            </w:pPr>
            <w:r>
              <w:rPr>
                <w:i/>
                <w:sz w:val="17"/>
                <w:szCs w:val="17"/>
              </w:rPr>
              <w:t xml:space="preserve">« la triade de Whipple associe symptômes compatibles, glycémie basse documentée et amélioration après correction »</w:t>
            </w:r>
          </w:p>
        </w:tc>
        <w:tc>
          <w:tcPr>
            <w:tcW w:w="3000" w:type="dxa"/>
            <w:vAlign w:val="top"/>
          </w:tcPr>
          <w:p>
            <w:pPr>
              <w:spacing w:after="40"/>
            </w:pPr>
            <w:r>
              <w:rPr>
                <w:sz w:val="17"/>
                <w:szCs w:val="17"/>
              </w:rPr>
              <w:t xml:space="preserve">Le texte emploie le terme vague « glycémie basse » que le prompt interdit nommément et ne donne aucun seuil chiffré pour la triade de Whipple.</w:t>
            </w:r>
          </w:p>
          <w:p>
            <w:pPr>
              <w:spacing w:after="0"/>
            </w:pPr>
            <w:r>
              <w:rPr>
                <w:b/>
                <w:color w:val="145A32"/>
                <w:sz w:val="17"/>
                <w:szCs w:val="17"/>
              </w:rPr>
              <w:t xml:space="preserve">→ Écrire : « La triade de Whipple associe des symptômes compatibles, une glycémie plasmatique mesurée &lt; 3,0 mmol/L au moment des symptômes et leur disparition après correction. »</w:t>
            </w:r>
          </w:p>
        </w:tc>
        <w:tc>
          <w:tcPr>
            <w:tcW w:w="1800" w:type="dxa"/>
            <w:vAlign w:val="top"/>
          </w:tcPr>
          <w:p>
            <w:pPr>
              <w:spacing w:after="0"/>
            </w:pPr>
            <w:r>
              <w:rPr>
                <w:sz w:val="17"/>
                <w:szCs w:val="17"/>
              </w:rPr>
              <w:t xml:space="preserve">International Hypoglycaemia Study Group — Glucose concentrations of less than 3.0 mmol/l should be reported in clinical trials, Diabetologia 2017;60:3-6 ; PROMPT_V6 § 6.7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L1-M21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D1.6 › point 11.B Moyens</w:t>
            </w:r>
          </w:p>
        </w:tc>
        <w:tc>
          <w:tcPr>
            <w:tcW w:w="2600" w:type="dxa"/>
            <w:vAlign w:val="top"/>
          </w:tcPr>
          <w:p>
            <w:pPr>
              <w:spacing w:after="0"/>
            </w:pPr>
            <w:r>
              <w:rPr>
                <w:i/>
                <w:sz w:val="17"/>
                <w:szCs w:val="17"/>
              </w:rPr>
              <w:t xml:space="preserve">« Le glucose IV ou le glucagon s'utilise selon la gravité et l'accès, puis la cause et le risque de récidive sont traités. »</w:t>
            </w:r>
          </w:p>
        </w:tc>
        <w:tc>
          <w:tcPr>
            <w:tcW w:w="3000" w:type="dxa"/>
            <w:vAlign w:val="top"/>
          </w:tcPr>
          <w:p>
            <w:pPr>
              <w:spacing w:after="40"/>
            </w:pPr>
            <w:r>
              <w:rPr>
                <w:sz w:val="17"/>
                <w:szCs w:val="17"/>
              </w:rPr>
              <w:t xml:space="preserve">La conduite d'urgence de l'hypoglycémie sévère ne donne ni dose, ni voie, ni spécialité : un candidat ne peut pas traiter un patient inconscient avec ce texte.</w:t>
            </w:r>
          </w:p>
          <w:p>
            <w:pPr>
              <w:spacing w:after="0"/>
            </w:pPr>
            <w:r>
              <w:rPr>
                <w:b/>
                <w:color w:val="145A32"/>
                <w:sz w:val="17"/>
                <w:szCs w:val="17"/>
              </w:rPr>
              <w:t xml:space="preserve">→ Écrire : « Si le patient ne peut pas avaler et qu'un accès veineux existe, l'équipe perfuse 75 à 100 mL de glucose 20 % (ou 150 à 200 mL de glucose 10 %) en 15 minutes ; sans accès veineux, elle injecte 1 mg de glucagon IM (GlucaGen®) ou administre 3 mg de glucagon nasal (Baqsimi®), puis contrôle la glycémie après 10 à 15 minutes. » Vérifier les doses dans l'AIPS.</w:t>
            </w:r>
          </w:p>
        </w:tc>
        <w:tc>
          <w:tcPr>
            <w:tcW w:w="1800" w:type="dxa"/>
            <w:vAlign w:val="top"/>
          </w:tcPr>
          <w:p>
            <w:pPr>
              <w:spacing w:after="0"/>
            </w:pPr>
            <w:r>
              <w:rPr>
                <w:sz w:val="17"/>
                <w:szCs w:val="17"/>
              </w:rPr>
              <w:t xml:space="preserve">JBDS-IP — The Hospital Management of Hypoglycaemia in Adults with Diabetes Mellitus, 2018 (révision 2023), § IV glucose et glucagon — https://diabetestimes.co.uk/wp-content/uploads/2018/03/JBDS_HypoGuideline.pdf-FINAL-08.03.181.pdf — consulté le 22.10.2026 ; Registre des médicaments autorisés par Swissmedic, recherche par nom de spécialité — https://ch.oddb.org (reproduction de l'AIPS/Swissmedic) — consulté le 22.10.2026 (GlucaGen Novo, Baqsimi)</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L1-M25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2 › liste D1.1–D1.10 › badges (10 occurrences, première D1.1)</w:t>
            </w:r>
          </w:p>
        </w:tc>
        <w:tc>
          <w:tcPr>
            <w:tcW w:w="2600" w:type="dxa"/>
            <w:vAlign w:val="top"/>
          </w:tcPr>
          <w:p>
            <w:pPr>
              <w:spacing w:after="0"/>
            </w:pPr>
            <w:r>
              <w:rPr>
                <w:i/>
                <w:sz w:val="17"/>
                <w:szCs w:val="17"/>
              </w:rPr>
              <w:t xml:space="preserve">« D1.3 — Syndrome d'apnées obstructives du sommeil (SAOS) 33 % »</w:t>
            </w:r>
          </w:p>
        </w:tc>
        <w:tc>
          <w:tcPr>
            <w:tcW w:w="3000" w:type="dxa"/>
            <w:vAlign w:val="top"/>
          </w:tcPr>
          <w:p>
            <w:pPr>
              <w:spacing w:after="40"/>
            </w:pPr>
            <w:r>
              <w:rPr>
                <w:sz w:val="17"/>
                <w:szCs w:val="17"/>
              </w:rPr>
              <w:t xml:space="preserve">Les dix pourcentages ne sont pas des fréquences comparables (populations différentes) et s'appuient sur des sources américaines (AAFP, ADA, Endocrine Society) ou non datées et sans URL (« Revue Médicale Suisse », « SSGO ») : aucun badge n'est vérifiable.</w:t>
            </w:r>
          </w:p>
          <w:p>
            <w:pPr>
              <w:spacing w:after="0"/>
            </w:pPr>
            <w:r>
              <w:rPr>
                <w:b/>
                <w:color w:val="145A32"/>
                <w:sz w:val="17"/>
                <w:szCs w:val="17"/>
              </w:rPr>
              <w:t xml:space="preserve">→ Remplacer chaque badge par « Ne rang — fréquence non quantifiée (Suisse) », sauf chiffre issu d'une source suisse ou européenne lue et datée, et annoncer le critère d'ordre (fréquence pondérée par la gravité).</w:t>
            </w:r>
          </w:p>
        </w:tc>
        <w:tc>
          <w:tcPr>
            <w:tcW w:w="1800" w:type="dxa"/>
            <w:vAlign w:val="top"/>
          </w:tcPr>
          <w:p>
            <w:pPr>
              <w:spacing w:after="0"/>
            </w:pPr>
            <w:r>
              <w:rPr>
                <w:sz w:val="17"/>
                <w:szCs w:val="17"/>
              </w:rPr>
              <w:t xml:space="preserve">PROMPT_V6 § 8 (badge seulement s'il est sourcé) et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L1-M26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4 et Bloc 2 › liste des 10 DX</w:t>
            </w:r>
          </w:p>
        </w:tc>
        <w:tc>
          <w:tcPr>
            <w:tcW w:w="2600" w:type="dxa"/>
            <w:vAlign w:val="top"/>
          </w:tcPr>
          <w:p>
            <w:pPr>
              <w:spacing w:after="0"/>
            </w:pPr>
            <w:r>
              <w:rPr>
                <w:i/>
                <w:sz w:val="17"/>
                <w:szCs w:val="17"/>
              </w:rPr>
              <w:t xml:space="preserve">« les infections granulomateuses ou bactériennes profondes, les urgences endocriniennes (hypoglycémie, phéochromocytome) et les urgences cardiovasculaires aiguës »</w:t>
            </w:r>
          </w:p>
        </w:tc>
        <w:tc>
          <w:tcPr>
            <w:tcW w:w="3000" w:type="dxa"/>
            <w:vAlign w:val="top"/>
          </w:tcPr>
          <w:p>
            <w:pPr>
              <w:spacing w:after="40"/>
            </w:pPr>
            <w:r>
              <w:rPr>
                <w:sz w:val="17"/>
                <w:szCs w:val="17"/>
              </w:rPr>
              <w:t xml:space="preserve">Le point 4 annonce les infections bactériennes profondes et les urgences cardiovasculaires comme hypothèses graves, mais la liste DX omet l'endocardite infectieuse, l'infection par le VIH et le syndrome coronarien aigu, qui sont des causes à « ne pas manquer » de sueurs.</w:t>
            </w:r>
          </w:p>
          <w:p>
            <w:pPr>
              <w:spacing w:after="0"/>
            </w:pPr>
            <w:r>
              <w:rPr>
                <w:b/>
                <w:color w:val="145A32"/>
                <w:sz w:val="17"/>
                <w:szCs w:val="17"/>
              </w:rPr>
              <w:t xml:space="preserve">→ Intégrer l'endocardite infectieuse (et les infections bactériennes profondes) comme DX à part entière, ajouter l'infection VIH dans le DX infectieux, et traiter le syndrome coronarien aigu avec diaphorèse dans les drapeaux rouges et l'algorithme ; réordonner la liste selon la fréquence pondérée par la gravité.</w:t>
            </w:r>
          </w:p>
        </w:tc>
        <w:tc>
          <w:tcPr>
            <w:tcW w:w="1800" w:type="dxa"/>
            <w:vAlign w:val="top"/>
          </w:tcPr>
          <w:p>
            <w:pPr>
              <w:spacing w:after="0"/>
            </w:pPr>
            <w:r>
              <w:rPr>
                <w:sz w:val="17"/>
                <w:szCs w:val="17"/>
              </w:rPr>
              <w:t xml:space="preserve">ESC — 2023 ESC Guidelines for the management of endocarditis, Delgado V et al., Eur Heart J 2023;44:3948-4042 ; ESC — 2023 ESC Guidelines for the management of acute coronary syndromes, Eur Heart J 2023;44:3720-3826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L1-M27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2 › après la liste D1.1–D1.10</w:t>
            </w:r>
          </w:p>
        </w:tc>
        <w:tc>
          <w:tcPr>
            <w:tcW w:w="2600" w:type="dxa"/>
            <w:vAlign w:val="top"/>
          </w:tcPr>
          <w:p>
            <w:pPr>
              <w:spacing w:after="0"/>
            </w:pPr>
            <w:r>
              <w:rPr>
                <w:i/>
                <w:sz w:val="17"/>
                <w:szCs w:val="17"/>
              </w:rPr>
              <w:t xml:space="preserve">« BLOC 2 : LISTE ORDONNÉE DES 10 DIAGNOSTICS DIFFÉRENTIELS »</w:t>
            </w:r>
          </w:p>
        </w:tc>
        <w:tc>
          <w:tcPr>
            <w:tcW w:w="3000" w:type="dxa"/>
            <w:vAlign w:val="top"/>
          </w:tcPr>
          <w:p>
            <w:pPr>
              <w:spacing w:after="40"/>
            </w:pPr>
            <w:r>
              <w:rPr>
                <w:sz w:val="17"/>
                <w:szCs w:val="17"/>
              </w:rPr>
              <w:t xml:space="preserve">Le Bloc 2 ne contient ni la justification de chaque DX, ni le tableau comparatif (signe clé, examen clé, mécanisme, conduite immédiate), ni l'algorithme discriminant exigés.</w:t>
            </w:r>
          </w:p>
          <w:p>
            <w:pPr>
              <w:spacing w:after="0"/>
            </w:pPr>
            <w:r>
              <w:rPr>
                <w:b/>
                <w:color w:val="145A32"/>
                <w:sz w:val="17"/>
                <w:szCs w:val="17"/>
              </w:rPr>
              <w:t xml:space="preserve">→ Ajouter une justification d'une à deux phrases par DX, un tableau comparatif des 10 DX à quatre colonnes et un algorithme qui montre quel signe ou quel examen fait passer d'un DX à l'autre.</w:t>
            </w:r>
          </w:p>
        </w:tc>
        <w:tc>
          <w:tcPr>
            <w:tcW w:w="1800" w:type="dxa"/>
            <w:vAlign w:val="top"/>
          </w:tcPr>
          <w:p>
            <w:pPr>
              <w:spacing w:after="0"/>
            </w:pPr>
            <w:r>
              <w:rPr>
                <w:sz w:val="17"/>
                <w:szCs w:val="17"/>
              </w:rPr>
              <w:t xml:space="preserve">PROMPT_V6 § 4.1 et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L1-M28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2 Épidémiologie</w:t>
            </w:r>
          </w:p>
        </w:tc>
        <w:tc>
          <w:tcPr>
            <w:tcW w:w="2600" w:type="dxa"/>
            <w:vAlign w:val="top"/>
          </w:tcPr>
          <w:p>
            <w:pPr>
              <w:spacing w:after="0"/>
            </w:pPr>
            <w:r>
              <w:rPr>
                <w:i/>
                <w:sz w:val="17"/>
                <w:szCs w:val="17"/>
              </w:rPr>
              <w:t xml:space="preserve">« la prévalence transversale des sueurs nocturnes atteint 10 % à 41 % des patients adultes »</w:t>
            </w:r>
          </w:p>
        </w:tc>
        <w:tc>
          <w:tcPr>
            <w:tcW w:w="3000" w:type="dxa"/>
            <w:vAlign w:val="top"/>
          </w:tcPr>
          <w:p>
            <w:pPr>
              <w:spacing w:after="40"/>
            </w:pPr>
            <w:r>
              <w:rPr>
                <w:sz w:val="17"/>
                <w:szCs w:val="17"/>
              </w:rPr>
              <w:t xml:space="preserve">Les chiffres d'épidémiologie ne citent aucune source ; la fourchette 10–41 % provient d'études de soins primaires nord-américaines et n'est pas une donnée suisse comme le titre l'affirme.</w:t>
            </w:r>
          </w:p>
          <w:p>
            <w:pPr>
              <w:spacing w:after="0"/>
            </w:pPr>
            <w:r>
              <w:rPr>
                <w:b/>
                <w:color w:val="145A32"/>
                <w:sz w:val="17"/>
                <w:szCs w:val="17"/>
              </w:rPr>
              <w:t xml:space="preserve">→ Citer chaque chiffre avec sa source lue et datée, préciser la population d'origine, ou écrire « donnée non trouvée dans les sources consultées » pour la Suisse.</w:t>
            </w:r>
          </w:p>
        </w:tc>
        <w:tc>
          <w:tcPr>
            <w:tcW w:w="1800" w:type="dxa"/>
            <w:vAlign w:val="top"/>
          </w:tcPr>
          <w:p>
            <w:pPr>
              <w:spacing w:after="0"/>
            </w:pPr>
            <w:r>
              <w:rPr>
                <w:sz w:val="17"/>
                <w:szCs w:val="17"/>
              </w:rPr>
              <w:t xml:space="preserve">PROMPT_V6 § 3.1, § 3.7 et § 5 point 2 ; donnée non trouvée dans les sources consultées pour la Suisse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L1-M32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11.B Moyens et méthodes</w:t>
            </w:r>
          </w:p>
        </w:tc>
        <w:tc>
          <w:tcPr>
            <w:tcW w:w="2600" w:type="dxa"/>
            <w:vAlign w:val="top"/>
          </w:tcPr>
          <w:p>
            <w:pPr>
              <w:spacing w:after="0"/>
            </w:pPr>
            <w:r>
              <w:rPr>
                <w:i/>
                <w:sz w:val="17"/>
                <w:szCs w:val="17"/>
              </w:rPr>
              <w:t xml:space="preserve">« les injections de Toxine botulique de sérotype A constituent la référence pour les formes axillaires ou palmaires sévères »</w:t>
            </w:r>
          </w:p>
        </w:tc>
        <w:tc>
          <w:tcPr>
            <w:tcW w:w="3000" w:type="dxa"/>
            <w:vAlign w:val="top"/>
          </w:tcPr>
          <w:p>
            <w:pPr>
              <w:spacing w:after="40"/>
            </w:pPr>
            <w:r>
              <w:rPr>
                <w:sz w:val="17"/>
                <w:szCs w:val="17"/>
              </w:rPr>
              <w:t xml:space="preserve">Le point 11.B ne donne aucune spécialité, dose, voie ni durée et présente l'usage palmaire comme une référence sans préciser qu'il est hors autorisation en Suisse (BOTOX® n'est autorisé que pour l'hyperhidrose axillaire primaire de l'adulte).</w:t>
            </w:r>
          </w:p>
          <w:p>
            <w:pPr>
              <w:spacing w:after="0"/>
            </w:pPr>
            <w:r>
              <w:rPr>
                <w:b/>
                <w:color w:val="145A32"/>
                <w:sz w:val="17"/>
                <w:szCs w:val="17"/>
              </w:rPr>
              <w:t xml:space="preserve">→ Écrire : « La toxine botulique A (BOTOX®) est autorisée en Suisse pour l'hyperhidrose axillaire primaire de l'adulte, à 50 U intradermiques par aisselle ; l'usage palmaire (habituellement 100 U par main) reste hors étiquette et expose à une faiblesse transitoire de la pince. » Compléter les items ① à ⑥ pour chaque traitement.</w:t>
            </w:r>
          </w:p>
        </w:tc>
        <w:tc>
          <w:tcPr>
            <w:tcW w:w="1800" w:type="dxa"/>
            <w:vAlign w:val="top"/>
          </w:tcPr>
          <w:p>
            <w:pPr>
              <w:spacing w:after="0"/>
            </w:pPr>
            <w:r>
              <w:rPr>
                <w:sz w:val="17"/>
                <w:szCs w:val="17"/>
              </w:rPr>
              <w:t xml:space="preserve">Swissmedic — Information professionnelle BOTOX® (AbbVie AG, n° 52433), état mai 2025, rubriques Indications et Posologie « Hyperhidrosis axillae primaire » — https://ch.oddb.org/de/gcc/fachinfo/reg/52433 (reproduction de l'AIPS) — consulté le 22.10.2026 ; AWMF/DDG — S1-Leitlinie 013-059 « Definition und Therapie der primären Hyperhidrose », 2023 (valable jusqu'au 18.02.2028) — https://register.awmf.org/assets/guidelines/013-059l_S1_Definition-Therapie-primaeren-Hyperhidrose_2023-07.pdf — consulté le 22.10.2026 (§ 2.1.3)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L1-M35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11.B › 2e et 3e intentions</w:t>
            </w:r>
          </w:p>
        </w:tc>
        <w:tc>
          <w:tcPr>
            <w:tcW w:w="2600" w:type="dxa"/>
            <w:vAlign w:val="top"/>
          </w:tcPr>
          <w:p>
            <w:pPr>
              <w:spacing w:after="0"/>
            </w:pPr>
            <w:r>
              <w:rPr>
                <w:i/>
                <w:sz w:val="17"/>
                <w:szCs w:val="17"/>
              </w:rPr>
              <w:t xml:space="preserve">« Botox 50 à 100 U par aisselle ou 100 U par paume »</w:t>
            </w:r>
          </w:p>
        </w:tc>
        <w:tc>
          <w:tcPr>
            <w:tcW w:w="3000" w:type="dxa"/>
            <w:vAlign w:val="top"/>
          </w:tcPr>
          <w:p>
            <w:pPr>
              <w:spacing w:after="40"/>
            </w:pPr>
            <w:r>
              <w:rPr>
                <w:sz w:val="17"/>
                <w:szCs w:val="17"/>
              </w:rPr>
              <w:t xml:space="preserve">La dose de 100 U par aisselle dépasse l'information professionnelle suisse, qui fixe 50 U par aisselle et ne recommande pas d'autre dose ; l'indication palmaire n'est pas autorisée en Suisse et n'est pas signalée comme hors étiquette ; « 20 à 40 injections espacées de 1,5 cm » ne correspond pas à l'information professionnelle.</w:t>
            </w:r>
          </w:p>
          <w:p>
            <w:pPr>
              <w:spacing w:after="0"/>
            </w:pPr>
            <w:r>
              <w:rPr>
                <w:b/>
                <w:color w:val="145A32"/>
                <w:sz w:val="17"/>
                <w:szCs w:val="17"/>
              </w:rPr>
              <w:t xml:space="preserve">→ Écrire : « BOTOX® : 50 U par aisselle (100 U reconstituées dans 4,0 mL de NaCl 0,9 %), injectées en intradermique en plusieurs points espacés de 1 à 2 cm, après délimitation par le test de Minor ; répétition au plus tôt après 16 semaines. Usage palmaire hors étiquette en Suisse. »</w:t>
            </w:r>
          </w:p>
        </w:tc>
        <w:tc>
          <w:tcPr>
            <w:tcW w:w="1800" w:type="dxa"/>
            <w:vAlign w:val="top"/>
          </w:tcPr>
          <w:p>
            <w:pPr>
              <w:spacing w:after="0"/>
            </w:pPr>
            <w:r>
              <w:rPr>
                <w:sz w:val="17"/>
                <w:szCs w:val="17"/>
              </w:rPr>
              <w:t xml:space="preserve">Swissmedic — Information professionnelle BOTOX® (AbbVie AG, n° 52433), état mai 2025, rubriques Indications et Posologie « Hyperhidrosis axillae primaire » — https://ch.oddb.org/de/gcc/fachinfo/reg/52433 (reproduction de l'AIPS)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L1-M44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3 › D1.7 › point 11.B › 1re intention curative</w:t>
            </w:r>
          </w:p>
        </w:tc>
        <w:tc>
          <w:tcPr>
            <w:tcW w:w="2600" w:type="dxa"/>
            <w:vAlign w:val="top"/>
          </w:tcPr>
          <w:p>
            <w:pPr>
              <w:spacing w:after="0"/>
            </w:pPr>
            <w:r>
              <w:rPr>
                <w:i/>
                <w:sz w:val="17"/>
                <w:szCs w:val="17"/>
              </w:rPr>
              <w:t xml:space="preserve">« Carbimazole (Neo-Mercazole® 15 à 40 mg/j) ou Méthimazole »</w:t>
            </w:r>
          </w:p>
        </w:tc>
        <w:tc>
          <w:tcPr>
            <w:tcW w:w="3000" w:type="dxa"/>
            <w:vAlign w:val="top"/>
          </w:tcPr>
          <w:p>
            <w:pPr>
              <w:spacing w:after="40"/>
            </w:pPr>
            <w:r>
              <w:rPr>
                <w:sz w:val="17"/>
                <w:szCs w:val="17"/>
              </w:rPr>
              <w:t xml:space="preserve">Le texte omet le risque d'agranulocytose et la consigne d'arrêt immédiat avec hémogramme en cas de fièvre ou d'angine, cite un « méthimazole » non commercialisé en Suisse et affirme sans source que le propranolol « arrête immédiatement les sueurs », sans contre-indication (asthme).</w:t>
            </w:r>
          </w:p>
          <w:p>
            <w:pPr>
              <w:spacing w:after="0"/>
            </w:pPr>
            <w:r>
              <w:rPr>
                <w:b/>
                <w:color w:val="145A32"/>
                <w:sz w:val="17"/>
                <w:szCs w:val="17"/>
              </w:rPr>
              <w:t xml:space="preserve">→ Écrire : « Carbimazole (Néo-Mercazole®) selon l'AIPS ; le patient arrête le traitement et fait faire un hémogramme en urgence en cas de fièvre ou de mal de gorge (agranulocytose) ; propranolol (Inderal®) pour les symptômes adrénergiques, contre-indiqué dans l'asthme. » Supprimer « Méthimazole ».</w:t>
            </w:r>
          </w:p>
        </w:tc>
        <w:tc>
          <w:tcPr>
            <w:tcW w:w="1800" w:type="dxa"/>
            <w:vAlign w:val="top"/>
          </w:tcPr>
          <w:p>
            <w:pPr>
              <w:spacing w:after="0"/>
            </w:pPr>
            <w:r>
              <w:rPr>
                <w:sz w:val="17"/>
                <w:szCs w:val="17"/>
              </w:rPr>
              <w:t xml:space="preserve">ETA — Kahaly GJ et al., 2018 European Thyroid Association Guideline for the Management of Graves' Hyperthyroidism, Eur Thyroid J 2018;7:167-186 ; Registre des médicaments autorisés par Swissmedic, recherche par nom de spécialité — https://ch.oddb.org (reproduction de l'AIPS/Swissmedic) — consulté le 22.10.2026 (Néo-Mercazole, Inderal 10/40 mg ; aucun thiamazole)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DEBD0"/>
            <w:vAlign w:val="top"/>
          </w:tcPr>
          <w:p>
            <w:pPr>
              <w:spacing w:after="0"/>
            </w:pPr>
            <w:r>
              <w:rPr>
                <w:sz w:val="17"/>
                <w:szCs w:val="17"/>
              </w:rPr>
              <w:t xml:space="preserve">L1-M46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4 › D1.10 › point 11.B › préparation chirurgicale</w:t>
            </w:r>
          </w:p>
        </w:tc>
        <w:tc>
          <w:tcPr>
            <w:tcW w:w="2600" w:type="dxa"/>
            <w:vAlign w:val="top"/>
          </w:tcPr>
          <w:p>
            <w:pPr>
              <w:spacing w:after="0"/>
            </w:pPr>
            <w:r>
              <w:rPr>
                <w:i/>
                <w:sz w:val="17"/>
                <w:szCs w:val="17"/>
              </w:rPr>
              <w:t xml:space="preserve">« Urapidil (Ebrantil® per os) ou Doxazosine (Cardura® 2 à 16 mg/j) »</w:t>
            </w:r>
          </w:p>
        </w:tc>
        <w:tc>
          <w:tcPr>
            <w:tcW w:w="3000" w:type="dxa"/>
            <w:vAlign w:val="top"/>
          </w:tcPr>
          <w:p>
            <w:pPr>
              <w:spacing w:after="40"/>
            </w:pPr>
            <w:r>
              <w:rPr>
                <w:sz w:val="17"/>
                <w:szCs w:val="17"/>
              </w:rPr>
              <w:t xml:space="preserve">Ebrantil® n'existe en Suisse qu'en solution injectable, la forme orale citée est donc indisponible ; la doxazosine suisse est une forme retard (Cardura® CR 4 et 8 mg) et la source de la fourchette 2–16 mg n'est pas donnée.</w:t>
            </w:r>
          </w:p>
          <w:p>
            <w:pPr>
              <w:spacing w:after="0"/>
            </w:pPr>
            <w:r>
              <w:rPr>
                <w:b/>
                <w:color w:val="145A32"/>
                <w:sz w:val="17"/>
                <w:szCs w:val="17"/>
              </w:rPr>
              <w:t xml:space="preserve">→ Écrire : « Blocage alpha 7 à 14 jours avant l'opération par doxazosine (Cardura® CR 4 mg, titration selon pression artérielle et hypotension orthostatique), avec apport hydrosodé libre ; bêtabloquant seulement après blocage alpha efficace. » Supprimer l'urapidil oral.</w:t>
            </w:r>
          </w:p>
        </w:tc>
        <w:tc>
          <w:tcPr>
            <w:tcW w:w="1800" w:type="dxa"/>
            <w:vAlign w:val="top"/>
          </w:tcPr>
          <w:p>
            <w:pPr>
              <w:spacing w:after="0"/>
            </w:pPr>
            <w:r>
              <w:rPr>
                <w:sz w:val="17"/>
                <w:szCs w:val="17"/>
              </w:rPr>
              <w:t xml:space="preserve">ESH — Lenders JWM et al., Genetics, diagnosis, management and future directions of research of phaeochromocytoma and paraganglioma: a position statement of the ESH Working Group on Endocrine Hypertension, J Hypertens 2020;38:1443-1456 ; Registre des médicaments autorisés par Swissmedic, recherche par nom de spécialité — https://ch.oddb.org (reproduction de l'AIPS/Swissmedic) — consulté le 22.10.2026 (Ebrantil 50 mg Injektionslösung ; Cardura CR 4/8 mg)</w:t>
            </w:r>
          </w:p>
        </w:tc>
      </w:tr>
    </w:tbl>
    <w:p>
      <w:pPr>
        <w:spacing w:after="120"/>
      </w:pPr>
    </w:p>
    <w:p>
      <w:pPr>
        <w:pStyle w:val="Titre1"/>
        <w:keepNext/>
      </w:pPr>
      <w:r>
        <w:rPr>
          <w:b/>
          <w:color w:val="B9770E"/>
          <w:sz w:val="26"/>
          <w:szCs w:val="26"/>
        </w:rPr>
        <w:t xml:space="preserve">Moyen — 49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B9770E"/>
            <w:vAlign w:val="top"/>
          </w:tcPr>
          <w:p>
            <w:pPr>
              <w:spacing w:after="0"/>
            </w:pPr>
            <w:r>
              <w:rPr>
                <w:b/>
                <w:color w:val="FFFFFF"/>
                <w:sz w:val="17"/>
                <w:szCs w:val="17"/>
              </w:rPr>
              <w:t xml:space="preserve">Fait</w:t>
            </w:r>
          </w:p>
        </w:tc>
        <w:tc>
          <w:tcPr>
            <w:tcW w:w="900" w:type="dxa"/>
            <w:shd w:val="clear" w:color="auto" w:fill="B9770E"/>
            <w:vAlign w:val="top"/>
          </w:tcPr>
          <w:p>
            <w:pPr>
              <w:spacing w:after="0"/>
            </w:pPr>
            <w:r>
              <w:rPr>
                <w:b/>
                <w:color w:val="FFFFFF"/>
                <w:sz w:val="17"/>
                <w:szCs w:val="17"/>
              </w:rPr>
              <w:t xml:space="preserve">N°</w:t>
            </w:r>
          </w:p>
        </w:tc>
        <w:tc>
          <w:tcPr>
            <w:tcW w:w="1250" w:type="dxa"/>
            <w:shd w:val="clear" w:color="auto" w:fill="B9770E"/>
            <w:vAlign w:val="top"/>
          </w:tcPr>
          <w:p>
            <w:pPr>
              <w:spacing w:after="0"/>
            </w:pPr>
            <w:r>
              <w:rPr>
                <w:b/>
                <w:color w:val="FFFFFF"/>
                <w:sz w:val="17"/>
                <w:szCs w:val="17"/>
              </w:rPr>
              <w:t xml:space="preserve">Domaine</w:t>
            </w:r>
          </w:p>
        </w:tc>
        <w:tc>
          <w:tcPr>
            <w:tcW w:w="1900" w:type="dxa"/>
            <w:shd w:val="clear" w:color="auto" w:fill="B9770E"/>
            <w:vAlign w:val="top"/>
          </w:tcPr>
          <w:p>
            <w:pPr>
              <w:spacing w:after="0"/>
            </w:pPr>
            <w:r>
              <w:rPr>
                <w:b/>
                <w:color w:val="FFFFFF"/>
                <w:sz w:val="17"/>
                <w:szCs w:val="17"/>
              </w:rPr>
              <w:t xml:space="preserve">Fichier</w:t>
            </w:r>
          </w:p>
        </w:tc>
        <w:tc>
          <w:tcPr>
            <w:tcW w:w="2350" w:type="dxa"/>
            <w:shd w:val="clear" w:color="auto" w:fill="B9770E"/>
            <w:vAlign w:val="top"/>
          </w:tcPr>
          <w:p>
            <w:pPr>
              <w:spacing w:after="0"/>
            </w:pPr>
            <w:r>
              <w:rPr>
                <w:b/>
                <w:color w:val="FFFFFF"/>
                <w:sz w:val="17"/>
                <w:szCs w:val="17"/>
              </w:rPr>
              <w:t xml:space="preserve">Emplacement</w:t>
            </w:r>
          </w:p>
        </w:tc>
        <w:tc>
          <w:tcPr>
            <w:tcW w:w="2600" w:type="dxa"/>
            <w:shd w:val="clear" w:color="auto" w:fill="B9770E"/>
            <w:vAlign w:val="top"/>
          </w:tcPr>
          <w:p>
            <w:pPr>
              <w:spacing w:after="0"/>
            </w:pPr>
            <w:r>
              <w:rPr>
                <w:b/>
                <w:color w:val="FFFFFF"/>
                <w:sz w:val="17"/>
                <w:szCs w:val="17"/>
              </w:rPr>
              <w:t xml:space="preserve">Extrait exact</w:t>
            </w:r>
          </w:p>
        </w:tc>
        <w:tc>
          <w:tcPr>
            <w:tcW w:w="3000" w:type="dxa"/>
            <w:shd w:val="clear" w:color="auto" w:fill="B9770E"/>
            <w:vAlign w:val="top"/>
          </w:tcPr>
          <w:p>
            <w:pPr>
              <w:spacing w:after="0"/>
            </w:pPr>
            <w:r>
              <w:rPr>
                <w:b/>
                <w:color w:val="FFFFFF"/>
                <w:sz w:val="17"/>
                <w:szCs w:val="17"/>
              </w:rPr>
              <w:t xml:space="preserve">Problème → correction</w:t>
            </w:r>
          </w:p>
        </w:tc>
        <w:tc>
          <w:tcPr>
            <w:tcW w:w="1800" w:type="dxa"/>
            <w:shd w:val="clear" w:color="auto" w:fill="B9770E"/>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L1-L12</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1 › D1.1 et D1.2 (chevauchement avec la Partie 1 V4)</w:t>
            </w:r>
          </w:p>
        </w:tc>
        <w:tc>
          <w:tcPr>
            <w:tcW w:w="2600" w:type="dxa"/>
            <w:vAlign w:val="top"/>
          </w:tcPr>
          <w:p>
            <w:pPr>
              <w:spacing w:after="0"/>
            </w:pPr>
            <w:r>
              <w:rPr>
                <w:i/>
                <w:sz w:val="17"/>
                <w:szCs w:val="17"/>
              </w:rPr>
              <w:t xml:space="preserve">« PARTIE 1 : D1.1 à D1.2 »</w:t>
            </w:r>
          </w:p>
        </w:tc>
        <w:tc>
          <w:tcPr>
            <w:tcW w:w="3000" w:type="dxa"/>
            <w:vAlign w:val="top"/>
          </w:tcPr>
          <w:p>
            <w:pPr>
              <w:spacing w:after="40"/>
            </w:pPr>
            <w:r>
              <w:rPr>
                <w:sz w:val="17"/>
                <w:szCs w:val="17"/>
              </w:rPr>
              <w:t xml:space="preserve">Le document « Expert Complet » rédige une seconde fois D1.1 et D1.2, déjà traités plus complètement dans la Partie 1 V4 : deux versions divergentes coexistent (fréquence du chlorure d'aluminium, durée d'action de la toxine botulique).</w:t>
            </w:r>
          </w:p>
          <w:p>
            <w:pPr>
              <w:spacing w:after="0"/>
            </w:pPr>
            <w:r>
              <w:rPr>
                <w:b/>
                <w:color w:val="145A32"/>
                <w:sz w:val="17"/>
                <w:szCs w:val="17"/>
              </w:rPr>
              <w:t xml:space="preserve">→ Conserver une seule version source par DX ; archiver la version périmée avec le suffixe _OBSOLETE_ après dépôt de la version .html définitive.</w:t>
            </w:r>
          </w:p>
        </w:tc>
        <w:tc>
          <w:tcPr>
            <w:tcW w:w="1800" w:type="dxa"/>
            <w:vAlign w:val="top"/>
          </w:tcPr>
          <w:p>
            <w:pPr>
              <w:spacing w:after="0"/>
            </w:pPr>
            <w:r>
              <w:rPr>
                <w:sz w:val="17"/>
                <w:szCs w:val="17"/>
              </w:rPr>
              <w:t xml:space="preserve">PROMPT_V6.md (prompt de base V6), § 12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L1-L14</w:t>
            </w:r>
          </w:p>
        </w:tc>
        <w:tc>
          <w:tcPr>
            <w:tcW w:w="1250" w:type="dxa"/>
            <w:vAlign w:val="top"/>
          </w:tcPr>
          <w:p>
            <w:pPr>
              <w:spacing w:after="0"/>
            </w:pPr>
            <w:r>
              <w:rPr>
                <w:sz w:val="17"/>
                <w:szCs w:val="17"/>
              </w:rPr>
              <w:t xml:space="preserve">Structure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fenêtre « Consulter les références et leur portée » › lien « Document Drive de départ »</w:t>
            </w:r>
          </w:p>
        </w:tc>
        <w:tc>
          <w:tcPr>
            <w:tcW w:w="2600" w:type="dxa"/>
            <w:vAlign w:val="top"/>
          </w:tcPr>
          <w:p>
            <w:pPr>
              <w:spacing w:after="0"/>
            </w:pPr>
            <w:r>
              <w:rPr>
                <w:i/>
                <w:sz w:val="17"/>
                <w:szCs w:val="17"/>
              </w:rPr>
              <w:t xml:space="preserve">« Le document Drive fournit le périmètre et les diagnostics du lot. »</w:t>
            </w:r>
          </w:p>
        </w:tc>
        <w:tc>
          <w:tcPr>
            <w:tcW w:w="3000" w:type="dxa"/>
            <w:vAlign w:val="top"/>
          </w:tcPr>
          <w:p>
            <w:pPr>
              <w:spacing w:after="40"/>
            </w:pPr>
            <w:r>
              <w:rPr>
                <w:sz w:val="17"/>
                <w:szCs w:val="17"/>
              </w:rPr>
              <w:t xml:space="preserve">Les fenêtres de références citent des Google Docs internes comme source, dont un document (identifiant 1utag8v…) absent du manifeste du lot ; un document de travail ne constitue pas une source médicale primaire et le lien manquant empêche toute vérification.</w:t>
            </w:r>
          </w:p>
          <w:p>
            <w:pPr>
              <w:spacing w:after="0"/>
            </w:pPr>
            <w:r>
              <w:rPr>
                <w:b/>
                <w:color w:val="145A32"/>
                <w:sz w:val="17"/>
                <w:szCs w:val="17"/>
              </w:rPr>
              <w:t xml:space="preserve">→ Remplacer chaque lien « Document Drive de départ » par les sources primaires réellement lues [S1]…[Sn] ; retrouver et cloner le document 1utag8v… ou retirer la référence.</w:t>
            </w:r>
          </w:p>
        </w:tc>
        <w:tc>
          <w:tcPr>
            <w:tcW w:w="1800" w:type="dxa"/>
            <w:vAlign w:val="top"/>
          </w:tcPr>
          <w:p>
            <w:pPr>
              <w:spacing w:after="0"/>
            </w:pPr>
            <w:r>
              <w:rPr>
                <w:sz w:val="17"/>
                <w:szCs w:val="17"/>
              </w:rPr>
              <w:t xml:space="preserve">PROMPT_V6.md (prompt de base V6), § 3.1 et § 3.8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L1-L22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7 Approche syndromique</w:t>
            </w:r>
          </w:p>
        </w:tc>
        <w:tc>
          <w:tcPr>
            <w:tcW w:w="2600" w:type="dxa"/>
            <w:vAlign w:val="top"/>
          </w:tcPr>
          <w:p>
            <w:pPr>
              <w:spacing w:after="0"/>
            </w:pPr>
            <w:r>
              <w:rPr>
                <w:i/>
                <w:sz w:val="17"/>
                <w:szCs w:val="17"/>
              </w:rPr>
              <w:t xml:space="preserve">« L'intégration clinique regroupe les plaintes en quatre grands syndromes directeurs. »</w:t>
            </w:r>
          </w:p>
        </w:tc>
        <w:tc>
          <w:tcPr>
            <w:tcW w:w="3000" w:type="dxa"/>
            <w:vAlign w:val="top"/>
          </w:tcPr>
          <w:p>
            <w:pPr>
              <w:spacing w:after="40"/>
            </w:pPr>
            <w:r>
              <w:rPr>
                <w:sz w:val="17"/>
                <w:szCs w:val="17"/>
              </w:rPr>
              <w:t xml:space="preserve">Les quatre syndromes ne sont ni numérotés 7.1 à 7.4 ni pourvus de la fenêtre qui relie chaque signe à son mécanisme.</w:t>
            </w:r>
          </w:p>
          <w:p>
            <w:pPr>
              <w:spacing w:after="0"/>
            </w:pPr>
            <w:r>
              <w:rPr>
                <w:b/>
                <w:color w:val="145A32"/>
                <w:sz w:val="17"/>
                <w:szCs w:val="17"/>
              </w:rPr>
              <w:t xml:space="preserve">→ Numéroter les syndromes 7.1 à 7.4 en italique et ouvrir sur chaque titre une fenêtre qui explique le mécanisme de chaque signe (par exemple diaphorèse froide : décharge adrénergique, vasoconstriction cutanée α1).</w:t>
            </w:r>
          </w:p>
        </w:tc>
        <w:tc>
          <w:tcPr>
            <w:tcW w:w="1800" w:type="dxa"/>
            <w:vAlign w:val="top"/>
          </w:tcPr>
          <w:p>
            <w:pPr>
              <w:spacing w:after="0"/>
            </w:pPr>
            <w:r>
              <w:rPr>
                <w:sz w:val="17"/>
                <w:szCs w:val="17"/>
              </w:rPr>
              <w:t xml:space="preserve">PROMPT_V6.md (prompt de base V6), § 5.7</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L1-L23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8 Diagnostic positif</w:t>
            </w:r>
          </w:p>
        </w:tc>
        <w:tc>
          <w:tcPr>
            <w:tcW w:w="2600" w:type="dxa"/>
            <w:vAlign w:val="top"/>
          </w:tcPr>
          <w:p>
            <w:pPr>
              <w:spacing w:after="0"/>
            </w:pPr>
            <w:r>
              <w:rPr>
                <w:i/>
                <w:sz w:val="17"/>
                <w:szCs w:val="17"/>
              </w:rPr>
              <w:t xml:space="preserve">« repose sur les critères consensuels internationaux »</w:t>
            </w:r>
          </w:p>
        </w:tc>
        <w:tc>
          <w:tcPr>
            <w:tcW w:w="3000" w:type="dxa"/>
            <w:vAlign w:val="top"/>
          </w:tcPr>
          <w:p>
            <w:pPr>
              <w:spacing w:after="40"/>
            </w:pPr>
            <w:r>
              <w:rPr>
                <w:sz w:val="17"/>
                <w:szCs w:val="17"/>
              </w:rPr>
              <w:t xml:space="preserve">Le texte ne nomme ni la société ni l'année des critères, ce que le point 8 exige.</w:t>
            </w:r>
          </w:p>
          <w:p>
            <w:pPr>
              <w:spacing w:after="0"/>
            </w:pPr>
            <w:r>
              <w:rPr>
                <w:b/>
                <w:color w:val="145A32"/>
                <w:sz w:val="17"/>
                <w:szCs w:val="17"/>
              </w:rPr>
              <w:t xml:space="preserve">→ Écrire : « Le diagnostic repose sur les critères du groupe de consensus de Hornberger et al. (International Hyperhidrosis Society, 2004) [Sn]. »</w:t>
            </w:r>
          </w:p>
        </w:tc>
        <w:tc>
          <w:tcPr>
            <w:tcW w:w="1800" w:type="dxa"/>
            <w:vAlign w:val="top"/>
          </w:tcPr>
          <w:p>
            <w:pPr>
              <w:spacing w:after="0"/>
            </w:pPr>
            <w:r>
              <w:rPr>
                <w:sz w:val="17"/>
                <w:szCs w:val="17"/>
              </w:rPr>
              <w:t xml:space="preserve">PROMPT_V6.md (prompt de base V6), § 5.8 ; Hornberger J et al., Recognition, diagnosis, and treatment of primary focal hyperhidrosis, J Am Acad Dermatol 2004;51:274-286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L1-L24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11.B Moyens et méthodes</w:t>
            </w:r>
          </w:p>
        </w:tc>
        <w:tc>
          <w:tcPr>
            <w:tcW w:w="2600" w:type="dxa"/>
            <w:vAlign w:val="top"/>
          </w:tcPr>
          <w:p>
            <w:pPr>
              <w:spacing w:after="0"/>
            </w:pPr>
            <w:r>
              <w:rPr>
                <w:i/>
                <w:sz w:val="17"/>
                <w:szCs w:val="17"/>
              </w:rPr>
              <w:t xml:space="preserve">« le praticien prescrit en première intention un antitranspirant topique à base de Chlorure d'aluminium hexahydraté appliqué chaque soir »</w:t>
            </w:r>
          </w:p>
        </w:tc>
        <w:tc>
          <w:tcPr>
            <w:tcW w:w="3000" w:type="dxa"/>
            <w:vAlign w:val="top"/>
          </w:tcPr>
          <w:p>
            <w:pPr>
              <w:spacing w:after="40"/>
            </w:pPr>
            <w:r>
              <w:rPr>
                <w:sz w:val="17"/>
                <w:szCs w:val="17"/>
              </w:rPr>
              <w:t xml:space="preserve">Le point 11.B ne donne pour aucun traitement la classe, la spécialité suisse ®, la dose, la durée ni les contre-indications ; « chaque soir » contredit le schéma de la Partie 1 (5 à 7 nuits puis 1 à 2 fois par semaine).</w:t>
            </w:r>
          </w:p>
          <w:p>
            <w:pPr>
              <w:spacing w:after="0"/>
            </w:pPr>
            <w:r>
              <w:rPr>
                <w:b/>
                <w:color w:val="145A32"/>
                <w:sz w:val="17"/>
                <w:szCs w:val="17"/>
              </w:rPr>
              <w:t xml:space="preserve">→ Compléter chaque traitement selon les items ① à ⑥ à partir de l'information professionnelle suisse (AIPS) et harmoniser le rythme d'application avec la Partie 1.</w:t>
            </w:r>
          </w:p>
        </w:tc>
        <w:tc>
          <w:tcPr>
            <w:tcW w:w="1800" w:type="dxa"/>
            <w:vAlign w:val="top"/>
          </w:tcPr>
          <w:p>
            <w:pPr>
              <w:spacing w:after="0"/>
            </w:pPr>
            <w:r>
              <w:rPr>
                <w:sz w:val="17"/>
                <w:szCs w:val="17"/>
              </w:rPr>
              <w:t xml:space="preserve">PROMPT_V6.md (prompt de base V6), § 3.3 et § 5.11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L1-L25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11.D Pronostic</w:t>
            </w:r>
          </w:p>
        </w:tc>
        <w:tc>
          <w:tcPr>
            <w:tcW w:w="2600" w:type="dxa"/>
            <w:vAlign w:val="top"/>
          </w:tcPr>
          <w:p>
            <w:pPr>
              <w:spacing w:after="0"/>
            </w:pPr>
            <w:r>
              <w:rPr>
                <w:i/>
                <w:sz w:val="17"/>
                <w:szCs w:val="17"/>
              </w:rPr>
              <w:t xml:space="preserve">« La toxine botulique assure une rémission complète de 6 à 12 mois. »</w:t>
            </w:r>
          </w:p>
        </w:tc>
        <w:tc>
          <w:tcPr>
            <w:tcW w:w="3000" w:type="dxa"/>
            <w:vAlign w:val="top"/>
          </w:tcPr>
          <w:p>
            <w:pPr>
              <w:spacing w:after="40"/>
            </w:pPr>
            <w:r>
              <w:rPr>
                <w:sz w:val="17"/>
                <w:szCs w:val="17"/>
              </w:rPr>
              <w:t xml:space="preserve">La phrase promet une « rémission complète » et une durée de 6 à 12 mois que la Partie 1 V4 fixe à 6 à 9 mois ; la recherche 2026 exigée par 11.D manque.</w:t>
            </w:r>
          </w:p>
          <w:p>
            <w:pPr>
              <w:spacing w:after="0"/>
            </w:pPr>
            <w:r>
              <w:rPr>
                <w:b/>
                <w:color w:val="145A32"/>
                <w:sz w:val="17"/>
                <w:szCs w:val="17"/>
              </w:rPr>
              <w:t xml:space="preserve">→ Écrire : « La toxine botulique réduit la sudation pendant plusieurs mois ; la durée exacte figure dans l'information professionnelle suisse [Sn]. » et ajouter l'état de la recherche 2026 sourcé ou « donnée non trouvée dans les sources consultées ».</w:t>
            </w:r>
          </w:p>
        </w:tc>
        <w:tc>
          <w:tcPr>
            <w:tcW w:w="1800" w:type="dxa"/>
            <w:vAlign w:val="top"/>
          </w:tcPr>
          <w:p>
            <w:pPr>
              <w:spacing w:after="0"/>
            </w:pPr>
            <w:r>
              <w:rPr>
                <w:sz w:val="17"/>
                <w:szCs w:val="17"/>
              </w:rPr>
              <w:t xml:space="preserve">PROMPT_V6.md (prompt de base V6), § 5.11.D ; donnée non trouvée dans les sources consultées pour la durée exacte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L1-L26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14 Pièges</w:t>
            </w:r>
          </w:p>
        </w:tc>
        <w:tc>
          <w:tcPr>
            <w:tcW w:w="2600" w:type="dxa"/>
            <w:vAlign w:val="top"/>
          </w:tcPr>
          <w:p>
            <w:pPr>
              <w:spacing w:after="0"/>
            </w:pPr>
            <w:r>
              <w:rPr>
                <w:i/>
                <w:sz w:val="17"/>
                <w:szCs w:val="17"/>
              </w:rPr>
              <w:t xml:space="preserve">« la sueur dilue le produit et forme de l'acide chlorhydrique responsable d'une brûlure chimique sévère sans aucune efficacité »</w:t>
            </w:r>
          </w:p>
        </w:tc>
        <w:tc>
          <w:tcPr>
            <w:tcW w:w="3000" w:type="dxa"/>
            <w:vAlign w:val="top"/>
          </w:tcPr>
          <w:p>
            <w:pPr>
              <w:spacing w:after="40"/>
            </w:pPr>
            <w:r>
              <w:rPr>
                <w:sz w:val="17"/>
                <w:szCs w:val="17"/>
              </w:rPr>
              <w:t xml:space="preserve">L'application sur peau humide favorise surtout une irritation locale ; « brûlure chimique sévère » et « sans aucune efficacité » exagèrent le risque sans source.</w:t>
            </w:r>
          </w:p>
          <w:p>
            <w:pPr>
              <w:spacing w:after="0"/>
            </w:pPr>
            <w:r>
              <w:rPr>
                <w:b/>
                <w:color w:val="145A32"/>
                <w:sz w:val="17"/>
                <w:szCs w:val="17"/>
              </w:rPr>
              <w:t xml:space="preserve">→ Écrire : « Sur peau humide, le chlorure d'aluminium s'hydrolyse et irrite la peau ; le patient l'applique le soir sur peau sèche. » et citer l'information professionnelle du produit.</w:t>
            </w:r>
          </w:p>
        </w:tc>
        <w:tc>
          <w:tcPr>
            <w:tcW w:w="1800" w:type="dxa"/>
            <w:vAlign w:val="top"/>
          </w:tcPr>
          <w:p>
            <w:pPr>
              <w:spacing w:after="0"/>
            </w:pPr>
            <w:r>
              <w:rPr>
                <w:sz w:val="17"/>
                <w:szCs w:val="17"/>
              </w:rPr>
              <w:t xml:space="preserve">PROMPT_V6.md (prompt de base V6), § 3.1 ; donnée non trouvée dans les sources consultées pour la gravité de la brûlure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L1-L27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13 Points clés</w:t>
            </w:r>
          </w:p>
        </w:tc>
        <w:tc>
          <w:tcPr>
            <w:tcW w:w="2600" w:type="dxa"/>
            <w:vAlign w:val="top"/>
          </w:tcPr>
          <w:p>
            <w:pPr>
              <w:spacing w:after="0"/>
            </w:pPr>
            <w:r>
              <w:rPr>
                <w:i/>
                <w:sz w:val="17"/>
                <w:szCs w:val="17"/>
              </w:rPr>
              <w:t xml:space="preserve">« débute avant 25 ans dans 95 % des cas »</w:t>
            </w:r>
          </w:p>
        </w:tc>
        <w:tc>
          <w:tcPr>
            <w:tcW w:w="3000" w:type="dxa"/>
            <w:vAlign w:val="top"/>
          </w:tcPr>
          <w:p>
            <w:pPr>
              <w:spacing w:after="40"/>
            </w:pPr>
            <w:r>
              <w:rPr>
                <w:sz w:val="17"/>
                <w:szCs w:val="17"/>
              </w:rPr>
              <w:t xml:space="preserve">Le pourcentage de 95 % n'a pas de source et un pourcentage non sourcé est interdit.</w:t>
            </w:r>
          </w:p>
          <w:p>
            <w:pPr>
              <w:spacing w:after="0"/>
            </w:pPr>
            <w:r>
              <w:rPr>
                <w:b/>
                <w:color w:val="145A32"/>
                <w:sz w:val="17"/>
                <w:szCs w:val="17"/>
              </w:rPr>
              <w:t xml:space="preserve">→ Supprimer « dans 95 % des cas » ou le rattacher à une source lue [Sn].</w:t>
            </w:r>
          </w:p>
        </w:tc>
        <w:tc>
          <w:tcPr>
            <w:tcW w:w="1800" w:type="dxa"/>
            <w:vAlign w:val="top"/>
          </w:tcPr>
          <w:p>
            <w:pPr>
              <w:spacing w:after="0"/>
            </w:pPr>
            <w:r>
              <w:rPr>
                <w:sz w:val="17"/>
                <w:szCs w:val="17"/>
              </w:rPr>
              <w:t xml:space="preserve">PROMPT_V6.md (prompt de base V6), § 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D1.1 › 11.B › Pharmacologiques (1ère intention)</w:t>
            </w:r>
          </w:p>
        </w:tc>
        <w:tc>
          <w:tcPr>
            <w:tcW w:w="2600" w:type="dxa"/>
            <w:vAlign w:val="top"/>
          </w:tcPr>
          <w:p>
            <w:pPr>
              <w:spacing w:after="0"/>
            </w:pPr>
            <w:r>
              <w:rPr>
                <w:i/>
                <w:sz w:val="17"/>
                <w:szCs w:val="17"/>
              </w:rPr>
              <w:t xml:space="preserve">« Application locale le soir sur peau strictement sèche, 2 à 3 fois par semaine. »</w:t>
            </w:r>
          </w:p>
        </w:tc>
        <w:tc>
          <w:tcPr>
            <w:tcW w:w="3000" w:type="dxa"/>
            <w:vAlign w:val="top"/>
          </w:tcPr>
          <w:p>
            <w:pPr>
              <w:spacing w:after="40"/>
            </w:pPr>
            <w:r>
              <w:rPr>
                <w:sz w:val="17"/>
                <w:szCs w:val="17"/>
              </w:rPr>
              <w:t xml:space="preserve">Le rythme « 2 à 3 fois par semaine » contredit le schéma d'attaque de la Partie 1 V4 (chaque soir pendant 5 à 7 nuits, puis entretien) et de l'Appel A (chaque soir).</w:t>
            </w:r>
          </w:p>
          <w:p>
            <w:pPr>
              <w:spacing w:after="0"/>
            </w:pPr>
            <w:r>
              <w:rPr>
                <w:b/>
                <w:color w:val="145A32"/>
                <w:sz w:val="17"/>
                <w:szCs w:val="17"/>
              </w:rPr>
              <w:t xml:space="preserve">→ Indiquer le schéma de l'information professionnelle suisse du produit cité : phase d'attaque quotidienne puis espacement selon la réponse.</w:t>
            </w:r>
          </w:p>
        </w:tc>
        <w:tc>
          <w:tcPr>
            <w:tcW w:w="1800" w:type="dxa"/>
            <w:vAlign w:val="top"/>
          </w:tcPr>
          <w:p>
            <w:pPr>
              <w:spacing w:after="0"/>
            </w:pPr>
            <w:r>
              <w:rPr>
                <w:sz w:val="17"/>
                <w:szCs w:val="17"/>
              </w:rPr>
              <w:t xml:space="preserve">PROMPT_V6.md (prompt de base V6), § 3.3 ; donnée non trouvée dans les sources consultées pour le schéma exact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D1.2 › 11.B › Recherche 2026</w:t>
            </w:r>
          </w:p>
        </w:tc>
        <w:tc>
          <w:tcPr>
            <w:tcW w:w="2600" w:type="dxa"/>
            <w:vAlign w:val="top"/>
          </w:tcPr>
          <w:p>
            <w:pPr>
              <w:spacing w:after="0"/>
            </w:pPr>
            <w:r>
              <w:rPr>
                <w:i/>
                <w:sz w:val="17"/>
                <w:szCs w:val="17"/>
              </w:rPr>
              <w:t xml:space="preserve">« Approbation des Antagonistes sélectifs du récepteur NK3 (Fézolinetant, Veoza® 45 mg/j) »</w:t>
            </w:r>
          </w:p>
        </w:tc>
        <w:tc>
          <w:tcPr>
            <w:tcW w:w="3000" w:type="dxa"/>
            <w:vAlign w:val="top"/>
          </w:tcPr>
          <w:p>
            <w:pPr>
              <w:spacing w:after="40"/>
            </w:pPr>
            <w:r>
              <w:rPr>
                <w:sz w:val="17"/>
                <w:szCs w:val="17"/>
              </w:rPr>
              <w:t xml:space="preserve">Le fézolinétant est déjà autorisé et ne relève pas de la recherche 2026 ; le texte omet le contrôle hépatique obligatoire avant et pendant le traitement.</w:t>
            </w:r>
          </w:p>
          <w:p>
            <w:pPr>
              <w:spacing w:after="0"/>
            </w:pPr>
            <w:r>
              <w:rPr>
                <w:b/>
                <w:color w:val="145A32"/>
                <w:sz w:val="17"/>
                <w:szCs w:val="17"/>
              </w:rPr>
              <w:t xml:space="preserve">→ Déplacer le fézolinétant en 11.B alternative non hormonale et ajouter : « Le médecin contrôle ALAT, ASAT et bilirubine avant l'initiation, puis chaque mois pendant les 3 premiers mois ; il n'initie pas le traitement si ALAT ou ASAT ≥ 2 × LSN. »</w:t>
            </w:r>
          </w:p>
        </w:tc>
        <w:tc>
          <w:tcPr>
            <w:tcW w:w="1800" w:type="dxa"/>
            <w:vAlign w:val="top"/>
          </w:tcPr>
          <w:p>
            <w:pPr>
              <w:spacing w:after="0"/>
            </w:pPr>
            <w:r>
              <w:rPr>
                <w:sz w:val="17"/>
                <w:szCs w:val="17"/>
              </w:rPr>
              <w:t xml:space="preserve">EMA, DHPC Veoza (fezolinetant) — risque d'atteinte hépatique médicamenteuse, nouvelles recommandations de surveillance, https://www.ema.europa.eu/en/documents/dhpc/direct-healthcare-professional-communication-dhpc-veoza-fezolinetant-risk-drug-induced-liver-injury-new-recommendations-monitoring-liver-function-during-treatment_en.pdf</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L1-L33</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D1.7 › 11.B › Pharmacologiques (1ère intention symptomatique)</w:t>
            </w:r>
          </w:p>
        </w:tc>
        <w:tc>
          <w:tcPr>
            <w:tcW w:w="2600" w:type="dxa"/>
            <w:vAlign w:val="top"/>
          </w:tcPr>
          <w:p>
            <w:pPr>
              <w:spacing w:after="0"/>
            </w:pPr>
            <w:r>
              <w:rPr>
                <w:i/>
                <w:sz w:val="17"/>
                <w:szCs w:val="17"/>
              </w:rPr>
              <w:t xml:space="preserve">« Arrête immédiatement les sueurs et la tachycardie. »</w:t>
            </w:r>
          </w:p>
        </w:tc>
        <w:tc>
          <w:tcPr>
            <w:tcW w:w="3000" w:type="dxa"/>
            <w:vAlign w:val="top"/>
          </w:tcPr>
          <w:p>
            <w:pPr>
              <w:spacing w:after="40"/>
            </w:pPr>
            <w:r>
              <w:rPr>
                <w:sz w:val="17"/>
                <w:szCs w:val="17"/>
              </w:rPr>
              <w:t xml:space="preserve">La phrase n'a pas de sujet et promet un effet immédiat et complet du propranolol que l'information professionnelle ne garantit pas.</w:t>
            </w:r>
          </w:p>
          <w:p>
            <w:pPr>
              <w:spacing w:after="0"/>
            </w:pPr>
            <w:r>
              <w:rPr>
                <w:b/>
                <w:color w:val="145A32"/>
                <w:sz w:val="17"/>
                <w:szCs w:val="17"/>
              </w:rPr>
              <w:t xml:space="preserve">→ Écrire : « Le propranolol atténue la tachycardie et les tremblements en quelques heures ; il ne traite pas la cause. »</w:t>
            </w:r>
          </w:p>
        </w:tc>
        <w:tc>
          <w:tcPr>
            <w:tcW w:w="1800" w:type="dxa"/>
            <w:vAlign w:val="top"/>
          </w:tcPr>
          <w:p>
            <w:pPr>
              <w:spacing w:after="0"/>
            </w:pPr>
            <w:r>
              <w:rPr>
                <w:sz w:val="17"/>
                <w:szCs w:val="17"/>
              </w:rPr>
              <w:t xml:space="preserve">PROMPT_V6.md (prompt de base V6), § 6.1 ; donnée non trouvée dans les sources consultées pour l'effet sur les sueurs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D1.8 › 11.B › Moyens non médicamenteux</w:t>
            </w:r>
          </w:p>
        </w:tc>
        <w:tc>
          <w:tcPr>
            <w:tcW w:w="2600" w:type="dxa"/>
            <w:vAlign w:val="top"/>
          </w:tcPr>
          <w:p>
            <w:pPr>
              <w:spacing w:after="0"/>
            </w:pPr>
            <w:r>
              <w:rPr>
                <w:i/>
                <w:sz w:val="17"/>
                <w:szCs w:val="17"/>
              </w:rPr>
              <w:t xml:space="preserve">« Isolement respiratoire strict en chambre à pression négative (masque FFP2) jusqu'à négativation de la microscopie des crachats. »</w:t>
            </w:r>
          </w:p>
        </w:tc>
        <w:tc>
          <w:tcPr>
            <w:tcW w:w="3000" w:type="dxa"/>
            <w:vAlign w:val="top"/>
          </w:tcPr>
          <w:p>
            <w:pPr>
              <w:spacing w:after="40"/>
            </w:pPr>
            <w:r>
              <w:rPr>
                <w:sz w:val="17"/>
                <w:szCs w:val="17"/>
              </w:rPr>
              <w:t xml:space="preserve">La phrase est nominale, ne précise pas qui porte le masque FFP2 (le personnel) et fixe un critère de levée d'isolement non sourcé.</w:t>
            </w:r>
          </w:p>
          <w:p>
            <w:pPr>
              <w:spacing w:after="0"/>
            </w:pPr>
            <w:r>
              <w:rPr>
                <w:b/>
                <w:color w:val="145A32"/>
                <w:sz w:val="17"/>
                <w:szCs w:val="17"/>
              </w:rPr>
              <w:t xml:space="preserve">→ Écrire : « Le patient bacillifère est isolé en chambre individuelle ventilée ; le personnel porte un masque FFP2 et le patient un masque chirurgical lors des déplacements. » et citer le critère de levée du Manuel de la tuberculose suisse.</w:t>
            </w:r>
          </w:p>
        </w:tc>
        <w:tc>
          <w:tcPr>
            <w:tcW w:w="1800" w:type="dxa"/>
            <w:vAlign w:val="top"/>
          </w:tcPr>
          <w:p>
            <w:pPr>
              <w:spacing w:after="0"/>
            </w:pPr>
            <w:r>
              <w:rPr>
                <w:sz w:val="17"/>
                <w:szCs w:val="17"/>
              </w:rPr>
              <w:t xml:space="preserve">PROMPT_V6.md (prompt de base V6), § 3.1 ; donnée non trouvée dans les sources consultées (Manuel suisse de la tuberculose non lu)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L1-L35</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D1.8 › 11.B › Pharmacologiques (Gold Standard)</w:t>
            </w:r>
          </w:p>
        </w:tc>
        <w:tc>
          <w:tcPr>
            <w:tcW w:w="2600" w:type="dxa"/>
            <w:vAlign w:val="top"/>
          </w:tcPr>
          <w:p>
            <w:pPr>
              <w:spacing w:after="0"/>
            </w:pPr>
            <w:r>
              <w:rPr>
                <w:i/>
                <w:sz w:val="17"/>
                <w:szCs w:val="17"/>
              </w:rPr>
              <w:t xml:space="preserve">« Supplémentation systématique en Vitamine B6 (Benadon® 40 mg/j). »</w:t>
            </w:r>
          </w:p>
        </w:tc>
        <w:tc>
          <w:tcPr>
            <w:tcW w:w="3000" w:type="dxa"/>
            <w:vAlign w:val="top"/>
          </w:tcPr>
          <w:p>
            <w:pPr>
              <w:spacing w:after="40"/>
            </w:pPr>
            <w:r>
              <w:rPr>
                <w:sz w:val="17"/>
                <w:szCs w:val="17"/>
              </w:rPr>
              <w:t xml:space="preserve">La supplémentation en pyridoxine s'adresse aux patients à risque de neuropathie (carence, grossesse, alcool, diabète, VIH, insuffisance rénale) ; « systématique » et la spécialité « Benadon® 40 mg » ne sont pas vérifiés dans AIPS.</w:t>
            </w:r>
          </w:p>
          <w:p>
            <w:pPr>
              <w:spacing w:after="0"/>
            </w:pPr>
            <w:r>
              <w:rPr>
                <w:b/>
                <w:color w:val="145A32"/>
                <w:sz w:val="17"/>
                <w:szCs w:val="17"/>
              </w:rPr>
              <w:t xml:space="preserve">→ Écrire : « Le médecin ajoute de la pyridoxine chez le patient à risque de neuropathie isoniazidique » et vérifier spécialité et dose dans AIPS.</w:t>
            </w:r>
          </w:p>
        </w:tc>
        <w:tc>
          <w:tcPr>
            <w:tcW w:w="1800" w:type="dxa"/>
            <w:vAlign w:val="top"/>
          </w:tcPr>
          <w:p>
            <w:pPr>
              <w:spacing w:after="0"/>
            </w:pPr>
            <w:r>
              <w:rPr>
                <w:sz w:val="17"/>
                <w:szCs w:val="17"/>
              </w:rPr>
              <w:t xml:space="preserve">Notice Isozid comp. N (isoniazide + pyridoxine), indication préférentielle chez les patients à risque de neuropathie, https://media.healthii.de/04810003/isozid-comp-100mg-n-beipackzettel.pdf ; recommandation suisse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L1-L36</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D1.9 › 11.B › Pharmacologiques (Hodgkin)</w:t>
            </w:r>
          </w:p>
        </w:tc>
        <w:tc>
          <w:tcPr>
            <w:tcW w:w="2600" w:type="dxa"/>
            <w:vAlign w:val="top"/>
          </w:tcPr>
          <w:p>
            <w:pPr>
              <w:spacing w:after="0"/>
            </w:pPr>
            <w:r>
              <w:rPr>
                <w:i/>
                <w:sz w:val="17"/>
                <w:szCs w:val="17"/>
              </w:rPr>
              <w:t xml:space="preserve">« Protocole ABVD (Adriamycine, Bléomycine, Vinblastine, Dacarbazine) en IV tous les 14 jours (2 à 6 cycles selon le stade PET-CT). »</w:t>
            </w:r>
          </w:p>
        </w:tc>
        <w:tc>
          <w:tcPr>
            <w:tcW w:w="3000" w:type="dxa"/>
            <w:vAlign w:val="top"/>
          </w:tcPr>
          <w:p>
            <w:pPr>
              <w:spacing w:after="40"/>
            </w:pPr>
            <w:r>
              <w:rPr>
                <w:sz w:val="17"/>
                <w:szCs w:val="17"/>
              </w:rPr>
              <w:t xml:space="preserve">Le schéma ABVD s'administre à J1 et J15 d'un cycle de 28 jours : « tous les 14 jours » fait croire à des cycles de 14 jours et fausse le nombre de cycles.</w:t>
            </w:r>
          </w:p>
          <w:p>
            <w:pPr>
              <w:spacing w:after="0"/>
            </w:pPr>
            <w:r>
              <w:rPr>
                <w:b/>
                <w:color w:val="145A32"/>
                <w:sz w:val="17"/>
                <w:szCs w:val="17"/>
              </w:rPr>
              <w:t xml:space="preserve">→ Écrire : « L'ABVD s'administre par voie IV à J1 et J15 de chaque cycle de 28 jours, pendant 2 à 6 cycles selon le stade et la TEP-TDM intermédiaire. »</w:t>
            </w:r>
          </w:p>
        </w:tc>
        <w:tc>
          <w:tcPr>
            <w:tcW w:w="1800" w:type="dxa"/>
            <w:vAlign w:val="top"/>
          </w:tcPr>
          <w:p>
            <w:pPr>
              <w:spacing w:after="0"/>
            </w:pPr>
            <w:r>
              <w:rPr>
                <w:sz w:val="17"/>
                <w:szCs w:val="17"/>
              </w:rPr>
              <w:t xml:space="preserve">HSE National Cancer Control Programme (Irlande), ABVD therapy, protocole 290, https://www.hse.ie/eng/services/list/5/cancer/profinfo/chemoprotocols/lymphoma-myeloma/290-abvd-therapy.pdf</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D1.9 › 11.B › Recherche 2026</w:t>
            </w:r>
          </w:p>
        </w:tc>
        <w:tc>
          <w:tcPr>
            <w:tcW w:w="2600" w:type="dxa"/>
            <w:vAlign w:val="top"/>
          </w:tcPr>
          <w:p>
            <w:pPr>
              <w:spacing w:after="0"/>
            </w:pPr>
            <w:r>
              <w:rPr>
                <w:i/>
                <w:sz w:val="17"/>
                <w:szCs w:val="17"/>
              </w:rPr>
              <w:t xml:space="preserve">« sont devenus le standard de soins en 2ème ou 3ème ligne pour les lymphomes B réfractaires en Suisse »</w:t>
            </w:r>
          </w:p>
        </w:tc>
        <w:tc>
          <w:tcPr>
            <w:tcW w:w="3000" w:type="dxa"/>
            <w:vAlign w:val="top"/>
          </w:tcPr>
          <w:p>
            <w:pPr>
              <w:spacing w:after="40"/>
            </w:pPr>
            <w:r>
              <w:rPr>
                <w:sz w:val="17"/>
                <w:szCs w:val="17"/>
              </w:rPr>
              <w:t xml:space="preserve">L'affirmation de standard suisse n'a aucune source et aucun numéro d'essai NCT n'est donné.</w:t>
            </w:r>
          </w:p>
          <w:p>
            <w:pPr>
              <w:spacing w:after="0"/>
            </w:pPr>
            <w:r>
              <w:rPr>
                <w:b/>
                <w:color w:val="145A32"/>
                <w:sz w:val="17"/>
                <w:szCs w:val="17"/>
              </w:rPr>
              <w:t xml:space="preserve">→ Citer l'autorisation Swissmedic et la recommandation ESMO correspondantes avec leurs dates, ou écrire « donnée non trouvée dans les sources consultées ».</w:t>
            </w:r>
          </w:p>
        </w:tc>
        <w:tc>
          <w:tcPr>
            <w:tcW w:w="1800" w:type="dxa"/>
            <w:vAlign w:val="top"/>
          </w:tcPr>
          <w:p>
            <w:pPr>
              <w:spacing w:after="0"/>
            </w:pPr>
            <w:r>
              <w:rPr>
                <w:sz w:val="17"/>
                <w:szCs w:val="17"/>
              </w:rPr>
              <w:t xml:space="preserve">PROMPT_V6.md (prompt de base V6), § 3.1 et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D1.10 › 11.B › Pharmacologiques (Préparation chirurgicale)</w:t>
            </w:r>
          </w:p>
        </w:tc>
        <w:tc>
          <w:tcPr>
            <w:tcW w:w="2600" w:type="dxa"/>
            <w:vAlign w:val="top"/>
          </w:tcPr>
          <w:p>
            <w:pPr>
              <w:spacing w:after="0"/>
            </w:pPr>
            <w:r>
              <w:rPr>
                <w:i/>
                <w:sz w:val="17"/>
                <w:szCs w:val="17"/>
              </w:rPr>
              <w:t xml:space="preserve">« Molécule : Urapidil (Ebrantil® per os) ou Doxazosine (Cardura® 2 à 16 mg/j). »</w:t>
            </w:r>
          </w:p>
        </w:tc>
        <w:tc>
          <w:tcPr>
            <w:tcW w:w="3000" w:type="dxa"/>
            <w:vAlign w:val="top"/>
          </w:tcPr>
          <w:p>
            <w:pPr>
              <w:spacing w:after="40"/>
            </w:pPr>
            <w:r>
              <w:rPr>
                <w:sz w:val="17"/>
                <w:szCs w:val="17"/>
              </w:rPr>
              <w:t xml:space="preserve">La disponibilité d'une forme orale d'Ebrantil® en Suisse et la place de l'urapidil dans la préparation préopératoire ne sont pas sourcées ; la phrase est nominale.</w:t>
            </w:r>
          </w:p>
          <w:p>
            <w:pPr>
              <w:spacing w:after="0"/>
            </w:pPr>
            <w:r>
              <w:rPr>
                <w:b/>
                <w:color w:val="145A32"/>
                <w:sz w:val="17"/>
                <w:szCs w:val="17"/>
              </w:rPr>
              <w:t xml:space="preserve">→ Vérifier dans AIPS chaque spécialité et sa dose ; écrire « Le médecin introduit un alpha-bloquant (doxazosine, Cardura®) 10 à 14 jours avant la chirurgie [Sn]. »</w:t>
            </w:r>
          </w:p>
        </w:tc>
        <w:tc>
          <w:tcPr>
            <w:tcW w:w="1800" w:type="dxa"/>
            <w:vAlign w:val="top"/>
          </w:tcPr>
          <w:p>
            <w:pPr>
              <w:spacing w:after="0"/>
            </w:pPr>
            <w:r>
              <w:rPr>
                <w:sz w:val="17"/>
                <w:szCs w:val="17"/>
              </w:rPr>
              <w:t xml:space="preserve">PROMPT_V6.md (prompt de base V6), § 3.3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L1-L39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D1.10 › 11.B › Traitement définitif</w:t>
            </w:r>
          </w:p>
        </w:tc>
        <w:tc>
          <w:tcPr>
            <w:tcW w:w="2600" w:type="dxa"/>
            <w:vAlign w:val="top"/>
          </w:tcPr>
          <w:p>
            <w:pPr>
              <w:spacing w:after="0"/>
            </w:pPr>
            <w:r>
              <w:rPr>
                <w:i/>
                <w:sz w:val="17"/>
                <w:szCs w:val="17"/>
              </w:rPr>
              <w:t xml:space="preserve">« Guérison complète de l'HTA dans les formes bénignes localisées. »</w:t>
            </w:r>
          </w:p>
        </w:tc>
        <w:tc>
          <w:tcPr>
            <w:tcW w:w="3000" w:type="dxa"/>
            <w:vAlign w:val="top"/>
          </w:tcPr>
          <w:p>
            <w:pPr>
              <w:spacing w:after="40"/>
            </w:pPr>
            <w:r>
              <w:rPr>
                <w:sz w:val="17"/>
                <w:szCs w:val="17"/>
              </w:rPr>
              <w:t xml:space="preserve">La phrase est nominale et promet une guérison complète de l'hypertension, alors qu'une hypertension résiduelle peut persister après surrénalectomie.</w:t>
            </w:r>
          </w:p>
          <w:p>
            <w:pPr>
              <w:spacing w:after="0"/>
            </w:pPr>
            <w:r>
              <w:rPr>
                <w:b/>
                <w:color w:val="145A32"/>
                <w:sz w:val="17"/>
                <w:szCs w:val="17"/>
              </w:rPr>
              <w:t xml:space="preserve">→ Écrire : « La surrénalectomie normalise souvent la pression artérielle ; le médecin contrôle la pression et les métanéphrines après l'intervention. »</w:t>
            </w:r>
          </w:p>
        </w:tc>
        <w:tc>
          <w:tcPr>
            <w:tcW w:w="1800" w:type="dxa"/>
            <w:vAlign w:val="top"/>
          </w:tcPr>
          <w:p>
            <w:pPr>
              <w:spacing w:after="0"/>
            </w:pPr>
            <w:r>
              <w:rPr>
                <w:sz w:val="17"/>
                <w:szCs w:val="17"/>
              </w:rPr>
              <w:t xml:space="preserve">PROMPT_V6.md (prompt de base V6), § 6.1 ; donnée non trouvée dans les sources consultées pour la fréquence de l'HTA résiduelle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L1-L47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8 › critères mineurs</w:t>
            </w:r>
          </w:p>
        </w:tc>
        <w:tc>
          <w:tcPr>
            <w:tcW w:w="2600" w:type="dxa"/>
            <w:vAlign w:val="top"/>
          </w:tcPr>
          <w:p>
            <w:pPr>
              <w:spacing w:after="0"/>
            </w:pPr>
            <w:r>
              <w:rPr>
                <w:i/>
                <w:sz w:val="17"/>
                <w:szCs w:val="17"/>
              </w:rPr>
              <w:t xml:space="preserve">« absence totale de sueurs nocturnes »</w:t>
            </w:r>
          </w:p>
        </w:tc>
        <w:tc>
          <w:tcPr>
            <w:tcW w:w="3000" w:type="dxa"/>
            <w:vAlign w:val="top"/>
          </w:tcPr>
          <w:p>
            <w:pPr>
              <w:spacing w:after="40"/>
            </w:pPr>
            <w:r>
              <w:rPr>
                <w:sz w:val="17"/>
                <w:szCs w:val="17"/>
              </w:rPr>
              <w:t xml:space="preserve">Le critère de consensus est l'arrêt de la sudation focale pendant le sommeil, non l'absence de sueurs nocturnes généralisées : la formulation change le sens du critère.</w:t>
            </w:r>
          </w:p>
          <w:p>
            <w:pPr>
              <w:spacing w:after="0"/>
            </w:pPr>
            <w:r>
              <w:rPr>
                <w:b/>
                <w:color w:val="145A32"/>
                <w:sz w:val="17"/>
                <w:szCs w:val="17"/>
              </w:rPr>
              <w:t xml:space="preserve">→ Écrire « arrêt de la sudation focale pendant le sommeil ».</w:t>
            </w:r>
          </w:p>
        </w:tc>
        <w:tc>
          <w:tcPr>
            <w:tcW w:w="1800" w:type="dxa"/>
            <w:vAlign w:val="top"/>
          </w:tcPr>
          <w:p>
            <w:pPr>
              <w:spacing w:after="0"/>
            </w:pPr>
            <w:r>
              <w:rPr>
                <w:sz w:val="17"/>
                <w:szCs w:val="17"/>
              </w:rPr>
              <w:t xml:space="preserve">Hornberger J et al., Recognition, diagnosis, and treatment of primary focal hyperhidrosis, J Am Acad Dermatol 2004;51:274-286 (consensus international)</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L1-L48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11.B › Moyens pharmacologiques (2ème et 3ème intentions)</w:t>
            </w:r>
          </w:p>
        </w:tc>
        <w:tc>
          <w:tcPr>
            <w:tcW w:w="2600" w:type="dxa"/>
            <w:vAlign w:val="top"/>
          </w:tcPr>
          <w:p>
            <w:pPr>
              <w:spacing w:after="0"/>
            </w:pPr>
            <w:r>
              <w:rPr>
                <w:i/>
                <w:sz w:val="17"/>
                <w:szCs w:val="17"/>
              </w:rPr>
              <w:t xml:space="preserve">« 100 U par paume »</w:t>
            </w:r>
          </w:p>
        </w:tc>
        <w:tc>
          <w:tcPr>
            <w:tcW w:w="3000" w:type="dxa"/>
            <w:vAlign w:val="top"/>
          </w:tcPr>
          <w:p>
            <w:pPr>
              <w:spacing w:after="40"/>
            </w:pPr>
            <w:r>
              <w:rPr>
                <w:sz w:val="17"/>
                <w:szCs w:val="17"/>
              </w:rPr>
              <w:t xml:space="preserve">Le texte présente l'injection palmaire de Botox® sans signaler son statut d'indication en Suisse ; l'indication autorisée vise l'hyperhidrose axillaire sévère dans les libellés européens consultés.</w:t>
            </w:r>
          </w:p>
          <w:p>
            <w:pPr>
              <w:spacing w:after="0"/>
            </w:pPr>
            <w:r>
              <w:rPr>
                <w:b/>
                <w:color w:val="145A32"/>
                <w:sz w:val="17"/>
                <w:szCs w:val="17"/>
              </w:rPr>
              <w:t xml:space="preserve">→ Vérifier l'indication dans l'information professionnelle suisse de Botox® et signaler l'usage palmaire « hors étiquette » si l'indication ne le couvre pas.</w:t>
            </w:r>
          </w:p>
        </w:tc>
        <w:tc>
          <w:tcPr>
            <w:tcW w:w="1800" w:type="dxa"/>
            <w:vAlign w:val="top"/>
          </w:tcPr>
          <w:p>
            <w:pPr>
              <w:spacing w:after="0"/>
            </w:pPr>
            <w:r>
              <w:rPr>
                <w:sz w:val="17"/>
                <w:szCs w:val="17"/>
              </w:rPr>
              <w:t xml:space="preserve">Indication européenne (Espagne) : hyperhidrose axillaire primaire sévère réfractaire, https://actasdermo.org/es-botulinum-toxin-injection-technique-for-articulo-S1578219014001176 ; information professionnelle suisse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L1-L49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point 3 Physiopathologie</w:t>
            </w:r>
          </w:p>
        </w:tc>
        <w:tc>
          <w:tcPr>
            <w:tcW w:w="2600" w:type="dxa"/>
            <w:vAlign w:val="top"/>
          </w:tcPr>
          <w:p>
            <w:pPr>
              <w:spacing w:after="0"/>
            </w:pPr>
            <w:r>
              <w:rPr>
                <w:i/>
                <w:sz w:val="17"/>
                <w:szCs w:val="17"/>
              </w:rPr>
              <w:t xml:space="preserve">« L'effondrement de l'œstradiol (&lt; 20 pg/mL) »</w:t>
            </w:r>
          </w:p>
        </w:tc>
        <w:tc>
          <w:tcPr>
            <w:tcW w:w="3000" w:type="dxa"/>
            <w:vAlign w:val="top"/>
          </w:tcPr>
          <w:p>
            <w:pPr>
              <w:spacing w:after="40"/>
            </w:pPr>
            <w:r>
              <w:rPr>
                <w:sz w:val="17"/>
                <w:szCs w:val="17"/>
              </w:rPr>
              <w:t xml:space="preserve">La valeur est donnée en pg/mL au lieu de l'unité SI suisse et sans source.</w:t>
            </w:r>
          </w:p>
          <w:p>
            <w:pPr>
              <w:spacing w:after="0"/>
            </w:pPr>
            <w:r>
              <w:rPr>
                <w:b/>
                <w:color w:val="145A32"/>
                <w:sz w:val="17"/>
                <w:szCs w:val="17"/>
              </w:rPr>
              <w:t xml:space="preserve">→ Écrire « (&lt; 73 pmol/L, calcul dérivé de 20 pg/mL × 3,671) » et citer la source du seuil.</w:t>
            </w:r>
          </w:p>
        </w:tc>
        <w:tc>
          <w:tcPr>
            <w:tcW w:w="1800" w:type="dxa"/>
            <w:vAlign w:val="top"/>
          </w:tcPr>
          <w:p>
            <w:pPr>
              <w:spacing w:after="0"/>
            </w:pPr>
            <w:r>
              <w:rPr>
                <w:sz w:val="17"/>
                <w:szCs w:val="17"/>
              </w:rPr>
              <w:t xml:space="preserve">PROMPT_V6.md (prompt de base V6), § 6.7, § 3.6 et § 13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L1-L50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point 2 Épidémiologie</w:t>
            </w:r>
          </w:p>
        </w:tc>
        <w:tc>
          <w:tcPr>
            <w:tcW w:w="2600" w:type="dxa"/>
            <w:vAlign w:val="top"/>
          </w:tcPr>
          <w:p>
            <w:pPr>
              <w:spacing w:after="0"/>
            </w:pPr>
            <w:r>
              <w:rPr>
                <w:i/>
                <w:sz w:val="17"/>
                <w:szCs w:val="17"/>
              </w:rPr>
              <w:t xml:space="preserve">« durant en moyenne 7,4 ans »</w:t>
            </w:r>
          </w:p>
        </w:tc>
        <w:tc>
          <w:tcPr>
            <w:tcW w:w="3000" w:type="dxa"/>
            <w:vAlign w:val="top"/>
          </w:tcPr>
          <w:p>
            <w:pPr>
              <w:spacing w:after="40"/>
            </w:pPr>
            <w:r>
              <w:rPr>
                <w:sz w:val="17"/>
                <w:szCs w:val="17"/>
              </w:rPr>
              <w:t xml:space="preserve">La durée moyenne de 7,4 ans provient d'une cohorte américaine non citée et l'âge médian « en Suisse » n'a pas de source suisse.</w:t>
            </w:r>
          </w:p>
          <w:p>
            <w:pPr>
              <w:spacing w:after="0"/>
            </w:pPr>
            <w:r>
              <w:rPr>
                <w:b/>
                <w:color w:val="145A32"/>
                <w:sz w:val="17"/>
                <w:szCs w:val="17"/>
              </w:rPr>
              <w:t xml:space="preserve">→ Citer une source suisse ou européenne lue (SSGO, EMAS) ou écrire « donnée non trouvée dans les sources consultées ».</w:t>
            </w:r>
          </w:p>
        </w:tc>
        <w:tc>
          <w:tcPr>
            <w:tcW w:w="1800" w:type="dxa"/>
            <w:vAlign w:val="top"/>
          </w:tcPr>
          <w:p>
            <w:pPr>
              <w:spacing w:after="0"/>
            </w:pPr>
            <w:r>
              <w:rPr>
                <w:sz w:val="17"/>
                <w:szCs w:val="17"/>
              </w:rPr>
              <w:t xml:space="preserve">PROMPT_V6.md (prompt de base V6), § 3.1 et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L1-L51</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11.D Pronostic et Recherche</w:t>
            </w:r>
          </w:p>
        </w:tc>
        <w:tc>
          <w:tcPr>
            <w:tcW w:w="2600" w:type="dxa"/>
            <w:vAlign w:val="top"/>
          </w:tcPr>
          <w:p>
            <w:pPr>
              <w:spacing w:after="0"/>
            </w:pPr>
            <w:r>
              <w:rPr>
                <w:i/>
                <w:sz w:val="17"/>
                <w:szCs w:val="17"/>
              </w:rPr>
              <w:t xml:space="preserve">« la destruction physique définitive (82 % de réduction stable) »</w:t>
            </w:r>
          </w:p>
        </w:tc>
        <w:tc>
          <w:tcPr>
            <w:tcW w:w="3000" w:type="dxa"/>
            <w:vAlign w:val="top"/>
          </w:tcPr>
          <w:p>
            <w:pPr>
              <w:spacing w:after="40"/>
            </w:pPr>
            <w:r>
              <w:rPr>
                <w:sz w:val="17"/>
                <w:szCs w:val="17"/>
              </w:rPr>
              <w:t xml:space="preserve">Le chiffre de 82 % et l'affirmation « la recherche clinique valide » en 2026 n'ont ni source ni numéro d'essai NCT.</w:t>
            </w:r>
          </w:p>
          <w:p>
            <w:pPr>
              <w:spacing w:after="0"/>
            </w:pPr>
            <w:r>
              <w:rPr>
                <w:b/>
                <w:color w:val="145A32"/>
                <w:sz w:val="17"/>
                <w:szCs w:val="17"/>
              </w:rPr>
              <w:t xml:space="preserve">→ Citer l'étude lue avec son identifiant ou écrire « donnée non trouvée dans les sources consultées ».</w:t>
            </w:r>
          </w:p>
        </w:tc>
        <w:tc>
          <w:tcPr>
            <w:tcW w:w="1800" w:type="dxa"/>
            <w:vAlign w:val="top"/>
          </w:tcPr>
          <w:p>
            <w:pPr>
              <w:spacing w:after="0"/>
            </w:pPr>
            <w:r>
              <w:rPr>
                <w:sz w:val="17"/>
                <w:szCs w:val="17"/>
              </w:rPr>
              <w:t xml:space="preserve">PROMPT_V6.md (prompt de base V6),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L1-L52</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11.D Pronostic et Recherche</w:t>
            </w:r>
          </w:p>
        </w:tc>
        <w:tc>
          <w:tcPr>
            <w:tcW w:w="2600" w:type="dxa"/>
            <w:vAlign w:val="top"/>
          </w:tcPr>
          <w:p>
            <w:pPr>
              <w:spacing w:after="0"/>
            </w:pPr>
            <w:r>
              <w:rPr>
                <w:i/>
                <w:sz w:val="17"/>
                <w:szCs w:val="17"/>
              </w:rPr>
              <w:t xml:space="preserve">« Élinzanetant (essais de phase III OASIS 1 à 4) à 120 mg/jour »</w:t>
            </w:r>
          </w:p>
        </w:tc>
        <w:tc>
          <w:tcPr>
            <w:tcW w:w="3000" w:type="dxa"/>
            <w:vAlign w:val="top"/>
          </w:tcPr>
          <w:p>
            <w:pPr>
              <w:spacing w:after="40"/>
            </w:pPr>
            <w:r>
              <w:rPr>
                <w:sz w:val="17"/>
                <w:szCs w:val="17"/>
              </w:rPr>
              <w:t xml:space="preserve">Les essais OASIS sont cités sans numéro NCT et sans statut d'autorisation suisse ou européen en 2026.</w:t>
            </w:r>
          </w:p>
          <w:p>
            <w:pPr>
              <w:spacing w:after="0"/>
            </w:pPr>
            <w:r>
              <w:rPr>
                <w:b/>
                <w:color w:val="145A32"/>
                <w:sz w:val="17"/>
                <w:szCs w:val="17"/>
              </w:rPr>
              <w:t xml:space="preserve">→ Ajouter les numéros NCT lus et le statut Swissmedic/EMA daté, ou écrire « donnée non trouvée dans les sources consultées ».</w:t>
            </w:r>
          </w:p>
        </w:tc>
        <w:tc>
          <w:tcPr>
            <w:tcW w:w="1800" w:type="dxa"/>
            <w:vAlign w:val="top"/>
          </w:tcPr>
          <w:p>
            <w:pPr>
              <w:spacing w:after="0"/>
            </w:pPr>
            <w:r>
              <w:rPr>
                <w:sz w:val="17"/>
                <w:szCs w:val="17"/>
              </w:rPr>
              <w:t xml:space="preserve">PROMPT_V6.md (prompt de base V6), § 5.11.D</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L1-L53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11.B › Moyens non médicamenteux</w:t>
            </w:r>
          </w:p>
        </w:tc>
        <w:tc>
          <w:tcPr>
            <w:tcW w:w="2600" w:type="dxa"/>
            <w:vAlign w:val="top"/>
          </w:tcPr>
          <w:p>
            <w:pPr>
              <w:spacing w:after="0"/>
            </w:pPr>
            <w:r>
              <w:rPr>
                <w:i/>
                <w:sz w:val="17"/>
                <w:szCs w:val="17"/>
              </w:rPr>
              <w:t xml:space="preserve">« Port de textiles respirants (coton, lin), chaussures en cuir »</w:t>
            </w:r>
          </w:p>
        </w:tc>
        <w:tc>
          <w:tcPr>
            <w:tcW w:w="3000" w:type="dxa"/>
            <w:vAlign w:val="top"/>
          </w:tcPr>
          <w:p>
            <w:pPr>
              <w:spacing w:after="40"/>
            </w:pPr>
            <w:r>
              <w:rPr>
                <w:sz w:val="17"/>
                <w:szCs w:val="17"/>
              </w:rPr>
              <w:t xml:space="preserve">Les sous-parties 8 et 11.B alignent des groupes nominaux au lieu de phrases verbales.</w:t>
            </w:r>
          </w:p>
          <w:p>
            <w:pPr>
              <w:spacing w:after="0"/>
            </w:pPr>
            <w:r>
              <w:rPr>
                <w:b/>
                <w:color w:val="145A32"/>
                <w:sz w:val="17"/>
                <w:szCs w:val="17"/>
              </w:rPr>
              <w:t xml:space="preserve">→ Écrire : « Le patient porte des textiles respirants (coton, lin) et des chaussures en cuir ; il évite caféine, alcool et épices. »</w:t>
            </w:r>
          </w:p>
        </w:tc>
        <w:tc>
          <w:tcPr>
            <w:tcW w:w="1800" w:type="dxa"/>
            <w:vAlign w:val="top"/>
          </w:tcPr>
          <w:p>
            <w:pPr>
              <w:spacing w:after="0"/>
            </w:pPr>
            <w:r>
              <w:rPr>
                <w:sz w:val="17"/>
                <w:szCs w:val="17"/>
              </w:rPr>
              <w:t xml:space="preserve">PROMPT_V6.md (prompt de base V6), § 6.1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L1-L64</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Sommaire et titres D1.1–D1.10 (premier exemple : D1.4)</w:t>
            </w:r>
          </w:p>
        </w:tc>
        <w:tc>
          <w:tcPr>
            <w:tcW w:w="2600" w:type="dxa"/>
            <w:vAlign w:val="top"/>
          </w:tcPr>
          <w:p>
            <w:pPr>
              <w:spacing w:after="0"/>
            </w:pPr>
            <w:r>
              <w:rPr>
                <w:i/>
                <w:sz w:val="17"/>
                <w:szCs w:val="17"/>
              </w:rPr>
              <w:t xml:space="preserve">« D1.4 — Hyperhidrose secondaire iatrogène et médicamenteuse (ISRS, IRSN, opioïdes) »</w:t>
            </w:r>
          </w:p>
        </w:tc>
        <w:tc>
          <w:tcPr>
            <w:tcW w:w="3000" w:type="dxa"/>
            <w:vAlign w:val="top"/>
          </w:tcPr>
          <w:p>
            <w:pPr>
              <w:spacing w:after="40"/>
            </w:pPr>
            <w:r>
              <w:rPr>
                <w:sz w:val="17"/>
                <w:szCs w:val="17"/>
              </w:rPr>
              <w:t xml:space="preserve">Les dix DX n'ont ni badge de fréquence sourcé ni mention « Ne rang — fréquence non quantifiée (Suisse) », et le critère d'ordre n'est pas annoncé.</w:t>
            </w:r>
          </w:p>
          <w:p>
            <w:pPr>
              <w:spacing w:after="0"/>
            </w:pPr>
            <w:r>
              <w:rPr>
                <w:b/>
                <w:color w:val="145A32"/>
                <w:sz w:val="17"/>
                <w:szCs w:val="17"/>
              </w:rPr>
              <w:t xml:space="preserve">→ Ajouter à chaque titre « Ne rang — fréquence non quantifiée (Suisse) » ou un badge sourcé, et annoncer le critère d'ordre dans l'en-tête.</w:t>
            </w:r>
          </w:p>
        </w:tc>
        <w:tc>
          <w:tcPr>
            <w:tcW w:w="1800" w:type="dxa"/>
            <w:vAlign w:val="top"/>
          </w:tcPr>
          <w:p>
            <w:pPr>
              <w:spacing w:after="0"/>
            </w:pPr>
            <w:r>
              <w:rPr>
                <w:sz w:val="17"/>
                <w:szCs w:val="17"/>
              </w:rPr>
              <w:t xml:space="preserve">PROMPT_V6.md (prompt de base V6), § 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L1-L65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point 13 Points clés</w:t>
            </w:r>
          </w:p>
        </w:tc>
        <w:tc>
          <w:tcPr>
            <w:tcW w:w="2600" w:type="dxa"/>
            <w:vAlign w:val="top"/>
          </w:tcPr>
          <w:p>
            <w:pPr>
              <w:spacing w:after="0"/>
            </w:pPr>
            <w:r>
              <w:rPr>
                <w:i/>
                <w:sz w:val="17"/>
                <w:szCs w:val="17"/>
              </w:rPr>
              <w:t xml:space="preserve">« Le diagnostic classique retient une sudation focale visible depuis au moins 6 mois »</w:t>
            </w:r>
          </w:p>
        </w:tc>
        <w:tc>
          <w:tcPr>
            <w:tcW w:w="3000" w:type="dxa"/>
            <w:vAlign w:val="top"/>
          </w:tcPr>
          <w:p>
            <w:pPr>
              <w:spacing w:after="40"/>
            </w:pPr>
            <w:r>
              <w:rPr>
                <w:sz w:val="17"/>
                <w:szCs w:val="17"/>
              </w:rPr>
              <w:t xml:space="preserve">Le point 13 recopie mot pour mot la première phrase des points 8, 11.B et 11.C dans les onze monographies : cette répétition n'apporte aucune synthèse.</w:t>
            </w:r>
          </w:p>
          <w:p>
            <w:pPr>
              <w:spacing w:after="0"/>
            </w:pPr>
            <w:r>
              <w:rPr>
                <w:b/>
                <w:color w:val="145A32"/>
                <w:sz w:val="17"/>
                <w:szCs w:val="17"/>
              </w:rPr>
              <w:t xml:space="preserve">→ Rédiger 3 à 6 phrases de synthèse originales par monographie, centrées sur le message décisionnel.</w:t>
            </w:r>
          </w:p>
        </w:tc>
        <w:tc>
          <w:tcPr>
            <w:tcW w:w="1800" w:type="dxa"/>
            <w:vAlign w:val="top"/>
          </w:tcPr>
          <w:p>
            <w:pPr>
              <w:spacing w:after="0"/>
            </w:pPr>
            <w:r>
              <w:rPr>
                <w:sz w:val="17"/>
                <w:szCs w:val="17"/>
              </w:rPr>
              <w:t xml:space="preserve">PROMPT_V6.md (prompt de base V6), § 5.13 et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L1-L66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point 9 › fenêtre « Consulter la hiérarchie des examens » › Gold standard</w:t>
            </w:r>
          </w:p>
        </w:tc>
        <w:tc>
          <w:tcPr>
            <w:tcW w:w="2600" w:type="dxa"/>
            <w:vAlign w:val="top"/>
          </w:tcPr>
          <w:p>
            <w:pPr>
              <w:spacing w:after="0"/>
            </w:pPr>
            <w:r>
              <w:rPr>
                <w:i/>
                <w:sz w:val="17"/>
                <w:szCs w:val="17"/>
              </w:rPr>
              <w:t xml:space="preserve">« Gold standard / référence : le test confirme une question précise »</w:t>
            </w:r>
          </w:p>
        </w:tc>
        <w:tc>
          <w:tcPr>
            <w:tcW w:w="3000" w:type="dxa"/>
            <w:vAlign w:val="top"/>
          </w:tcPr>
          <w:p>
            <w:pPr>
              <w:spacing w:after="40"/>
            </w:pPr>
            <w:r>
              <w:rPr>
                <w:sz w:val="17"/>
                <w:szCs w:val="17"/>
              </w:rPr>
              <w:t xml:space="preserve">La rubrique « Gold standard » recopie le texte principal du point 9 dans les onze monographies, au lieu de nommer l'examen de référence avec sa sensibilité, sa spécificité et son seuil.</w:t>
            </w:r>
          </w:p>
          <w:p>
            <w:pPr>
              <w:spacing w:after="0"/>
            </w:pPr>
            <w:r>
              <w:rPr>
                <w:b/>
                <w:color w:val="145A32"/>
                <w:sz w:val="17"/>
                <w:szCs w:val="17"/>
              </w:rPr>
              <w:t xml:space="preserve">→ Remplacer la copie par l'examen de référence, sa sensibilité, sa spécificité et son seuil sourcés (par exemple polysomnographie pour D1.3).</w:t>
            </w:r>
          </w:p>
        </w:tc>
        <w:tc>
          <w:tcPr>
            <w:tcW w:w="1800" w:type="dxa"/>
            <w:vAlign w:val="top"/>
          </w:tcPr>
          <w:p>
            <w:pPr>
              <w:spacing w:after="0"/>
            </w:pPr>
            <w:r>
              <w:rPr>
                <w:sz w:val="17"/>
                <w:szCs w:val="17"/>
              </w:rPr>
              <w:t xml:space="preserve">PROMPT_V6.md (prompt de base V6), § 5.9.a et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L1-L67</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D1.5 › points 1, 2 et 14</w:t>
            </w:r>
          </w:p>
        </w:tc>
        <w:tc>
          <w:tcPr>
            <w:tcW w:w="2600" w:type="dxa"/>
            <w:vAlign w:val="top"/>
          </w:tcPr>
          <w:p>
            <w:pPr>
              <w:spacing w:after="0"/>
            </w:pPr>
            <w:r>
              <w:rPr>
                <w:i/>
                <w:sz w:val="17"/>
                <w:szCs w:val="17"/>
              </w:rPr>
              <w:t xml:space="preserve">« Un trouble à symptomatologie somatique implique une réponse disproportionnée »</w:t>
            </w:r>
          </w:p>
        </w:tc>
        <w:tc>
          <w:tcPr>
            <w:tcW w:w="3000" w:type="dxa"/>
            <w:vAlign w:val="top"/>
          </w:tcPr>
          <w:p>
            <w:pPr>
              <w:spacing w:after="40"/>
            </w:pPr>
            <w:r>
              <w:rPr>
                <w:sz w:val="17"/>
                <w:szCs w:val="17"/>
              </w:rPr>
              <w:t xml:space="preserve">La monographie du trouble panique définit et discute le trouble à symptomatologie somatique, entité hors du DX annoncé : le contenu provient d'un autre lot.</w:t>
            </w:r>
          </w:p>
          <w:p>
            <w:pPr>
              <w:spacing w:after="0"/>
            </w:pPr>
            <w:r>
              <w:rPr>
                <w:b/>
                <w:color w:val="145A32"/>
                <w:sz w:val="17"/>
                <w:szCs w:val="17"/>
              </w:rPr>
              <w:t xml:space="preserve">→ Supprimer les phrases sur le trouble à symptomatologie somatique et définir le trouble panique et le trouble anxieux généralisé selon la CIM-11.</w:t>
            </w:r>
          </w:p>
        </w:tc>
        <w:tc>
          <w:tcPr>
            <w:tcW w:w="1800" w:type="dxa"/>
            <w:vAlign w:val="top"/>
          </w:tcPr>
          <w:p>
            <w:pPr>
              <w:spacing w:after="0"/>
            </w:pPr>
            <w:r>
              <w:rPr>
                <w:sz w:val="17"/>
                <w:szCs w:val="17"/>
              </w:rPr>
              <w:t xml:space="preserve">PROMPT_V6.md (prompt de base V6), § 5.1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L1-L68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D1.8 › points 1, 2, 3, 9 et 11.B</w:t>
            </w:r>
          </w:p>
        </w:tc>
        <w:tc>
          <w:tcPr>
            <w:tcW w:w="2600" w:type="dxa"/>
            <w:vAlign w:val="top"/>
          </w:tcPr>
          <w:p>
            <w:pPr>
              <w:spacing w:after="0"/>
            </w:pPr>
            <w:r>
              <w:rPr>
                <w:i/>
                <w:sz w:val="17"/>
                <w:szCs w:val="17"/>
              </w:rPr>
              <w:t xml:space="preserve">« Les infections mycosiques pulmonaires constituent un groupe distinct »</w:t>
            </w:r>
          </w:p>
        </w:tc>
        <w:tc>
          <w:tcPr>
            <w:tcW w:w="3000" w:type="dxa"/>
            <w:vAlign w:val="top"/>
          </w:tcPr>
          <w:p>
            <w:pPr>
              <w:spacing w:after="40"/>
            </w:pPr>
            <w:r>
              <w:rPr>
                <w:sz w:val="17"/>
                <w:szCs w:val="17"/>
              </w:rPr>
              <w:t xml:space="preserve">La monographie de la tuberculose traite des mycoses pulmonaires, qui ne figurent pas dans le titre du DX : le contenu provient d'un autre plan.</w:t>
            </w:r>
          </w:p>
          <w:p>
            <w:pPr>
              <w:spacing w:after="0"/>
            </w:pPr>
            <w:r>
              <w:rPr>
                <w:b/>
                <w:color w:val="145A32"/>
                <w:sz w:val="17"/>
                <w:szCs w:val="17"/>
              </w:rPr>
              <w:t xml:space="preserve">→ Supprimer les mentions des mycoses ou les déplacer dans le diagnostic différentiel du point 4.</w:t>
            </w:r>
          </w:p>
        </w:tc>
        <w:tc>
          <w:tcPr>
            <w:tcW w:w="1800" w:type="dxa"/>
            <w:vAlign w:val="top"/>
          </w:tcPr>
          <w:p>
            <w:pPr>
              <w:spacing w:after="0"/>
            </w:pPr>
            <w:r>
              <w:rPr>
                <w:sz w:val="17"/>
                <w:szCs w:val="17"/>
              </w:rPr>
              <w:t xml:space="preserve">PROMPT_V6.md (prompt de base V6), § 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L1-L69</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SSP G1 › point 1 Définition</w:t>
            </w:r>
          </w:p>
        </w:tc>
        <w:tc>
          <w:tcPr>
            <w:tcW w:w="2600" w:type="dxa"/>
            <w:vAlign w:val="top"/>
          </w:tcPr>
          <w:p>
            <w:pPr>
              <w:spacing w:after="0"/>
            </w:pPr>
            <w:r>
              <w:rPr>
                <w:i/>
                <w:sz w:val="17"/>
                <w:szCs w:val="17"/>
              </w:rPr>
              <w:t xml:space="preserve">« La transpiration anormale peut être excessive, localisée ou généralisée. »</w:t>
            </w:r>
          </w:p>
        </w:tc>
        <w:tc>
          <w:tcPr>
            <w:tcW w:w="3000" w:type="dxa"/>
            <w:vAlign w:val="top"/>
          </w:tcPr>
          <w:p>
            <w:pPr>
              <w:spacing w:after="40"/>
            </w:pPr>
            <w:r>
              <w:rPr>
                <w:sz w:val="17"/>
                <w:szCs w:val="17"/>
              </w:rPr>
              <w:t xml:space="preserve">La définition ne vient d'aucune société savante, ignore l'hypohidrose, l'anhidrose et les anomalies qualitatives, et appauvrit la définition de l'Appel A.</w:t>
            </w:r>
          </w:p>
          <w:p>
            <w:pPr>
              <w:spacing w:after="0"/>
            </w:pPr>
            <w:r>
              <w:rPr>
                <w:b/>
                <w:color w:val="145A32"/>
                <w:sz w:val="17"/>
                <w:szCs w:val="17"/>
              </w:rPr>
              <w:t xml:space="preserve">→ Reprendre la définition sourcée (hyperhidrose, diaphorèse, sueurs nocturnes, hypohidrose, anhidrose) avec une fenêtre par terme et la source [Sn].</w:t>
            </w:r>
          </w:p>
        </w:tc>
        <w:tc>
          <w:tcPr>
            <w:tcW w:w="1800" w:type="dxa"/>
            <w:vAlign w:val="top"/>
          </w:tcPr>
          <w:p>
            <w:pPr>
              <w:spacing w:after="0"/>
            </w:pPr>
            <w:r>
              <w:rPr>
                <w:sz w:val="17"/>
                <w:szCs w:val="17"/>
              </w:rPr>
              <w:t xml:space="preserve">PROMPT_V6.md (prompt de base V6), § 5.1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L1-L70</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D1.7 › références</w:t>
            </w:r>
          </w:p>
        </w:tc>
        <w:tc>
          <w:tcPr>
            <w:tcW w:w="2600" w:type="dxa"/>
            <w:vAlign w:val="top"/>
          </w:tcPr>
          <w:p>
            <w:pPr>
              <w:spacing w:after="0"/>
            </w:pPr>
            <w:r>
              <w:rPr>
                <w:i/>
                <w:sz w:val="17"/>
                <w:szCs w:val="17"/>
              </w:rPr>
              <w:t xml:space="preserve">« NHS — Diagnostic de l’hyperthyroïdie »</w:t>
            </w:r>
          </w:p>
        </w:tc>
        <w:tc>
          <w:tcPr>
            <w:tcW w:w="3000" w:type="dxa"/>
            <w:vAlign w:val="top"/>
          </w:tcPr>
          <w:p>
            <w:pPr>
              <w:spacing w:after="40"/>
            </w:pPr>
            <w:r>
              <w:rPr>
                <w:sz w:val="17"/>
                <w:szCs w:val="17"/>
              </w:rPr>
              <w:t xml:space="preserve">La seule source de D1.7 est une page grand public du NHS, et non une recommandation de société savante.</w:t>
            </w:r>
          </w:p>
          <w:p>
            <w:pPr>
              <w:spacing w:after="0"/>
            </w:pPr>
            <w:r>
              <w:rPr>
                <w:b/>
                <w:color w:val="145A32"/>
                <w:sz w:val="17"/>
                <w:szCs w:val="17"/>
              </w:rPr>
              <w:t xml:space="preserve">→ Citer les recommandations de l'European Thyroid Association (Kahaly et al., Eur Thyroid J 2018) ou de la SSED.</w:t>
            </w:r>
          </w:p>
        </w:tc>
        <w:tc>
          <w:tcPr>
            <w:tcW w:w="1800" w:type="dxa"/>
            <w:vAlign w:val="top"/>
          </w:tcPr>
          <w:p>
            <w:pPr>
              <w:spacing w:after="0"/>
            </w:pPr>
            <w:r>
              <w:rPr>
                <w:sz w:val="17"/>
                <w:szCs w:val="17"/>
              </w:rPr>
              <w:t xml:space="preserve">PROMPT_V6.md (prompt de base V6), § 3.2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L1-M16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Fichier entier › point 13 des 11 monographies (premier : SSP G1)</w:t>
            </w:r>
          </w:p>
        </w:tc>
        <w:tc>
          <w:tcPr>
            <w:tcW w:w="2600" w:type="dxa"/>
            <w:vAlign w:val="top"/>
          </w:tcPr>
          <w:p>
            <w:pPr>
              <w:spacing w:after="0"/>
            </w:pPr>
            <w:r>
              <w:rPr>
                <w:i/>
                <w:sz w:val="17"/>
                <w:szCs w:val="17"/>
              </w:rPr>
              <w:t xml:space="preserve">« 13. Points clés L'hyperhidrose correspond à une sudation excessive pour les besoins thermiques. »</w:t>
            </w:r>
          </w:p>
        </w:tc>
        <w:tc>
          <w:tcPr>
            <w:tcW w:w="3000" w:type="dxa"/>
            <w:vAlign w:val="top"/>
          </w:tcPr>
          <w:p>
            <w:pPr>
              <w:spacing w:after="40"/>
            </w:pPr>
            <w:r>
              <w:rPr>
                <w:sz w:val="17"/>
                <w:szCs w:val="17"/>
              </w:rPr>
              <w:t xml:space="preserve">Les « points clés » recopient mot pour mot une phrase des points 8, 11.B et 11.C de chaque monographie (11 occurrences) ; de même, le texte du point 9 est répété à l'identique dans la fenêtre « Gold standard », ce qui n'apporte aucune information.</w:t>
            </w:r>
          </w:p>
          <w:p>
            <w:pPr>
              <w:spacing w:after="0"/>
            </w:pPr>
            <w:r>
              <w:rPr>
                <w:b/>
                <w:color w:val="145A32"/>
                <w:sz w:val="17"/>
                <w:szCs w:val="17"/>
              </w:rPr>
              <w:t xml:space="preserve">→ Réécrire chaque point 13 en 3 à 6 phrases verbales nouvelles qui synthétisent le discriminant, le seuil et la conduite ; remplacer le doublon « Gold standard » par le test de référence avec sa sensibilité, sa spécificité et son seuil.</w:t>
            </w:r>
          </w:p>
        </w:tc>
        <w:tc>
          <w:tcPr>
            <w:tcW w:w="1800" w:type="dxa"/>
            <w:vAlign w:val="top"/>
          </w:tcPr>
          <w:p>
            <w:pPr>
              <w:spacing w:after="0"/>
            </w:pPr>
            <w:r>
              <w:rPr>
                <w:sz w:val="17"/>
                <w:szCs w:val="17"/>
              </w:rPr>
              <w:t xml:space="preserve">PROMPT_V6 § 5 points 9.a et 13 ; § 6.4 (aucune répétition)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L1-M22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D1.9 › point 8 Critères</w:t>
            </w:r>
          </w:p>
        </w:tc>
        <w:tc>
          <w:tcPr>
            <w:tcW w:w="2600" w:type="dxa"/>
            <w:vAlign w:val="top"/>
          </w:tcPr>
          <w:p>
            <w:pPr>
              <w:spacing w:after="0"/>
            </w:pPr>
            <w:r>
              <w:rPr>
                <w:i/>
                <w:sz w:val="17"/>
                <w:szCs w:val="17"/>
              </w:rPr>
              <w:t xml:space="preserve">« Les symptômes B associent classiquement une fièvre inexpliquée, des sueurs nocturnes profuses ou une perte de poids importante »</w:t>
            </w:r>
          </w:p>
        </w:tc>
        <w:tc>
          <w:tcPr>
            <w:tcW w:w="3000" w:type="dxa"/>
            <w:vAlign w:val="top"/>
          </w:tcPr>
          <w:p>
            <w:pPr>
              <w:spacing w:after="40"/>
            </w:pPr>
            <w:r>
              <w:rPr>
                <w:sz w:val="17"/>
                <w:szCs w:val="17"/>
              </w:rPr>
              <w:t xml:space="preserve">Les symptômes B ne sont pas chiffrés, alors que leurs seuils conditionnent la stadification.</w:t>
            </w:r>
          </w:p>
          <w:p>
            <w:pPr>
              <w:spacing w:after="0"/>
            </w:pPr>
            <w:r>
              <w:rPr>
                <w:b/>
                <w:color w:val="145A32"/>
                <w:sz w:val="17"/>
                <w:szCs w:val="17"/>
              </w:rPr>
              <w:t xml:space="preserve">→ Écrire : « Les symptômes B associent une fièvre inexpliquée &gt; 38 °C, des sueurs nocturnes profuses et une perte de poids inexpliquée &gt; 10 % en 6 mois. »</w:t>
            </w:r>
          </w:p>
        </w:tc>
        <w:tc>
          <w:tcPr>
            <w:tcW w:w="1800" w:type="dxa"/>
            <w:vAlign w:val="top"/>
          </w:tcPr>
          <w:p>
            <w:pPr>
              <w:spacing w:after="0"/>
            </w:pPr>
            <w:r>
              <w:rPr>
                <w:sz w:val="17"/>
                <w:szCs w:val="17"/>
              </w:rPr>
              <w:t xml:space="preserve">ESMO — Eichenauer DA et al., Hodgkin lymphoma: ESMO Clinical Practice Guidelines, Ann Oncol 2018;29(Suppl 4):iv19-iv29 ; Lugano classification 2014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L1-M23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D1.2 › point 8 Critères</w:t>
            </w:r>
          </w:p>
        </w:tc>
        <w:tc>
          <w:tcPr>
            <w:tcW w:w="2600" w:type="dxa"/>
            <w:vAlign w:val="top"/>
          </w:tcPr>
          <w:p>
            <w:pPr>
              <w:spacing w:after="0"/>
            </w:pPr>
            <w:r>
              <w:rPr>
                <w:i/>
                <w:sz w:val="17"/>
                <w:szCs w:val="17"/>
              </w:rPr>
              <w:t xml:space="preserve">« 8. Critères Chez une personne d'âge habituel, la ménopause est généralement un diagnostic clinique »</w:t>
            </w:r>
          </w:p>
        </w:tc>
        <w:tc>
          <w:tcPr>
            <w:tcW w:w="3000" w:type="dxa"/>
            <w:vAlign w:val="top"/>
          </w:tcPr>
          <w:p>
            <w:pPr>
              <w:spacing w:after="40"/>
            </w:pPr>
            <w:r>
              <w:rPr>
                <w:sz w:val="17"/>
                <w:szCs w:val="17"/>
              </w:rPr>
              <w:t xml:space="preserve">L'expression « âge habituel » est vague : le seuil d'âge qui dispense de dosage hormonal n'est pas donné.</w:t>
            </w:r>
          </w:p>
          <w:p>
            <w:pPr>
              <w:spacing w:after="0"/>
            </w:pPr>
            <w:r>
              <w:rPr>
                <w:b/>
                <w:color w:val="145A32"/>
                <w:sz w:val="17"/>
                <w:szCs w:val="17"/>
              </w:rPr>
              <w:t xml:space="preserve">→ Écrire : « Chez une femme de 45 ans ou plus sans contraception hormonale, le médecin pose le diagnostic clinique de ménopause après 12 mois d'aménorrhée ; avant 40 ans, il recherche une insuffisance ovarienne prématurée par deux dosages de FSH à 4–6 semaines d'intervalle. »</w:t>
            </w:r>
          </w:p>
        </w:tc>
        <w:tc>
          <w:tcPr>
            <w:tcW w:w="1800" w:type="dxa"/>
            <w:vAlign w:val="top"/>
          </w:tcPr>
          <w:p>
            <w:pPr>
              <w:spacing w:after="0"/>
            </w:pPr>
            <w:r>
              <w:rPr>
                <w:sz w:val="17"/>
                <w:szCs w:val="17"/>
              </w:rPr>
              <w:t xml:space="preserve">NICE NG23 — Menopause: diagnosis and management, 2015 (mise à jour 2024) ; ESHRE — POI Guideline 2024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L1-M24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SSP G1 › point 2 Épidémiologie</w:t>
            </w:r>
          </w:p>
        </w:tc>
        <w:tc>
          <w:tcPr>
            <w:tcW w:w="2600" w:type="dxa"/>
            <w:vAlign w:val="top"/>
          </w:tcPr>
          <w:p>
            <w:pPr>
              <w:spacing w:after="0"/>
            </w:pPr>
            <w:r>
              <w:rPr>
                <w:i/>
                <w:sz w:val="17"/>
                <w:szCs w:val="17"/>
              </w:rPr>
              <w:t xml:space="preserve">« Les sueurs peuvent être liées à une hyperhidrose primaire ou à des causes secondaires fréquentes. »</w:t>
            </w:r>
          </w:p>
        </w:tc>
        <w:tc>
          <w:tcPr>
            <w:tcW w:w="3000" w:type="dxa"/>
            <w:vAlign w:val="top"/>
          </w:tcPr>
          <w:p>
            <w:pPr>
              <w:spacing w:after="40"/>
            </w:pPr>
            <w:r>
              <w:rPr>
                <w:sz w:val="17"/>
                <w:szCs w:val="17"/>
              </w:rPr>
              <w:t xml:space="preserve">L'épidémiologie du SSP ne contient aucun chiffre ; le passage à la V6 a supprimé sans remplacement les données de l'Appel A au lieu de les sourcer.</w:t>
            </w:r>
          </w:p>
          <w:p>
            <w:pPr>
              <w:spacing w:after="0"/>
            </w:pPr>
            <w:r>
              <w:rPr>
                <w:b/>
                <w:color w:val="145A32"/>
                <w:sz w:val="17"/>
                <w:szCs w:val="17"/>
              </w:rPr>
              <w:t xml:space="preserve">→ Donner au minimum la prévalence de l'hyperhidrose primaire et sa source européenne datée, ou écrire « donnée non trouvée dans les sources consultées » pour la Suisse avec une question HELP précise.</w:t>
            </w:r>
          </w:p>
        </w:tc>
        <w:tc>
          <w:tcPr>
            <w:tcW w:w="1800" w:type="dxa"/>
            <w:vAlign w:val="top"/>
          </w:tcPr>
          <w:p>
            <w:pPr>
              <w:spacing w:after="0"/>
            </w:pPr>
            <w:r>
              <w:rPr>
                <w:sz w:val="17"/>
                <w:szCs w:val="17"/>
              </w:rPr>
              <w:t xml:space="preserve">AWMF/DDG — S1-Leitlinie 013-059 « Definition und Therapie der primären Hyperhidrose », 2023 (valable jusqu'au 18.02.2028) — https://register.awmf.org/assets/guidelines/013-059l_S1_Definition-Therapie-primaeren-Hyperhidrose_2023-07.pdf — consulté le 22.10.2026 ; PROMPT_V6 § 5 point 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L1-M29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9 Examens complémentaires › 1re intention</w:t>
            </w:r>
          </w:p>
        </w:tc>
        <w:tc>
          <w:tcPr>
            <w:tcW w:w="2600" w:type="dxa"/>
            <w:vAlign w:val="top"/>
          </w:tcPr>
          <w:p>
            <w:pPr>
              <w:spacing w:after="0"/>
            </w:pPr>
            <w:r>
              <w:rPr>
                <w:i/>
                <w:sz w:val="17"/>
                <w:szCs w:val="17"/>
              </w:rPr>
              <w:t xml:space="preserve">« le dépistage du VIH, un test interféron-gamma et une radiographie thoracique »</w:t>
            </w:r>
          </w:p>
        </w:tc>
        <w:tc>
          <w:tcPr>
            <w:tcW w:w="3000" w:type="dxa"/>
            <w:vAlign w:val="top"/>
          </w:tcPr>
          <w:p>
            <w:pPr>
              <w:spacing w:after="40"/>
            </w:pPr>
            <w:r>
              <w:rPr>
                <w:sz w:val="17"/>
                <w:szCs w:val="17"/>
              </w:rPr>
              <w:t xml:space="preserve">Le texte place un test de libération de l'interféron gamma (IGRA) dans le bilan systématique, alors qu'un IGRA ne distingue pas infection latente et tuberculose active et ne confirme ni n'exclut une maladie active.</w:t>
            </w:r>
          </w:p>
          <w:p>
            <w:pPr>
              <w:spacing w:after="0"/>
            </w:pPr>
            <w:r>
              <w:rPr>
                <w:b/>
                <w:color w:val="145A32"/>
                <w:sz w:val="17"/>
                <w:szCs w:val="17"/>
              </w:rPr>
              <w:t xml:space="preserve">→ Écrire : « Le médecin prescrit une radiographie thoracique et, si la clinique évoque une tuberculose active, trois expectorations pour microscopie, PCR et culture ; l'IGRA ne sert pas au diagnostic de la tuberculose active. »</w:t>
            </w:r>
          </w:p>
        </w:tc>
        <w:tc>
          <w:tcPr>
            <w:tcW w:w="1800" w:type="dxa"/>
            <w:vAlign w:val="top"/>
          </w:tcPr>
          <w:p>
            <w:pPr>
              <w:spacing w:after="0"/>
            </w:pPr>
            <w:r>
              <w:rPr>
                <w:sz w:val="17"/>
                <w:szCs w:val="17"/>
              </w:rPr>
              <w:t xml:space="preserve">Ligue pulmonaire suisse/OFSP — Manuel de la tuberculose, 2021 (diagnostic de la tuberculose active) — https://www.tbinfo.ch</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14 Pièges</w:t>
            </w:r>
          </w:p>
        </w:tc>
        <w:tc>
          <w:tcPr>
            <w:tcW w:w="2600" w:type="dxa"/>
            <w:vAlign w:val="top"/>
          </w:tcPr>
          <w:p>
            <w:pPr>
              <w:spacing w:after="0"/>
            </w:pPr>
            <w:r>
              <w:rPr>
                <w:i/>
                <w:sz w:val="17"/>
                <w:szCs w:val="17"/>
              </w:rPr>
              <w:t xml:space="preserve">« la sueur dilue le produit et forme de l'acide chlorhydrique responsable d'une brûlure chimique sévère sans aucune efficacité »</w:t>
            </w:r>
          </w:p>
        </w:tc>
        <w:tc>
          <w:tcPr>
            <w:tcW w:w="3000" w:type="dxa"/>
            <w:vAlign w:val="top"/>
          </w:tcPr>
          <w:p>
            <w:pPr>
              <w:spacing w:after="40"/>
            </w:pPr>
            <w:r>
              <w:rPr>
                <w:sz w:val="17"/>
                <w:szCs w:val="17"/>
              </w:rPr>
              <w:t xml:space="preserve">Le texte exagère l'effet : la ligne directrice décrit une dermatite irritative des plis, non une brûlure chimique sévère ; la même exagération figure dans le point 14 de D1.1 du fichier V4 Partie 1.</w:t>
            </w:r>
          </w:p>
          <w:p>
            <w:pPr>
              <w:spacing w:after="0"/>
            </w:pPr>
            <w:r>
              <w:rPr>
                <w:b/>
                <w:color w:val="145A32"/>
                <w:sz w:val="17"/>
                <w:szCs w:val="17"/>
              </w:rPr>
              <w:t xml:space="preserve">→ Écrire : « Sur une peau humide, le chlorure d'aluminium s'hydrolyse et irrite la peau ; le patient l'applique le soir sur peau sèche, car les glandes ne sécrètent pas pendant le sommeil. »</w:t>
            </w:r>
          </w:p>
        </w:tc>
        <w:tc>
          <w:tcPr>
            <w:tcW w:w="1800" w:type="dxa"/>
            <w:vAlign w:val="top"/>
          </w:tcPr>
          <w:p>
            <w:pPr>
              <w:spacing w:after="0"/>
            </w:pPr>
            <w:r>
              <w:rPr>
                <w:sz w:val="17"/>
                <w:szCs w:val="17"/>
              </w:rPr>
              <w:t xml:space="preserve">AWMF/DDG — S1-Leitlinie 013-059 « Definition und Therapie der primären Hyperhidrose », 2023 (valable jusqu'au 18.02.2028) — https://register.awmf.org/assets/guidelines/013-059l_S1_Definition-Therapie-primaeren-Hyperhidrose_2023-07.pdf — consulté le 22.10.2026 (§ 2.1.1.1)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11.D Pronostic</w:t>
            </w:r>
          </w:p>
        </w:tc>
        <w:tc>
          <w:tcPr>
            <w:tcW w:w="2600" w:type="dxa"/>
            <w:vAlign w:val="top"/>
          </w:tcPr>
          <w:p>
            <w:pPr>
              <w:spacing w:after="0"/>
            </w:pPr>
            <w:r>
              <w:rPr>
                <w:i/>
                <w:sz w:val="17"/>
                <w:szCs w:val="17"/>
              </w:rPr>
              <w:t xml:space="preserve">« La toxine botulique assure une rémission complète de 6 à 12 mois. »</w:t>
            </w:r>
          </w:p>
        </w:tc>
        <w:tc>
          <w:tcPr>
            <w:tcW w:w="3000" w:type="dxa"/>
            <w:vAlign w:val="top"/>
          </w:tcPr>
          <w:p>
            <w:pPr>
              <w:spacing w:after="40"/>
            </w:pPr>
            <w:r>
              <w:rPr>
                <w:sz w:val="17"/>
                <w:szCs w:val="17"/>
              </w:rPr>
              <w:t xml:space="preserve">Le texte promet une « rémission complète » d'une durée non sourcée ; la réponse est variable et l'information professionnelle suisse impose un intervalle minimal entre deux séances.</w:t>
            </w:r>
          </w:p>
          <w:p>
            <w:pPr>
              <w:spacing w:after="0"/>
            </w:pPr>
            <w:r>
              <w:rPr>
                <w:b/>
                <w:color w:val="145A32"/>
                <w:sz w:val="17"/>
                <w:szCs w:val="17"/>
              </w:rPr>
              <w:t xml:space="preserve">→ Écrire : « La toxine botulique réduit nettement la sudation axillaire pendant plusieurs mois ; une à deux séances par an suffisent habituellement, et l'injection n'est pas répétée avant 16 semaines. »</w:t>
            </w:r>
          </w:p>
        </w:tc>
        <w:tc>
          <w:tcPr>
            <w:tcW w:w="1800" w:type="dxa"/>
            <w:vAlign w:val="top"/>
          </w:tcPr>
          <w:p>
            <w:pPr>
              <w:spacing w:after="0"/>
            </w:pPr>
            <w:r>
              <w:rPr>
                <w:sz w:val="17"/>
                <w:szCs w:val="17"/>
              </w:rPr>
              <w:t xml:space="preserve">Swissmedic — Information professionnelle BOTOX® (AbbVie AG, n° 52433), état mai 2025, rubriques Indications et Posologie « Hyperhidrosis axillae primaire » — https://ch.oddb.org/de/gcc/fachinfo/reg/52433 (reproduction de l'AIPS) — consulté le 22.10.2026 ; AWMF/DDG — S1-Leitlinie 013-059 « Definition und Therapie der primären Hyperhidrose », 2023 (valable jusqu'au 18.02.2028) — https://register.awmf.org/assets/guidelines/013-059l_S1_Definition-Therapie-primaeren-Hyperhidrose_2023-07.pdf — consulté le 22.10.2026 (§ 2.1.3, Fazit)</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L1-M33</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13 Points clés</w:t>
            </w:r>
          </w:p>
        </w:tc>
        <w:tc>
          <w:tcPr>
            <w:tcW w:w="2600" w:type="dxa"/>
            <w:vAlign w:val="top"/>
          </w:tcPr>
          <w:p>
            <w:pPr>
              <w:spacing w:after="0"/>
            </w:pPr>
            <w:r>
              <w:rPr>
                <w:i/>
                <w:sz w:val="17"/>
                <w:szCs w:val="17"/>
              </w:rPr>
              <w:t xml:space="preserve">« L'hyperhidrose primaire est focale, bilatérale, symétrique, diurne et débute avant 25 ans dans 95 % des cas. »</w:t>
            </w:r>
          </w:p>
        </w:tc>
        <w:tc>
          <w:tcPr>
            <w:tcW w:w="3000" w:type="dxa"/>
            <w:vAlign w:val="top"/>
          </w:tcPr>
          <w:p>
            <w:pPr>
              <w:spacing w:after="40"/>
            </w:pPr>
            <w:r>
              <w:rPr>
                <w:sz w:val="17"/>
                <w:szCs w:val="17"/>
              </w:rPr>
              <w:t xml:space="preserve">Le pourcentage de 95 % n'est pas sourcé, et l'âge d'atténuation spontanée diffère entre l'Appel A (40 ans) et la Partie 1 V4 (45 ans).</w:t>
            </w:r>
          </w:p>
          <w:p>
            <w:pPr>
              <w:spacing w:after="0"/>
            </w:pPr>
            <w:r>
              <w:rPr>
                <w:b/>
                <w:color w:val="145A32"/>
                <w:sz w:val="17"/>
                <w:szCs w:val="17"/>
              </w:rPr>
              <w:t xml:space="preserve">→ Supprimer « dans 95 % des cas » ou le sourcer ; harmoniser l'âge d'atténuation sur une source lue, ou écrire « donnée non trouvée dans les sources consultées ».</w:t>
            </w:r>
          </w:p>
        </w:tc>
        <w:tc>
          <w:tcPr>
            <w:tcW w:w="1800" w:type="dxa"/>
            <w:vAlign w:val="top"/>
          </w:tcPr>
          <w:p>
            <w:pPr>
              <w:spacing w:after="0"/>
            </w:pPr>
            <w:r>
              <w:rPr>
                <w:sz w:val="17"/>
                <w:szCs w:val="17"/>
              </w:rPr>
              <w:t xml:space="preserve">PROMPT_V6 § 14 (aucun pourcentage non sourcé) ; donnée non trouvée dans les sources consultées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L1-M34</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8 Diagnostic positif</w:t>
            </w:r>
          </w:p>
        </w:tc>
        <w:tc>
          <w:tcPr>
            <w:tcW w:w="2600" w:type="dxa"/>
            <w:vAlign w:val="top"/>
          </w:tcPr>
          <w:p>
            <w:pPr>
              <w:spacing w:after="0"/>
            </w:pPr>
            <w:r>
              <w:rPr>
                <w:i/>
                <w:sz w:val="17"/>
                <w:szCs w:val="17"/>
              </w:rPr>
              <w:t xml:space="preserve">« La sévérité clinique se quantifie par l'échelle HDSS. »</w:t>
            </w:r>
          </w:p>
        </w:tc>
        <w:tc>
          <w:tcPr>
            <w:tcW w:w="3000" w:type="dxa"/>
            <w:vAlign w:val="top"/>
          </w:tcPr>
          <w:p>
            <w:pPr>
              <w:spacing w:after="40"/>
            </w:pPr>
            <w:r>
              <w:rPr>
                <w:sz w:val="17"/>
                <w:szCs w:val="17"/>
              </w:rPr>
              <w:t xml:space="preserve">Les critères diagnostiques sont attribués à un « consensus international » sans référence ni année, et l'échelle HDSS (Hyperhidrosis Disease Severity Scale) n'est ni développée ni graduée.</w:t>
            </w:r>
          </w:p>
          <w:p>
            <w:pPr>
              <w:spacing w:after="0"/>
            </w:pPr>
            <w:r>
              <w:rPr>
                <w:b/>
                <w:color w:val="145A32"/>
                <w:sz w:val="17"/>
                <w:szCs w:val="17"/>
              </w:rPr>
              <w:t xml:space="preserve">→ Citer Hornberger et al., J Am Acad Dermatol 2004, repris par la ligne directrice AWMF 2023 ; développer HDSS et donner ses 4 grades (1 = jamais gênant … 4 = intolérable ; grades 3–4 = forme sévère) dans un tableau.</w:t>
            </w:r>
          </w:p>
        </w:tc>
        <w:tc>
          <w:tcPr>
            <w:tcW w:w="1800" w:type="dxa"/>
            <w:vAlign w:val="top"/>
          </w:tcPr>
          <w:p>
            <w:pPr>
              <w:spacing w:after="0"/>
            </w:pPr>
            <w:r>
              <w:rPr>
                <w:sz w:val="17"/>
                <w:szCs w:val="17"/>
              </w:rPr>
              <w:t xml:space="preserve">AWMF/DDG — S1-Leitlinie 013-059 « Definition und Therapie der primären Hyperhidrose », 2023 (valable jusqu'au 18.02.2028) — https://register.awmf.org/assets/guidelines/013-059l_S1_Definition-Therapie-primaeren-Hyperhidrose_2023-07.pdf — consulté le 22.10.2026 (§ 1.2, tableaux 1 et 2)</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L1-M36</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11.B › 1re intention (2 occurrences, aussi dans le fichier V4 Expert Complet, D1.1 › 11.B : « SweatStop®, Odaban® »)</w:t>
            </w:r>
          </w:p>
        </w:tc>
        <w:tc>
          <w:tcPr>
            <w:tcW w:w="2600" w:type="dxa"/>
            <w:vAlign w:val="top"/>
          </w:tcPr>
          <w:p>
            <w:pPr>
              <w:spacing w:after="0"/>
            </w:pPr>
            <w:r>
              <w:rPr>
                <w:i/>
                <w:sz w:val="17"/>
                <w:szCs w:val="17"/>
              </w:rPr>
              <w:t xml:space="preserve">« spécialités en Suisse : Excipial DeoForte, Perspirx, Odaban »</w:t>
            </w:r>
          </w:p>
        </w:tc>
        <w:tc>
          <w:tcPr>
            <w:tcW w:w="3000" w:type="dxa"/>
            <w:vAlign w:val="top"/>
          </w:tcPr>
          <w:p>
            <w:pPr>
              <w:spacing w:after="40"/>
            </w:pPr>
            <w:r>
              <w:rPr>
                <w:sz w:val="17"/>
                <w:szCs w:val="17"/>
              </w:rPr>
              <w:t xml:space="preserve">Ces produits ne figurent pas au registre des médicaments autorisés par Swissmedic : ce sont des cosmétiques ou dispositifs, non des spécialités ® ; « Perspirx » est en outre mal orthographié.</w:t>
            </w:r>
          </w:p>
          <w:p>
            <w:pPr>
              <w:spacing w:after="0"/>
            </w:pPr>
            <w:r>
              <w:rPr>
                <w:b/>
                <w:color w:val="145A32"/>
                <w:sz w:val="17"/>
                <w:szCs w:val="17"/>
              </w:rPr>
              <w:t xml:space="preserve">→ Écrire : « Chlorure d'aluminium hexahydraté 10 à 30 % (préparation magistrale ou antitranspirant cosmétique en vente libre, sans spécialité Swissmedic) appliqué le soir sur peau sèche. »</w:t>
            </w:r>
          </w:p>
        </w:tc>
        <w:tc>
          <w:tcPr>
            <w:tcW w:w="1800" w:type="dxa"/>
            <w:vAlign w:val="top"/>
          </w:tcPr>
          <w:p>
            <w:pPr>
              <w:spacing w:after="0"/>
            </w:pPr>
            <w:r>
              <w:rPr>
                <w:sz w:val="17"/>
                <w:szCs w:val="17"/>
              </w:rPr>
              <w:t xml:space="preserve">Registre des médicaments autorisés par Swissmedic, recherche par nom de spécialité — https://ch.oddb.org (reproduction de l'AIPS/Swissmedic) — consulté le 22.10.2026 ; AWMF/DDG — S1-Leitlinie 013-059 « Definition und Therapie der primären Hyperhidrose », 2023 (valable jusqu'au 18.02.2028) — https://register.awmf.org/assets/guidelines/013-059l_S1_Definition-Therapie-primaeren-Hyperhidrose_2023-07.pdf — consulté le 22.10.2026 (§ 2.1.1.1)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11.B › 3e ligne systémique (aussi fichier V4 Expert Complet, D1.4 › 11.B, « Ditropan® 2,5 mg/j »)</w:t>
            </w:r>
          </w:p>
        </w:tc>
        <w:tc>
          <w:tcPr>
            <w:tcW w:w="2600" w:type="dxa"/>
            <w:vAlign w:val="top"/>
          </w:tcPr>
          <w:p>
            <w:pPr>
              <w:spacing w:after="0"/>
            </w:pPr>
            <w:r>
              <w:rPr>
                <w:i/>
                <w:sz w:val="17"/>
                <w:szCs w:val="17"/>
              </w:rPr>
              <w:t xml:space="preserve">« Oxybutynine (Ditropan ou Kentera) débutée à 2,5 mg 1x/jour per os »</w:t>
            </w:r>
          </w:p>
        </w:tc>
        <w:tc>
          <w:tcPr>
            <w:tcW w:w="3000" w:type="dxa"/>
            <w:vAlign w:val="top"/>
          </w:tcPr>
          <w:p>
            <w:pPr>
              <w:spacing w:after="40"/>
            </w:pPr>
            <w:r>
              <w:rPr>
                <w:sz w:val="17"/>
                <w:szCs w:val="17"/>
              </w:rPr>
              <w:t xml:space="preserve">Ditropan® n'est pas autorisé en Suisse et Kentera® est un dispositif transdermique, non un comprimé : la spécialité citée pour la voie orale est fausse ; l'usage dans l'hyperhidrose reste hors étiquette.</w:t>
            </w:r>
          </w:p>
          <w:p>
            <w:pPr>
              <w:spacing w:after="0"/>
            </w:pPr>
            <w:r>
              <w:rPr>
                <w:b/>
                <w:color w:val="145A32"/>
                <w:sz w:val="17"/>
                <w:szCs w:val="17"/>
              </w:rPr>
              <w:t xml:space="preserve">→ Écrire : « Oxybutynine per os (Oxybutynin Macure® 5 mg, hors étiquette dans l'hyperhidrose) : 2,5 mg le soir, puis titration selon tolérance ; contre-indications : glaucome à angle fermé, rétention urinaire, myasthénie. »</w:t>
            </w:r>
          </w:p>
        </w:tc>
        <w:tc>
          <w:tcPr>
            <w:tcW w:w="1800" w:type="dxa"/>
            <w:vAlign w:val="top"/>
          </w:tcPr>
          <w:p>
            <w:pPr>
              <w:spacing w:after="0"/>
            </w:pPr>
            <w:r>
              <w:rPr>
                <w:sz w:val="17"/>
                <w:szCs w:val="17"/>
              </w:rPr>
              <w:t xml:space="preserve">Registre des médicaments autorisés par Swissmedic, recherche par nom de spécialité — https://ch.oddb.org (reproduction de l'AIPS/Swissmedic) — consulté le 22.10.2026 (Oxybutynin Macure 5 mg ; Kentera, transdermales Pflaster)</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L1-M38</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point 11.D Pronostic et recherche</w:t>
            </w:r>
          </w:p>
        </w:tc>
        <w:tc>
          <w:tcPr>
            <w:tcW w:w="2600" w:type="dxa"/>
            <w:vAlign w:val="top"/>
          </w:tcPr>
          <w:p>
            <w:pPr>
              <w:spacing w:after="0"/>
            </w:pPr>
            <w:r>
              <w:rPr>
                <w:i/>
                <w:sz w:val="17"/>
                <w:szCs w:val="17"/>
              </w:rPr>
              <w:t xml:space="preserve">« le bromure de glycopyrronium à 1 % (Axhidrox) »</w:t>
            </w:r>
          </w:p>
        </w:tc>
        <w:tc>
          <w:tcPr>
            <w:tcW w:w="3000" w:type="dxa"/>
            <w:vAlign w:val="top"/>
          </w:tcPr>
          <w:p>
            <w:pPr>
              <w:spacing w:after="40"/>
            </w:pPr>
            <w:r>
              <w:rPr>
                <w:sz w:val="17"/>
                <w:szCs w:val="17"/>
              </w:rPr>
              <w:t xml:space="preserve">Le texte présente Axhidrox® comme une avancée de recherche 2026, alors que cette crème est déjà autorisée en Suisse ; le chiffre « 82 % de réduction stable » sous micro-ondes n'est pas sourcé.</w:t>
            </w:r>
          </w:p>
          <w:p>
            <w:pPr>
              <w:spacing w:after="0"/>
            </w:pPr>
            <w:r>
              <w:rPr>
                <w:b/>
                <w:color w:val="145A32"/>
                <w:sz w:val="17"/>
                <w:szCs w:val="17"/>
              </w:rPr>
              <w:t xml:space="preserve">→ Déplacer Axhidrox® (glycopyrronium, 2,2 mg/pression) dans 11.B comme option topique de l'hyperhidrose axillaire et sourcer ou supprimer le chiffre de 82 %.</w:t>
            </w:r>
          </w:p>
        </w:tc>
        <w:tc>
          <w:tcPr>
            <w:tcW w:w="1800" w:type="dxa"/>
            <w:vAlign w:val="top"/>
          </w:tcPr>
          <w:p>
            <w:pPr>
              <w:spacing w:after="0"/>
            </w:pPr>
            <w:r>
              <w:rPr>
                <w:sz w:val="17"/>
                <w:szCs w:val="17"/>
              </w:rPr>
              <w:t xml:space="preserve">Registre des médicaments autorisés par Swissmedic, recherche par nom de spécialité — https://ch.oddb.org (reproduction de l'AIPS/Swissmedic) — consulté le 22.10.2026 (Axhidrox 2,2 mg/Hub, Creme) ; AWMF/DDG — S1-Leitlinie 013-059 « Definition und Therapie der primären Hyperhidrose », 2023 (valable jusqu'au 18.02.2028) — https://register.awmf.org/assets/guidelines/013-059l_S1_Definition-Therapie-primaeren-Hyperhidrose_2023-07.pdf — consulté le 22.10.2026 (§ 2.1.1.2 et § 2.1.4)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L1-M39</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1 › D1.2 › point 11.B › pharmacologique</w:t>
            </w:r>
          </w:p>
        </w:tc>
        <w:tc>
          <w:tcPr>
            <w:tcW w:w="2600" w:type="dxa"/>
            <w:vAlign w:val="top"/>
          </w:tcPr>
          <w:p>
            <w:pPr>
              <w:spacing w:after="0"/>
            </w:pPr>
            <w:r>
              <w:rPr>
                <w:i/>
                <w:sz w:val="17"/>
                <w:szCs w:val="17"/>
              </w:rPr>
              <w:t xml:space="preserve">« Estramon® patch 50 µg/j »</w:t>
            </w:r>
          </w:p>
        </w:tc>
        <w:tc>
          <w:tcPr>
            <w:tcW w:w="3000" w:type="dxa"/>
            <w:vAlign w:val="top"/>
          </w:tcPr>
          <w:p>
            <w:pPr>
              <w:spacing w:after="40"/>
            </w:pPr>
            <w:r>
              <w:rPr>
                <w:sz w:val="17"/>
                <w:szCs w:val="17"/>
              </w:rPr>
              <w:t xml:space="preserve">Estramon® n'est pas autorisé en Suisse ; la spécialité suisse citée est fausse.</w:t>
            </w:r>
          </w:p>
          <w:p>
            <w:pPr>
              <w:spacing w:after="0"/>
            </w:pPr>
            <w:r>
              <w:rPr>
                <w:b/>
                <w:color w:val="145A32"/>
                <w:sz w:val="17"/>
                <w:szCs w:val="17"/>
              </w:rPr>
              <w:t xml:space="preserve">→ Remplacer par « Estradot® 50 (estradiol transdermique 50 µg/24 h, changé deux fois par semaine) ».</w:t>
            </w:r>
          </w:p>
        </w:tc>
        <w:tc>
          <w:tcPr>
            <w:tcW w:w="1800" w:type="dxa"/>
            <w:vAlign w:val="top"/>
          </w:tcPr>
          <w:p>
            <w:pPr>
              <w:spacing w:after="0"/>
            </w:pPr>
            <w:r>
              <w:rPr>
                <w:sz w:val="17"/>
                <w:szCs w:val="17"/>
              </w:rPr>
              <w:t xml:space="preserve">Registre des médicaments autorisés par Swissmedic, recherche par nom de spécialité — https://ch.oddb.org (reproduction de l'AIPS/Swissmedic) — consulté le 22.10.2026 (Estradot 25–100, Oestrogel ; aucun résultat Estramon)</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L1-M40</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point 3 Physiopathologie</w:t>
            </w:r>
          </w:p>
        </w:tc>
        <w:tc>
          <w:tcPr>
            <w:tcW w:w="2600" w:type="dxa"/>
            <w:vAlign w:val="top"/>
          </w:tcPr>
          <w:p>
            <w:pPr>
              <w:spacing w:after="0"/>
            </w:pPr>
            <w:r>
              <w:rPr>
                <w:i/>
                <w:sz w:val="17"/>
                <w:szCs w:val="17"/>
              </w:rPr>
              <w:t xml:space="preserve">« L'effondrement de l'œstradiol (&lt; 20 pg/mL) »</w:t>
            </w:r>
          </w:p>
        </w:tc>
        <w:tc>
          <w:tcPr>
            <w:tcW w:w="3000" w:type="dxa"/>
            <w:vAlign w:val="top"/>
          </w:tcPr>
          <w:p>
            <w:pPr>
              <w:spacing w:after="40"/>
            </w:pPr>
            <w:r>
              <w:rPr>
                <w:sz w:val="17"/>
                <w:szCs w:val="17"/>
              </w:rPr>
              <w:t xml:space="preserve">La concentration d'œstradiol est donnée en unité de masse (pg/mL) et non en unité SI suisse (pmol/L).</w:t>
            </w:r>
          </w:p>
          <w:p>
            <w:pPr>
              <w:spacing w:after="0"/>
            </w:pPr>
            <w:r>
              <w:rPr>
                <w:b/>
                <w:color w:val="145A32"/>
                <w:sz w:val="17"/>
                <w:szCs w:val="17"/>
              </w:rPr>
              <w:t xml:space="preserve">→ Écrire « œstradiol &lt; 73 pmol/L (calcul dérivé : 20 pg/mL × 3,671) » et sourcer le seuil, ou écrire « donnée non trouvée dans les sources consultées ».</w:t>
            </w:r>
          </w:p>
        </w:tc>
        <w:tc>
          <w:tcPr>
            <w:tcW w:w="1800" w:type="dxa"/>
            <w:vAlign w:val="top"/>
          </w:tcPr>
          <w:p>
            <w:pPr>
              <w:spacing w:after="0"/>
            </w:pPr>
            <w:r>
              <w:rPr>
                <w:sz w:val="17"/>
                <w:szCs w:val="17"/>
              </w:rPr>
              <w:t xml:space="preserve">PROMPT_V6 § 6.8 et § 13 (unités SI) ; facteur de conversion œstradiol 1 pg/mL = 3,671 pmol/L (calcul dérivé)</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L1-M41</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point 2 Épidémiologie</w:t>
            </w:r>
          </w:p>
        </w:tc>
        <w:tc>
          <w:tcPr>
            <w:tcW w:w="2600" w:type="dxa"/>
            <w:vAlign w:val="top"/>
          </w:tcPr>
          <w:p>
            <w:pPr>
              <w:spacing w:after="0"/>
            </w:pPr>
            <w:r>
              <w:rPr>
                <w:i/>
                <w:sz w:val="17"/>
                <w:szCs w:val="17"/>
              </w:rPr>
              <w:t xml:space="preserve">« durant en moyenne 7,4 ans »</w:t>
            </w:r>
          </w:p>
        </w:tc>
        <w:tc>
          <w:tcPr>
            <w:tcW w:w="3000" w:type="dxa"/>
            <w:vAlign w:val="top"/>
          </w:tcPr>
          <w:p>
            <w:pPr>
              <w:spacing w:after="40"/>
            </w:pPr>
            <w:r>
              <w:rPr>
                <w:sz w:val="17"/>
                <w:szCs w:val="17"/>
              </w:rPr>
              <w:t xml:space="preserve">La durée de 7,4 ans vient d'une cohorte américaine et le texte la présente comme une donnée suisse, sans source.</w:t>
            </w:r>
          </w:p>
          <w:p>
            <w:pPr>
              <w:spacing w:after="0"/>
            </w:pPr>
            <w:r>
              <w:rPr>
                <w:b/>
                <w:color w:val="145A32"/>
                <w:sz w:val="17"/>
                <w:szCs w:val="17"/>
              </w:rPr>
              <w:t xml:space="preserve">→ Attribuer le chiffre à sa cohorte d'origine avec référence datée ou le remplacer par une donnée européenne lue ; sinon écrire « donnée non trouvée dans les sources consultées » pour la Suisse.</w:t>
            </w:r>
          </w:p>
        </w:tc>
        <w:tc>
          <w:tcPr>
            <w:tcW w:w="1800" w:type="dxa"/>
            <w:vAlign w:val="top"/>
          </w:tcPr>
          <w:p>
            <w:pPr>
              <w:spacing w:after="0"/>
            </w:pPr>
            <w:r>
              <w:rPr>
                <w:sz w:val="17"/>
                <w:szCs w:val="17"/>
              </w:rPr>
              <w:t xml:space="preserve">PROMPT_V6 § 3.1 et § 5 point 2 ; donnée non trouvée dans les sources consultées pour la Suisse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L1-M42</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point 11.D Pronostic et recherche</w:t>
            </w:r>
          </w:p>
        </w:tc>
        <w:tc>
          <w:tcPr>
            <w:tcW w:w="2600" w:type="dxa"/>
            <w:vAlign w:val="top"/>
          </w:tcPr>
          <w:p>
            <w:pPr>
              <w:spacing w:after="0"/>
            </w:pPr>
            <w:r>
              <w:rPr>
                <w:i/>
                <w:sz w:val="17"/>
                <w:szCs w:val="17"/>
              </w:rPr>
              <w:t xml:space="preserve">« Le THM réduit de 85 % à 90 % la fréquence et la sévérité des sueurs nocturnes »</w:t>
            </w:r>
          </w:p>
        </w:tc>
        <w:tc>
          <w:tcPr>
            <w:tcW w:w="3000" w:type="dxa"/>
            <w:vAlign w:val="top"/>
          </w:tcPr>
          <w:p>
            <w:pPr>
              <w:spacing w:after="40"/>
            </w:pPr>
            <w:r>
              <w:rPr>
                <w:sz w:val="17"/>
                <w:szCs w:val="17"/>
              </w:rPr>
              <w:t xml:space="preserve">L'efficacité de 85 à 90 % n'est pas sourcée et dépasse l'estimation habituellement retenue par la revue Cochrane (environ 75 % de réduction de la fréquence des bouffées).</w:t>
            </w:r>
          </w:p>
          <w:p>
            <w:pPr>
              <w:spacing w:after="0"/>
            </w:pPr>
            <w:r>
              <w:rPr>
                <w:b/>
                <w:color w:val="145A32"/>
                <w:sz w:val="17"/>
                <w:szCs w:val="17"/>
              </w:rPr>
              <w:t xml:space="preserve">→ Écrire : « Le traitement hormonal réduit la fréquence hebdomadaire des bouffées de chaleur d'environ 75 % par rapport au placebo. »</w:t>
            </w:r>
          </w:p>
        </w:tc>
        <w:tc>
          <w:tcPr>
            <w:tcW w:w="1800" w:type="dxa"/>
            <w:vAlign w:val="top"/>
          </w:tcPr>
          <w:p>
            <w:pPr>
              <w:spacing w:after="0"/>
            </w:pPr>
            <w:r>
              <w:rPr>
                <w:sz w:val="17"/>
                <w:szCs w:val="17"/>
              </w:rPr>
              <w:t xml:space="preserve">Cochrane — MacLennan AH et al., Oral oestrogen and combined oestrogen/progestogen therapy versus placebo for hot flushes, Cochrane Database Syst Rev 2004;(4):CD002978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L1-M45</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4 › D1.8 › point 11.B › pharmacologique</w:t>
            </w:r>
          </w:p>
        </w:tc>
        <w:tc>
          <w:tcPr>
            <w:tcW w:w="2600" w:type="dxa"/>
            <w:vAlign w:val="top"/>
          </w:tcPr>
          <w:p>
            <w:pPr>
              <w:spacing w:after="0"/>
            </w:pPr>
            <w:r>
              <w:rPr>
                <w:i/>
                <w:sz w:val="17"/>
                <w:szCs w:val="17"/>
              </w:rPr>
              <w:t xml:space="preserve">« Supplémentation systématique en Vitamine B6 (Benadon® 40 mg/j) »</w:t>
            </w:r>
          </w:p>
        </w:tc>
        <w:tc>
          <w:tcPr>
            <w:tcW w:w="3000" w:type="dxa"/>
            <w:vAlign w:val="top"/>
          </w:tcPr>
          <w:p>
            <w:pPr>
              <w:spacing w:after="40"/>
            </w:pPr>
            <w:r>
              <w:rPr>
                <w:sz w:val="17"/>
                <w:szCs w:val="17"/>
              </w:rPr>
              <w:t xml:space="preserve">L'information professionnelle suisse de Rimstar® réserve la pyridoxine aux groupes à risque à 10 mg par jour, Benadon® n'existe qu'en 300 mg en Suisse, et le texte ne donne pas le nombre de comprimés de Rimstar® selon le poids.</w:t>
            </w:r>
          </w:p>
          <w:p>
            <w:pPr>
              <w:spacing w:after="0"/>
            </w:pPr>
            <w:r>
              <w:rPr>
                <w:b/>
                <w:color w:val="145A32"/>
                <w:sz w:val="17"/>
                <w:szCs w:val="17"/>
              </w:rPr>
              <w:t xml:space="preserve">→ Écrire : « Rimstar® à jeun, 1 h avant le repas : 3 comprimés de 38 à 54 kg, 4 comprimés de 55 à 70 kg, 5 comprimés ≥ 71 kg, pendant 2 mois ; pyridoxine 10 mg/j chez le sujet âgé, dénutri, alcoolique, diabétique, insuffisant rénal, VIH+, enceinte ou allaitante. »</w:t>
            </w:r>
          </w:p>
        </w:tc>
        <w:tc>
          <w:tcPr>
            <w:tcW w:w="1800" w:type="dxa"/>
            <w:vAlign w:val="top"/>
          </w:tcPr>
          <w:p>
            <w:pPr>
              <w:spacing w:after="0"/>
            </w:pPr>
            <w:r>
              <w:rPr>
                <w:sz w:val="17"/>
                <w:szCs w:val="17"/>
              </w:rPr>
              <w:t xml:space="preserve">Swissmedic — Information professionnelle Rimstar® (Sandoz, n° 56768), état avril 2026 — https://ch.oddb.org/de/gcc/fachinfo/reg/56768 — consulté le 22.10.2026</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FEF9E7"/>
            <w:vAlign w:val="top"/>
          </w:tcPr>
          <w:p>
            <w:pPr>
              <w:spacing w:after="0"/>
            </w:pPr>
            <w:r>
              <w:rPr>
                <w:sz w:val="17"/>
                <w:szCs w:val="17"/>
              </w:rPr>
              <w:t xml:space="preserve">L1-M47</w:t>
            </w:r>
          </w:p>
        </w:tc>
        <w:tc>
          <w:tcPr>
            <w:tcW w:w="1250" w:type="dxa"/>
            <w:vAlign w:val="top"/>
          </w:tcPr>
          <w:p>
            <w:pPr>
              <w:spacing w:after="0"/>
            </w:pPr>
            <w:r>
              <w:rPr>
                <w:sz w:val="17"/>
                <w:szCs w:val="17"/>
              </w:rPr>
              <w:t xml:space="preserve">Médical</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Partie 4 › D1.9 › point 11.B › Hodgkin</w:t>
            </w:r>
          </w:p>
        </w:tc>
        <w:tc>
          <w:tcPr>
            <w:tcW w:w="2600" w:type="dxa"/>
            <w:vAlign w:val="top"/>
          </w:tcPr>
          <w:p>
            <w:pPr>
              <w:spacing w:after="0"/>
            </w:pPr>
            <w:r>
              <w:rPr>
                <w:i/>
                <w:sz w:val="17"/>
                <w:szCs w:val="17"/>
              </w:rPr>
              <w:t xml:space="preserve">« Protocole ABVD (Adriamycine, Bléomycine, Vinblastine, Dacarbazine) en IV tous les 14 jours (2 à 6 cycles selon le stade PET-CT) »</w:t>
            </w:r>
          </w:p>
        </w:tc>
        <w:tc>
          <w:tcPr>
            <w:tcW w:w="3000" w:type="dxa"/>
            <w:vAlign w:val="top"/>
          </w:tcPr>
          <w:p>
            <w:pPr>
              <w:spacing w:after="40"/>
            </w:pPr>
            <w:r>
              <w:rPr>
                <w:sz w:val="17"/>
                <w:szCs w:val="17"/>
              </w:rPr>
              <w:t xml:space="preserve">Le texte confond l'intervalle d'administration (J1 et J15) et la durée du cycle (28 jours), et ne cite ni source ni toxicité pulmonaire de la bléomycine.</w:t>
            </w:r>
          </w:p>
          <w:p>
            <w:pPr>
              <w:spacing w:after="0"/>
            </w:pPr>
            <w:r>
              <w:rPr>
                <w:b/>
                <w:color w:val="145A32"/>
                <w:sz w:val="17"/>
                <w:szCs w:val="17"/>
              </w:rPr>
              <w:t xml:space="preserve">→ Écrire : « ABVD aux jours 1 et 15 d'un cycle de 28 jours ; 2 à 6 cycles selon le stade et la TEP intermédiaire ; arrêt de la bléomycine selon la TEP et la fonction pulmonaire. »</w:t>
            </w:r>
          </w:p>
        </w:tc>
        <w:tc>
          <w:tcPr>
            <w:tcW w:w="1800" w:type="dxa"/>
            <w:vAlign w:val="top"/>
          </w:tcPr>
          <w:p>
            <w:pPr>
              <w:spacing w:after="0"/>
            </w:pPr>
            <w:r>
              <w:rPr>
                <w:sz w:val="17"/>
                <w:szCs w:val="17"/>
              </w:rPr>
              <w:t xml:space="preserve">ESMO — Eichenauer DA et al., Hodgkin lymphoma: ESMO Clinical Practice Guidelines, Ann Oncol 2018;29(Suppl 4):iv19-iv29</w:t>
            </w:r>
          </w:p>
        </w:tc>
      </w:tr>
    </w:tbl>
    <w:p>
      <w:pPr>
        <w:spacing w:after="120"/>
      </w:pPr>
    </w:p>
    <w:p>
      <w:pPr>
        <w:pStyle w:val="Titre1"/>
        <w:keepNext/>
      </w:pPr>
      <w:r>
        <w:rPr>
          <w:b/>
          <w:color w:val="1F618D"/>
          <w:sz w:val="26"/>
          <w:szCs w:val="26"/>
        </w:rPr>
        <w:t xml:space="preserve">Léger — 15 problème(s)</w:t>
      </w:r>
    </w:p>
    <w:tbl>
      <w:tblPr>
        <w:tblW w:w="14400" w:type="dxa"/>
        <w:tblLayout w:type="fixed"/>
        <w:tblBorders>
          <w:top w:val="single" w:sz="4" w:color="AEB6BF"/>
          <w:left w:val="single" w:sz="4" w:color="AEB6BF"/>
          <w:bottom w:val="single" w:sz="4" w:color="AEB6BF"/>
          <w:right w:val="single" w:sz="4" w:color="AEB6BF"/>
          <w:insideH w:val="single" w:sz="4" w:color="AEB6BF"/>
          <w:insideV w:val="single" w:sz="4" w:color="AEB6BF"/>
        </w:tblBorders>
        <w:tblCellMar>
          <w:top w:w="40" w:type="dxa"/>
          <w:left w:w="70" w:type="dxa"/>
          <w:bottom w:w="40" w:type="dxa"/>
          <w:right w:w="70" w:type="dxa"/>
        </w:tblCellMar>
      </w:tblPr>
      <w:tblGrid>
        <w:gridCol w:w="600"/>
        <w:gridCol w:w="900"/>
        <w:gridCol w:w="1250"/>
        <w:gridCol w:w="1900"/>
        <w:gridCol w:w="2350"/>
        <w:gridCol w:w="2600"/>
        <w:gridCol w:w="3000"/>
        <w:gridCol w:w="1800"/>
      </w:tblGrid>
      <w:tr>
        <w:trPr>
          <w:tblHeader/>
          <w:cantSplit/>
        </w:trPr>
        <w:tc>
          <w:tcPr>
            <w:tcW w:w="600" w:type="dxa"/>
            <w:shd w:val="clear" w:color="auto" w:fill="1F618D"/>
            <w:vAlign w:val="top"/>
          </w:tcPr>
          <w:p>
            <w:pPr>
              <w:spacing w:after="0"/>
            </w:pPr>
            <w:r>
              <w:rPr>
                <w:b/>
                <w:color w:val="FFFFFF"/>
                <w:sz w:val="17"/>
                <w:szCs w:val="17"/>
              </w:rPr>
              <w:t xml:space="preserve">Fait</w:t>
            </w:r>
          </w:p>
        </w:tc>
        <w:tc>
          <w:tcPr>
            <w:tcW w:w="900" w:type="dxa"/>
            <w:shd w:val="clear" w:color="auto" w:fill="1F618D"/>
            <w:vAlign w:val="top"/>
          </w:tcPr>
          <w:p>
            <w:pPr>
              <w:spacing w:after="0"/>
            </w:pPr>
            <w:r>
              <w:rPr>
                <w:b/>
                <w:color w:val="FFFFFF"/>
                <w:sz w:val="17"/>
                <w:szCs w:val="17"/>
              </w:rPr>
              <w:t xml:space="preserve">N°</w:t>
            </w:r>
          </w:p>
        </w:tc>
        <w:tc>
          <w:tcPr>
            <w:tcW w:w="1250" w:type="dxa"/>
            <w:shd w:val="clear" w:color="auto" w:fill="1F618D"/>
            <w:vAlign w:val="top"/>
          </w:tcPr>
          <w:p>
            <w:pPr>
              <w:spacing w:after="0"/>
            </w:pPr>
            <w:r>
              <w:rPr>
                <w:b/>
                <w:color w:val="FFFFFF"/>
                <w:sz w:val="17"/>
                <w:szCs w:val="17"/>
              </w:rPr>
              <w:t xml:space="preserve">Domaine</w:t>
            </w:r>
          </w:p>
        </w:tc>
        <w:tc>
          <w:tcPr>
            <w:tcW w:w="1900" w:type="dxa"/>
            <w:shd w:val="clear" w:color="auto" w:fill="1F618D"/>
            <w:vAlign w:val="top"/>
          </w:tcPr>
          <w:p>
            <w:pPr>
              <w:spacing w:after="0"/>
            </w:pPr>
            <w:r>
              <w:rPr>
                <w:b/>
                <w:color w:val="FFFFFF"/>
                <w:sz w:val="17"/>
                <w:szCs w:val="17"/>
              </w:rPr>
              <w:t xml:space="preserve">Fichier</w:t>
            </w:r>
          </w:p>
        </w:tc>
        <w:tc>
          <w:tcPr>
            <w:tcW w:w="2350" w:type="dxa"/>
            <w:shd w:val="clear" w:color="auto" w:fill="1F618D"/>
            <w:vAlign w:val="top"/>
          </w:tcPr>
          <w:p>
            <w:pPr>
              <w:spacing w:after="0"/>
            </w:pPr>
            <w:r>
              <w:rPr>
                <w:b/>
                <w:color w:val="FFFFFF"/>
                <w:sz w:val="17"/>
                <w:szCs w:val="17"/>
              </w:rPr>
              <w:t xml:space="preserve">Emplacement</w:t>
            </w:r>
          </w:p>
        </w:tc>
        <w:tc>
          <w:tcPr>
            <w:tcW w:w="2600" w:type="dxa"/>
            <w:shd w:val="clear" w:color="auto" w:fill="1F618D"/>
            <w:vAlign w:val="top"/>
          </w:tcPr>
          <w:p>
            <w:pPr>
              <w:spacing w:after="0"/>
            </w:pPr>
            <w:r>
              <w:rPr>
                <w:b/>
                <w:color w:val="FFFFFF"/>
                <w:sz w:val="17"/>
                <w:szCs w:val="17"/>
              </w:rPr>
              <w:t xml:space="preserve">Extrait exact</w:t>
            </w:r>
          </w:p>
        </w:tc>
        <w:tc>
          <w:tcPr>
            <w:tcW w:w="3000" w:type="dxa"/>
            <w:shd w:val="clear" w:color="auto" w:fill="1F618D"/>
            <w:vAlign w:val="top"/>
          </w:tcPr>
          <w:p>
            <w:pPr>
              <w:spacing w:after="0"/>
            </w:pPr>
            <w:r>
              <w:rPr>
                <w:b/>
                <w:color w:val="FFFFFF"/>
                <w:sz w:val="17"/>
                <w:szCs w:val="17"/>
              </w:rPr>
              <w:t xml:space="preserve">Problème → correction</w:t>
            </w:r>
          </w:p>
        </w:tc>
        <w:tc>
          <w:tcPr>
            <w:tcW w:w="1800" w:type="dxa"/>
            <w:shd w:val="clear" w:color="auto" w:fill="1F618D"/>
            <w:vAlign w:val="top"/>
          </w:tcPr>
          <w:p>
            <w:pPr>
              <w:spacing w:after="0"/>
            </w:pPr>
            <w:r>
              <w:rPr>
                <w:b/>
                <w:color w:val="FFFFFF"/>
                <w:sz w:val="17"/>
                <w:szCs w:val="17"/>
              </w:rPr>
              <w:t xml:space="preserve">Source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L1-L28</w:t>
            </w:r>
          </w:p>
        </w:tc>
        <w:tc>
          <w:tcPr>
            <w:tcW w:w="1250" w:type="dxa"/>
            <w:vAlign w:val="top"/>
          </w:tcPr>
          <w:p>
            <w:pPr>
              <w:spacing w:after="0"/>
            </w:pPr>
            <w:r>
              <w:rPr>
                <w:sz w:val="17"/>
                <w:szCs w:val="17"/>
              </w:rPr>
              <w:t xml:space="preserve">Prompt de base</w:t>
            </w:r>
          </w:p>
        </w:tc>
        <w:tc>
          <w:tcPr>
            <w:tcW w:w="1900" w:type="dxa"/>
            <w:vAlign w:val="top"/>
          </w:tcPr>
          <w:p>
            <w:pPr>
              <w:spacing w:after="0"/>
            </w:pPr>
            <w:r>
              <w:rPr>
                <w:sz w:val="17"/>
                <w:szCs w:val="17"/>
              </w:rPr>
              <w:t xml:space="preserve">LOT_1_Appel_A_Plan_et_Liste__export_GoogleDoc.html</w:t>
            </w:r>
          </w:p>
        </w:tc>
        <w:tc>
          <w:tcPr>
            <w:tcW w:w="2350" w:type="dxa"/>
            <w:vAlign w:val="top"/>
          </w:tcPr>
          <w:p>
            <w:pPr>
              <w:spacing w:after="0"/>
            </w:pPr>
            <w:r>
              <w:rPr>
                <w:sz w:val="17"/>
                <w:szCs w:val="17"/>
              </w:rPr>
              <w:t xml:space="preserve">Bloc 1 › point 11.D Pronostic</w:t>
            </w:r>
          </w:p>
        </w:tc>
        <w:tc>
          <w:tcPr>
            <w:tcW w:w="2600" w:type="dxa"/>
            <w:vAlign w:val="top"/>
          </w:tcPr>
          <w:p>
            <w:pPr>
              <w:spacing w:after="0"/>
            </w:pPr>
            <w:r>
              <w:rPr>
                <w:i/>
                <w:sz w:val="17"/>
                <w:szCs w:val="17"/>
              </w:rPr>
              <w:t xml:space="preserve">« qui tend à s'atténuer spontanément après l'âge de 40 ans »</w:t>
            </w:r>
          </w:p>
        </w:tc>
        <w:tc>
          <w:tcPr>
            <w:tcW w:w="3000" w:type="dxa"/>
            <w:vAlign w:val="top"/>
          </w:tcPr>
          <w:p>
            <w:pPr>
              <w:spacing w:after="40"/>
            </w:pPr>
            <w:r>
              <w:rPr>
                <w:sz w:val="17"/>
                <w:szCs w:val="17"/>
              </w:rPr>
              <w:t xml:space="preserve">Le seuil de 40 ans contredit celui de 45 ans donné dans la Partie 1 V4 pour la même affection, sans source dans l'un ou l'autre fichier.</w:t>
            </w:r>
          </w:p>
          <w:p>
            <w:pPr>
              <w:spacing w:after="0"/>
            </w:pPr>
            <w:r>
              <w:rPr>
                <w:b/>
                <w:color w:val="145A32"/>
                <w:sz w:val="17"/>
                <w:szCs w:val="17"/>
              </w:rPr>
              <w:t xml:space="preserve">→ Harmoniser les deux fichiers sur la valeur de la source lue, ou écrire « s'atténue souvent avec l'âge » avec « donnée non trouvée dans les sources consultées » pour le seuil.</w:t>
            </w:r>
          </w:p>
        </w:tc>
        <w:tc>
          <w:tcPr>
            <w:tcW w:w="1800" w:type="dxa"/>
            <w:vAlign w:val="top"/>
          </w:tcPr>
          <w:p>
            <w:pPr>
              <w:spacing w:after="0"/>
            </w:pPr>
            <w:r>
              <w:rPr>
                <w:sz w:val="17"/>
                <w:szCs w:val="17"/>
              </w:rPr>
              <w:t xml:space="preserve">PROMPT_V6.md (prompt de base V6), § 3.1</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L1-L40</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D1.9 › 7.1 Syndrome inflammatoire néoplasique</w:t>
            </w:r>
          </w:p>
        </w:tc>
        <w:tc>
          <w:tcPr>
            <w:tcW w:w="2600" w:type="dxa"/>
            <w:vAlign w:val="top"/>
          </w:tcPr>
          <w:p>
            <w:pPr>
              <w:spacing w:after="0"/>
            </w:pPr>
            <w:r>
              <w:rPr>
                <w:i/>
                <w:sz w:val="17"/>
                <w:szCs w:val="17"/>
              </w:rPr>
              <w:t xml:space="preserve">« Fièvre &gt; 38°C persistante »</w:t>
            </w:r>
          </w:p>
        </w:tc>
        <w:tc>
          <w:tcPr>
            <w:tcW w:w="3000" w:type="dxa"/>
            <w:vAlign w:val="top"/>
          </w:tcPr>
          <w:p>
            <w:pPr>
              <w:spacing w:after="40"/>
            </w:pPr>
            <w:r>
              <w:rPr>
                <w:sz w:val="17"/>
                <w:szCs w:val="17"/>
              </w:rPr>
              <w:t xml:space="preserve">La typographie française impose une espace insécable entre le nombre et « °C ».</w:t>
            </w:r>
          </w:p>
          <w:p>
            <w:pPr>
              <w:spacing w:after="0"/>
            </w:pPr>
            <w:r>
              <w:rPr>
                <w:b/>
                <w:color w:val="145A32"/>
                <w:sz w:val="17"/>
                <w:szCs w:val="17"/>
              </w:rPr>
              <w:t xml:space="preserve">→ Écrire « Fièvre &gt; 38 °C persistante » avec espace insécable.</w:t>
            </w:r>
          </w:p>
        </w:tc>
        <w:tc>
          <w:tcPr>
            <w:tcW w:w="1800" w:type="dxa"/>
            <w:vAlign w:val="top"/>
          </w:tcPr>
          <w:p>
            <w:pPr>
              <w:spacing w:after="0"/>
            </w:pPr>
            <w:r>
              <w:rPr>
                <w:sz w:val="17"/>
                <w:szCs w:val="17"/>
              </w:rPr>
              <w:t xml:space="preserve">PROMPT_V6.md (prompt de base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L1-L41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D1.3 › 11.B › Moyens non médicamenteux</w:t>
            </w:r>
          </w:p>
        </w:tc>
        <w:tc>
          <w:tcPr>
            <w:tcW w:w="2600" w:type="dxa"/>
            <w:vAlign w:val="top"/>
          </w:tcPr>
          <w:p>
            <w:pPr>
              <w:spacing w:after="0"/>
            </w:pPr>
            <w:r>
              <w:rPr>
                <w:i/>
                <w:sz w:val="17"/>
                <w:szCs w:val="17"/>
              </w:rPr>
              <w:t xml:space="preserve">« pression titrée entre 6 et 14 cm H2O »</w:t>
            </w:r>
          </w:p>
        </w:tc>
        <w:tc>
          <w:tcPr>
            <w:tcW w:w="3000" w:type="dxa"/>
            <w:vAlign w:val="top"/>
          </w:tcPr>
          <w:p>
            <w:pPr>
              <w:spacing w:after="40"/>
            </w:pPr>
            <w:r>
              <w:rPr>
                <w:sz w:val="17"/>
                <w:szCs w:val="17"/>
              </w:rPr>
              <w:t xml:space="preserve">L'unité est mal écrite (indice absent, espace parasite).</w:t>
            </w:r>
          </w:p>
          <w:p>
            <w:pPr>
              <w:spacing w:after="0"/>
            </w:pPr>
            <w:r>
              <w:rPr>
                <w:b/>
                <w:color w:val="145A32"/>
                <w:sz w:val="17"/>
                <w:szCs w:val="17"/>
              </w:rPr>
              <w:t xml:space="preserve">→ Écrire « entre 6 et 14 cmH₂O ».</w:t>
            </w:r>
          </w:p>
        </w:tc>
        <w:tc>
          <w:tcPr>
            <w:tcW w:w="1800" w:type="dxa"/>
            <w:vAlign w:val="top"/>
          </w:tcPr>
          <w:p>
            <w:pPr>
              <w:spacing w:after="0"/>
            </w:pPr>
            <w:r>
              <w:rPr>
                <w:sz w:val="17"/>
                <w:szCs w:val="17"/>
              </w:rPr>
              <w:t xml:space="preserve">PROMPT_V6.md (prompt de base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L1-L42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LOT_1_Appel_B_V4_Argon_Expert_Complet__export_GoogleDoc.html</w:t>
            </w:r>
          </w:p>
        </w:tc>
        <w:tc>
          <w:tcPr>
            <w:tcW w:w="2350" w:type="dxa"/>
            <w:vAlign w:val="top"/>
          </w:tcPr>
          <w:p>
            <w:pPr>
              <w:spacing w:after="0"/>
            </w:pPr>
            <w:r>
              <w:rPr>
                <w:sz w:val="17"/>
                <w:szCs w:val="17"/>
              </w:rPr>
              <w:t xml:space="preserve">D1.6 › 11.B › Pharmacologiques (Patient conscient)</w:t>
            </w:r>
          </w:p>
        </w:tc>
        <w:tc>
          <w:tcPr>
            <w:tcW w:w="2600" w:type="dxa"/>
            <w:vAlign w:val="top"/>
          </w:tcPr>
          <w:p>
            <w:pPr>
              <w:spacing w:after="0"/>
            </w:pPr>
            <w:r>
              <w:rPr>
                <w:i/>
                <w:sz w:val="17"/>
                <w:szCs w:val="17"/>
              </w:rPr>
              <w:t xml:space="preserve">« 15-20 grammes de glucose »</w:t>
            </w:r>
          </w:p>
        </w:tc>
        <w:tc>
          <w:tcPr>
            <w:tcW w:w="3000" w:type="dxa"/>
            <w:vAlign w:val="top"/>
          </w:tcPr>
          <w:p>
            <w:pPr>
              <w:spacing w:after="40"/>
            </w:pPr>
            <w:r>
              <w:rPr>
                <w:sz w:val="17"/>
                <w:szCs w:val="17"/>
              </w:rPr>
              <w:t xml:space="preserve">Le texte écrit l'unité en toutes lettres et emploie un trait d'union au lieu du tiret ou de « à ».</w:t>
            </w:r>
          </w:p>
          <w:p>
            <w:pPr>
              <w:spacing w:after="0"/>
            </w:pPr>
            <w:r>
              <w:rPr>
                <w:b/>
                <w:color w:val="145A32"/>
                <w:sz w:val="17"/>
                <w:szCs w:val="17"/>
              </w:rPr>
              <w:t xml:space="preserve">→ Écrire « 15 à 20 g de glucose ».</w:t>
            </w:r>
          </w:p>
        </w:tc>
        <w:tc>
          <w:tcPr>
            <w:tcW w:w="1800" w:type="dxa"/>
            <w:vAlign w:val="top"/>
          </w:tcPr>
          <w:p>
            <w:pPr>
              <w:spacing w:after="0"/>
            </w:pPr>
            <w:r>
              <w:rPr>
                <w:sz w:val="17"/>
                <w:szCs w:val="17"/>
              </w:rPr>
              <w:t xml:space="preserve">PROMPT_V6.md (prompt de base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L1-L54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D1.1 › 11.B › spécialités du chlorure d'aluminium</w:t>
            </w:r>
          </w:p>
        </w:tc>
        <w:tc>
          <w:tcPr>
            <w:tcW w:w="2600" w:type="dxa"/>
            <w:vAlign w:val="top"/>
          </w:tcPr>
          <w:p>
            <w:pPr>
              <w:spacing w:after="0"/>
            </w:pPr>
            <w:r>
              <w:rPr>
                <w:i/>
                <w:sz w:val="17"/>
                <w:szCs w:val="17"/>
              </w:rPr>
              <w:t xml:space="preserve">« Perspirx »</w:t>
            </w:r>
          </w:p>
        </w:tc>
        <w:tc>
          <w:tcPr>
            <w:tcW w:w="3000" w:type="dxa"/>
            <w:vAlign w:val="top"/>
          </w:tcPr>
          <w:p>
            <w:pPr>
              <w:spacing w:after="40"/>
            </w:pPr>
            <w:r>
              <w:rPr>
                <w:sz w:val="17"/>
                <w:szCs w:val="17"/>
              </w:rPr>
              <w:t xml:space="preserve">Le nom de spécialité est mal orthographié et le symbole ® manque sur toutes les spécialités du fichier.</w:t>
            </w:r>
          </w:p>
          <w:p>
            <w:pPr>
              <w:spacing w:after="0"/>
            </w:pPr>
            <w:r>
              <w:rPr>
                <w:b/>
                <w:color w:val="145A32"/>
                <w:sz w:val="17"/>
                <w:szCs w:val="17"/>
              </w:rPr>
              <w:t xml:space="preserve">→ Écrire « Perspirex® » et vérifier le nom exact dans AIPS ; ajouter ® à chaque spécialité (Excipial® DeoForte, Odaban®, Botox®, Oestrogel®, Utrogestan®…).</w:t>
            </w:r>
          </w:p>
        </w:tc>
        <w:tc>
          <w:tcPr>
            <w:tcW w:w="1800" w:type="dxa"/>
            <w:vAlign w:val="top"/>
          </w:tcPr>
          <w:p>
            <w:pPr>
              <w:spacing w:after="0"/>
            </w:pPr>
            <w:r>
              <w:rPr>
                <w:sz w:val="17"/>
                <w:szCs w:val="17"/>
              </w:rPr>
              <w:t xml:space="preserve">PROMPT_V6.md (prompt de base V6), § 3.3</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L1-L55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LOT_1_Appel_B_V4_Argon_Part1_D1.1_D1.2__export_GoogleDoc.html</w:t>
            </w:r>
          </w:p>
        </w:tc>
        <w:tc>
          <w:tcPr>
            <w:tcW w:w="2350" w:type="dxa"/>
            <w:vAlign w:val="top"/>
          </w:tcPr>
          <w:p>
            <w:pPr>
              <w:spacing w:after="0"/>
            </w:pPr>
            <w:r>
              <w:rPr>
                <w:sz w:val="17"/>
                <w:szCs w:val="17"/>
              </w:rPr>
              <w:t xml:space="preserve">D1.2 › 7.1 Syndrome vasomoteur climatérique</w:t>
            </w:r>
          </w:p>
        </w:tc>
        <w:tc>
          <w:tcPr>
            <w:tcW w:w="2600" w:type="dxa"/>
            <w:vAlign w:val="top"/>
          </w:tcPr>
          <w:p>
            <w:pPr>
              <w:spacing w:after="0"/>
            </w:pPr>
            <w:r>
              <w:rPr>
                <w:i/>
                <w:sz w:val="17"/>
                <w:szCs w:val="17"/>
              </w:rPr>
              <w:t xml:space="preserve">« contrairement au flush froid et pâle du phéochromocytome »</w:t>
            </w:r>
          </w:p>
        </w:tc>
        <w:tc>
          <w:tcPr>
            <w:tcW w:w="3000" w:type="dxa"/>
            <w:vAlign w:val="top"/>
          </w:tcPr>
          <w:p>
            <w:pPr>
              <w:spacing w:after="40"/>
            </w:pPr>
            <w:r>
              <w:rPr>
                <w:sz w:val="17"/>
                <w:szCs w:val="17"/>
              </w:rPr>
              <w:t xml:space="preserve">Le terme « flush » désigne une rougeur : « flush froid et pâle » est contradictoire.</w:t>
            </w:r>
          </w:p>
          <w:p>
            <w:pPr>
              <w:spacing w:after="0"/>
            </w:pPr>
            <w:r>
              <w:rPr>
                <w:b/>
                <w:color w:val="145A32"/>
                <w:sz w:val="17"/>
                <w:szCs w:val="17"/>
              </w:rPr>
              <w:t xml:space="preserve">→ Écrire « contrairement à la pâleur avec sueurs froides de la crise de phéochromocytome ».</w:t>
            </w:r>
          </w:p>
        </w:tc>
        <w:tc>
          <w:tcPr>
            <w:tcW w:w="1800" w:type="dxa"/>
            <w:vAlign w:val="top"/>
          </w:tcPr>
          <w:p>
            <w:pPr>
              <w:spacing w:after="0"/>
            </w:pPr>
            <w:r>
              <w:rPr>
                <w:sz w:val="17"/>
                <w:szCs w:val="17"/>
              </w:rPr>
              <w:t xml:space="preserve">PROMPT_V6.md (prompt de base V6), § 6.8</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L1-L71</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D1.2 › point 4 Démarche diagnostique</w:t>
            </w:r>
          </w:p>
        </w:tc>
        <w:tc>
          <w:tcPr>
            <w:tcW w:w="2600" w:type="dxa"/>
            <w:vAlign w:val="top"/>
          </w:tcPr>
          <w:p>
            <w:pPr>
              <w:spacing w:after="0"/>
            </w:pPr>
            <w:r>
              <w:rPr>
                <w:i/>
                <w:sz w:val="17"/>
                <w:szCs w:val="17"/>
              </w:rPr>
              <w:t xml:space="preserve">« Un âge inhabituel ou des signes associés nécessite un bilan adapté. »</w:t>
            </w:r>
          </w:p>
        </w:tc>
        <w:tc>
          <w:tcPr>
            <w:tcW w:w="3000" w:type="dxa"/>
            <w:vAlign w:val="top"/>
          </w:tcPr>
          <w:p>
            <w:pPr>
              <w:spacing w:after="40"/>
            </w:pPr>
            <w:r>
              <w:rPr>
                <w:sz w:val="17"/>
                <w:szCs w:val="17"/>
              </w:rPr>
              <w:t xml:space="preserve">Le verbe doit s'accorder au pluriel avec deux sujets coordonnés par « ou » dont l'un est pluriel.</w:t>
            </w:r>
          </w:p>
          <w:p>
            <w:pPr>
              <w:spacing w:after="0"/>
            </w:pPr>
            <w:r>
              <w:rPr>
                <w:b/>
                <w:color w:val="145A32"/>
                <w:sz w:val="17"/>
                <w:szCs w:val="17"/>
              </w:rPr>
              <w:t xml:space="preserve">→ Écrire « … nécessitent un bilan adapté. »</w:t>
            </w:r>
          </w:p>
        </w:tc>
        <w:tc>
          <w:tcPr>
            <w:tcW w:w="1800" w:type="dxa"/>
            <w:vAlign w:val="top"/>
          </w:tcPr>
          <w:p>
            <w:pPr>
              <w:spacing w:after="0"/>
            </w:pPr>
            <w:r>
              <w:rPr>
                <w:sz w:val="17"/>
                <w:szCs w:val="17"/>
              </w:rPr>
              <w:t xml:space="preserve">Grevisse, Le Bon Usage, accord du verbe avec des sujets coordonnés par ou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L1-L72</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D1.2 › point 5 Anamnèse et drapeaux rouges</w:t>
            </w:r>
          </w:p>
        </w:tc>
        <w:tc>
          <w:tcPr>
            <w:tcW w:w="2600" w:type="dxa"/>
            <w:vAlign w:val="top"/>
          </w:tcPr>
          <w:p>
            <w:pPr>
              <w:spacing w:after="0"/>
            </w:pPr>
            <w:r>
              <w:rPr>
                <w:i/>
                <w:sz w:val="17"/>
                <w:szCs w:val="17"/>
              </w:rPr>
              <w:t xml:space="preserve">« Un saignement après ménopause ou des signes généraux inexpliqués constitue une alarme. »</w:t>
            </w:r>
          </w:p>
        </w:tc>
        <w:tc>
          <w:tcPr>
            <w:tcW w:w="3000" w:type="dxa"/>
            <w:vAlign w:val="top"/>
          </w:tcPr>
          <w:p>
            <w:pPr>
              <w:spacing w:after="40"/>
            </w:pPr>
            <w:r>
              <w:rPr>
                <w:sz w:val="17"/>
                <w:szCs w:val="17"/>
              </w:rPr>
              <w:t xml:space="preserve">Le verbe doit s'accorder au pluriel.</w:t>
            </w:r>
          </w:p>
          <w:p>
            <w:pPr>
              <w:spacing w:after="0"/>
            </w:pPr>
            <w:r>
              <w:rPr>
                <w:b/>
                <w:color w:val="145A32"/>
                <w:sz w:val="17"/>
                <w:szCs w:val="17"/>
              </w:rPr>
              <w:t xml:space="preserve">→ Écrire « … constituent une alarme. »</w:t>
            </w:r>
          </w:p>
        </w:tc>
        <w:tc>
          <w:tcPr>
            <w:tcW w:w="1800" w:type="dxa"/>
            <w:vAlign w:val="top"/>
          </w:tcPr>
          <w:p>
            <w:pPr>
              <w:spacing w:after="0"/>
            </w:pPr>
            <w:r>
              <w:rPr>
                <w:sz w:val="17"/>
                <w:szCs w:val="17"/>
              </w:rPr>
              <w:t xml:space="preserve">Grevisse, Le Bon Usage, accord du verbe avec des sujets coordonnés par ou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L1-L73</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D1.9 › point 5 Anamnèse et drapeaux rouges</w:t>
            </w:r>
          </w:p>
        </w:tc>
        <w:tc>
          <w:tcPr>
            <w:tcW w:w="2600" w:type="dxa"/>
            <w:vAlign w:val="top"/>
          </w:tcPr>
          <w:p>
            <w:pPr>
              <w:spacing w:after="0"/>
            </w:pPr>
            <w:r>
              <w:rPr>
                <w:i/>
                <w:sz w:val="17"/>
                <w:szCs w:val="17"/>
              </w:rPr>
              <w:t xml:space="preserve">« Une compression, une cytopénie grave ou des signes de lyse constitue une alarme. »</w:t>
            </w:r>
          </w:p>
        </w:tc>
        <w:tc>
          <w:tcPr>
            <w:tcW w:w="3000" w:type="dxa"/>
            <w:vAlign w:val="top"/>
          </w:tcPr>
          <w:p>
            <w:pPr>
              <w:spacing w:after="40"/>
            </w:pPr>
            <w:r>
              <w:rPr>
                <w:sz w:val="17"/>
                <w:szCs w:val="17"/>
              </w:rPr>
              <w:t xml:space="preserve">Le verbe doit s'accorder au pluriel.</w:t>
            </w:r>
          </w:p>
          <w:p>
            <w:pPr>
              <w:spacing w:after="0"/>
            </w:pPr>
            <w:r>
              <w:rPr>
                <w:b/>
                <w:color w:val="145A32"/>
                <w:sz w:val="17"/>
                <w:szCs w:val="17"/>
              </w:rPr>
              <w:t xml:space="preserve">→ Écrire « … constituent une alarme. »</w:t>
            </w:r>
          </w:p>
        </w:tc>
        <w:tc>
          <w:tcPr>
            <w:tcW w:w="1800" w:type="dxa"/>
            <w:vAlign w:val="top"/>
          </w:tcPr>
          <w:p>
            <w:pPr>
              <w:spacing w:after="0"/>
            </w:pPr>
            <w:r>
              <w:rPr>
                <w:sz w:val="17"/>
                <w:szCs w:val="17"/>
              </w:rPr>
              <w:t xml:space="preserve">Grevisse, Le Bon Usage, accord du verbe avec des sujets coordonnés par ou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L1-L74</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SSP G1 › point 14 Pièges</w:t>
            </w:r>
          </w:p>
        </w:tc>
        <w:tc>
          <w:tcPr>
            <w:tcW w:w="2600" w:type="dxa"/>
            <w:vAlign w:val="top"/>
          </w:tcPr>
          <w:p>
            <w:pPr>
              <w:spacing w:after="0"/>
            </w:pPr>
            <w:r>
              <w:rPr>
                <w:i/>
                <w:sz w:val="17"/>
                <w:szCs w:val="17"/>
              </w:rPr>
              <w:t xml:space="preserve">« Un début après 25 ans ou des sueurs nocturnes impose une évaluation adaptée sans constituer à lui seul »</w:t>
            </w:r>
          </w:p>
        </w:tc>
        <w:tc>
          <w:tcPr>
            <w:tcW w:w="3000" w:type="dxa"/>
            <w:vAlign w:val="top"/>
          </w:tcPr>
          <w:p>
            <w:pPr>
              <w:spacing w:after="40"/>
            </w:pPr>
            <w:r>
              <w:rPr>
                <w:sz w:val="17"/>
                <w:szCs w:val="17"/>
              </w:rPr>
              <w:t xml:space="preserve">Le verbe et le participe doivent s'accorder au pluriel avec « des sueurs nocturnes ».</w:t>
            </w:r>
          </w:p>
          <w:p>
            <w:pPr>
              <w:spacing w:after="0"/>
            </w:pPr>
            <w:r>
              <w:rPr>
                <w:b/>
                <w:color w:val="145A32"/>
                <w:sz w:val="17"/>
                <w:szCs w:val="17"/>
              </w:rPr>
              <w:t xml:space="preserve">→ Écrire « Un début après 25 ans ou des sueurs nocturnes imposent une évaluation adaptée sans constituer à eux seuls une urgence ou une preuve de malignité. »</w:t>
            </w:r>
          </w:p>
        </w:tc>
        <w:tc>
          <w:tcPr>
            <w:tcW w:w="1800" w:type="dxa"/>
            <w:vAlign w:val="top"/>
          </w:tcPr>
          <w:p>
            <w:pPr>
              <w:spacing w:after="0"/>
            </w:pPr>
            <w:r>
              <w:rPr>
                <w:sz w:val="17"/>
                <w:szCs w:val="17"/>
              </w:rPr>
              <w:t xml:space="preserve">Grevisse, Le Bon Usage, accord du verbe avec des sujets coordonnés par ou</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L1-L75</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SSP G1 › 11.A But (et 4 autres rubriques 11.A)</w:t>
            </w:r>
          </w:p>
        </w:tc>
        <w:tc>
          <w:tcPr>
            <w:tcW w:w="2600" w:type="dxa"/>
            <w:vAlign w:val="top"/>
          </w:tcPr>
          <w:p>
            <w:pPr>
              <w:spacing w:after="0"/>
            </w:pPr>
            <w:r>
              <w:rPr>
                <w:i/>
                <w:sz w:val="17"/>
                <w:szCs w:val="17"/>
              </w:rPr>
              <w:t xml:space="preserve">« vise à identifier la cause de la sudation et réduire »</w:t>
            </w:r>
          </w:p>
        </w:tc>
        <w:tc>
          <w:tcPr>
            <w:tcW w:w="3000" w:type="dxa"/>
            <w:vAlign w:val="top"/>
          </w:tcPr>
          <w:p>
            <w:pPr>
              <w:spacing w:after="40"/>
            </w:pPr>
            <w:r>
              <w:rPr>
                <w:sz w:val="17"/>
                <w:szCs w:val="17"/>
              </w:rPr>
              <w:t xml:space="preserve">La préposition « à » doit être répétée devant chaque infinitif coordonné.</w:t>
            </w:r>
          </w:p>
          <w:p>
            <w:pPr>
              <w:spacing w:after="0"/>
            </w:pPr>
            <w:r>
              <w:rPr>
                <w:b/>
                <w:color w:val="145A32"/>
                <w:sz w:val="17"/>
                <w:szCs w:val="17"/>
              </w:rPr>
              <w:t xml:space="preserve">→ Écrire « vise à identifier la cause de la sudation et à réduire son retentissement » ; corriger de même D1.1, D1.3, D1.5 et D1.9.</w:t>
            </w:r>
          </w:p>
        </w:tc>
        <w:tc>
          <w:tcPr>
            <w:tcW w:w="1800" w:type="dxa"/>
            <w:vAlign w:val="top"/>
          </w:tcPr>
          <w:p>
            <w:pPr>
              <w:spacing w:after="0"/>
            </w:pPr>
            <w:r>
              <w:rPr>
                <w:sz w:val="17"/>
                <w:szCs w:val="17"/>
              </w:rPr>
              <w:t xml:space="preserve">Académie française, usage de la répétition des prépositions</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L1-L76</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 fenêtre « Consulter la hiérarchie des examens » ; SSP G1 › 2e intention</w:t>
            </w:r>
          </w:p>
        </w:tc>
        <w:tc>
          <w:tcPr>
            <w:tcW w:w="2600" w:type="dxa"/>
            <w:vAlign w:val="top"/>
          </w:tcPr>
          <w:p>
            <w:pPr>
              <w:spacing w:after="0"/>
            </w:pPr>
            <w:r>
              <w:rPr>
                <w:i/>
                <w:sz w:val="17"/>
                <w:szCs w:val="17"/>
              </w:rPr>
              <w:t xml:space="preserve">« Le médecin évite un PET-CT »</w:t>
            </w:r>
          </w:p>
        </w:tc>
        <w:tc>
          <w:tcPr>
            <w:tcW w:w="3000" w:type="dxa"/>
            <w:vAlign w:val="top"/>
          </w:tcPr>
          <w:p>
            <w:pPr>
              <w:spacing w:after="40"/>
            </w:pPr>
            <w:r>
              <w:rPr>
                <w:sz w:val="17"/>
                <w:szCs w:val="17"/>
              </w:rPr>
              <w:t xml:space="preserve">Le texte emploie des anglicismes (« Gold standard », « PET-CT ») alors que le français médical dispose de « examen de référence » et « TEP-TDM ».</w:t>
            </w:r>
          </w:p>
          <w:p>
            <w:pPr>
              <w:spacing w:after="0"/>
            </w:pPr>
            <w:r>
              <w:rPr>
                <w:b/>
                <w:color w:val="145A32"/>
                <w:sz w:val="17"/>
                <w:szCs w:val="17"/>
              </w:rPr>
              <w:t xml:space="preserve">→ Écrire « TEP-TDM » et « Examen de référence » ; corriger aussi « PET-CT » dans l'Appel A (point 10) et dans l'Expert Complet (D1.9).</w:t>
            </w:r>
          </w:p>
        </w:tc>
        <w:tc>
          <w:tcPr>
            <w:tcW w:w="1800" w:type="dxa"/>
            <w:vAlign w:val="top"/>
          </w:tcPr>
          <w:p>
            <w:pPr>
              <w:spacing w:after="0"/>
            </w:pPr>
            <w:r>
              <w:rPr>
                <w:sz w:val="17"/>
                <w:szCs w:val="17"/>
              </w:rPr>
              <w:t xml:space="preserve">Commission d'enrichissement de la langue française, FranceTerme</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L1-L77</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Toutes les monographies (HDSS, IAH, IGRA, TSH, ECG, FSH, TEP-TDM)</w:t>
            </w:r>
          </w:p>
        </w:tc>
        <w:tc>
          <w:tcPr>
            <w:tcW w:w="2600" w:type="dxa"/>
            <w:vAlign w:val="top"/>
          </w:tcPr>
          <w:p>
            <w:pPr>
              <w:spacing w:after="0"/>
            </w:pPr>
            <w:r>
              <w:rPr>
                <w:i/>
                <w:sz w:val="17"/>
                <w:szCs w:val="17"/>
              </w:rPr>
              <w:t xml:space="preserve">« Le score HDSS mesure le retentissement d'une hyperhidrose. »</w:t>
            </w:r>
          </w:p>
        </w:tc>
        <w:tc>
          <w:tcPr>
            <w:tcW w:w="3000" w:type="dxa"/>
            <w:vAlign w:val="top"/>
          </w:tcPr>
          <w:p>
            <w:pPr>
              <w:spacing w:after="40"/>
            </w:pPr>
            <w:r>
              <w:rPr>
                <w:sz w:val="17"/>
                <w:szCs w:val="17"/>
              </w:rPr>
              <w:t xml:space="preserve">Les abréviations ne sont pas développées à leur première apparition.</w:t>
            </w:r>
          </w:p>
          <w:p>
            <w:pPr>
              <w:spacing w:after="0"/>
            </w:pPr>
            <w:r>
              <w:rPr>
                <w:b/>
                <w:color w:val="145A32"/>
                <w:sz w:val="17"/>
                <w:szCs w:val="17"/>
              </w:rPr>
              <w:t xml:space="preserve">→ Écrire par exemple « Le score HDSS (Hyperhidrosis Disease Severity Scale, échelle de sévérité de l'hyperhidrose) » et développer IAH, IGRA, TSH, ECG, FSH et TEP-TDM.</w:t>
            </w:r>
          </w:p>
        </w:tc>
        <w:tc>
          <w:tcPr>
            <w:tcW w:w="1800" w:type="dxa"/>
            <w:vAlign w:val="top"/>
          </w:tcPr>
          <w:p>
            <w:pPr>
              <w:spacing w:after="0"/>
            </w:pPr>
            <w:r>
              <w:rPr>
                <w:sz w:val="17"/>
                <w:szCs w:val="17"/>
              </w:rPr>
              <w:t xml:space="preserve">PROMPT_V6.md (prompt de base V6), § 6.5</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L1-L78</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En-tête du fichier</w:t>
            </w:r>
          </w:p>
        </w:tc>
        <w:tc>
          <w:tcPr>
            <w:tcW w:w="2600" w:type="dxa"/>
            <w:vAlign w:val="top"/>
          </w:tcPr>
          <w:p>
            <w:pPr>
              <w:spacing w:after="0"/>
            </w:pPr>
            <w:r>
              <w:rPr>
                <w:i/>
                <w:sz w:val="17"/>
                <w:szCs w:val="17"/>
              </w:rPr>
              <w:t xml:space="preserve">« LOT 1 · V6 · ENRICHI ++++++++ »</w:t>
            </w:r>
          </w:p>
        </w:tc>
        <w:tc>
          <w:tcPr>
            <w:tcW w:w="3000" w:type="dxa"/>
            <w:vAlign w:val="top"/>
          </w:tcPr>
          <w:p>
            <w:pPr>
              <w:spacing w:after="40"/>
            </w:pPr>
            <w:r>
              <w:rPr>
                <w:sz w:val="17"/>
                <w:szCs w:val="17"/>
              </w:rPr>
              <w:t xml:space="preserve">La mention « ENRICHI ++++++++ » relève du jargon de travail et ne convient pas à un document pédagogique.</w:t>
            </w:r>
          </w:p>
          <w:p>
            <w:pPr>
              <w:spacing w:after="0"/>
            </w:pPr>
            <w:r>
              <w:rPr>
                <w:b/>
                <w:color w:val="145A32"/>
                <w:sz w:val="17"/>
                <w:szCs w:val="17"/>
              </w:rPr>
              <w:t xml:space="preserve">→ Écrire « LOT 1 · SSP G1 · Version 6 ».</w:t>
            </w:r>
          </w:p>
        </w:tc>
        <w:tc>
          <w:tcPr>
            <w:tcW w:w="1800" w:type="dxa"/>
            <w:vAlign w:val="top"/>
          </w:tcPr>
          <w:p>
            <w:pPr>
              <w:spacing w:after="0"/>
            </w:pPr>
            <w:r>
              <w:rPr>
                <w:sz w:val="17"/>
                <w:szCs w:val="17"/>
              </w:rPr>
              <w:t xml:space="preserve">PROMPT_V6.md (prompt de base V6), § 6.4</w:t>
            </w:r>
          </w:p>
        </w:tc>
      </w:tr>
      <w:tr>
        <w:trPr>
          <w:cantSplit/>
        </w:trPr>
        <w:tc>
          <w:tcPr>
            <w:tcW w:w="600" w:type="dxa"/>
            <w:vAlign w:val="top"/>
          </w:tcPr>
          <w:p>
            <w:pPr>
              <w:spacing w:after="0"/>
              <w:jc w:val="center"/>
            </w:pPr>
            <w:sdt>
              <w:sdtPr>
                <w:rPr>
                  <w:rFonts w:ascii="MS Gothic" w:hAnsi="MS Gothic" w:eastAsia="MS Gothic"/>
                  <w:color w:val="FF0000"/>
                  <w:sz w:val="32"/>
                </w:rPr>
                <w:alias w:val="Corrigé"/>
                <w14:checkbox>
                  <w14:checked w14:val="0"/>
                  <w14:checkedState w14:val="2612" w14:font="MS Gothic"/>
                  <w14:uncheckedState w14:val="2610" w14:font="MS Gothic"/>
                </w14:checkbox>
              </w:sdtPr>
              <w:sdtContent>
                <w:r>
                  <w:rPr>
                    <w:rFonts w:ascii="MS Gothic" w:hAnsi="MS Gothic" w:eastAsia="MS Gothic"/>
                    <w:color w:val="FF0000"/>
                    <w:sz w:val="32"/>
                  </w:rPr>
                  <w:t>☐</w:t>
                </w:r>
              </w:sdtContent>
            </w:sdt>
          </w:p>
        </w:tc>
        <w:tc>
          <w:tcPr>
            <w:tcW w:w="900" w:type="dxa"/>
            <w:shd w:val="clear" w:color="auto" w:fill="EBF5FB"/>
            <w:vAlign w:val="top"/>
          </w:tcPr>
          <w:p>
            <w:pPr>
              <w:spacing w:after="0"/>
            </w:pPr>
            <w:r>
              <w:rPr>
                <w:sz w:val="17"/>
                <w:szCs w:val="17"/>
              </w:rPr>
              <w:t xml:space="preserve">L1-L79</w:t>
            </w:r>
          </w:p>
        </w:tc>
        <w:tc>
          <w:tcPr>
            <w:tcW w:w="1250" w:type="dxa"/>
            <w:vAlign w:val="top"/>
          </w:tcPr>
          <w:p>
            <w:pPr>
              <w:spacing w:after="0"/>
            </w:pPr>
            <w:r>
              <w:rPr>
                <w:sz w:val="17"/>
                <w:szCs w:val="17"/>
              </w:rPr>
              <w:t xml:space="preserve">Linguistique</w:t>
            </w:r>
          </w:p>
        </w:tc>
        <w:tc>
          <w:tcPr>
            <w:tcW w:w="1900" w:type="dxa"/>
            <w:vAlign w:val="top"/>
          </w:tcPr>
          <w:p>
            <w:pPr>
              <w:spacing w:after="0"/>
            </w:pPr>
            <w:r>
              <w:rPr>
                <w:sz w:val="17"/>
                <w:szCs w:val="17"/>
              </w:rPr>
              <w:t xml:space="preserve">LOT_1_V6_Enrichi_8plus_Partie_1_Integral.html</w:t>
            </w:r>
          </w:p>
        </w:tc>
        <w:tc>
          <w:tcPr>
            <w:tcW w:w="2350" w:type="dxa"/>
            <w:vAlign w:val="top"/>
          </w:tcPr>
          <w:p>
            <w:pPr>
              <w:spacing w:after="0"/>
            </w:pPr>
            <w:r>
              <w:rPr>
                <w:sz w:val="17"/>
                <w:szCs w:val="17"/>
              </w:rPr>
              <w:t xml:space="preserve">Tout le fichier (ponctuation haute et guillemets)</w:t>
            </w:r>
          </w:p>
        </w:tc>
        <w:tc>
          <w:tcPr>
            <w:tcW w:w="2600" w:type="dxa"/>
            <w:vAlign w:val="top"/>
          </w:tcPr>
          <w:p>
            <w:pPr>
              <w:spacing w:after="0"/>
            </w:pPr>
            <w:r>
              <w:rPr>
                <w:i/>
                <w:sz w:val="17"/>
                <w:szCs w:val="17"/>
              </w:rPr>
              <w:t xml:space="preserve">« reste « donnée non trouvée » »</w:t>
            </w:r>
          </w:p>
        </w:tc>
        <w:tc>
          <w:tcPr>
            <w:tcW w:w="3000" w:type="dxa"/>
            <w:vAlign w:val="top"/>
          </w:tcPr>
          <w:p>
            <w:pPr>
              <w:spacing w:after="40"/>
            </w:pPr>
            <w:r>
              <w:rPr>
                <w:sz w:val="17"/>
                <w:szCs w:val="17"/>
              </w:rPr>
              <w:t xml:space="preserve">Le fichier n'emploie aucune espace insécable (0 occurrence) avant « ; : ? ! », à l'intérieur des guillemets « » ni entre nombre et unité.</w:t>
            </w:r>
          </w:p>
          <w:p>
            <w:pPr>
              <w:spacing w:after="0"/>
            </w:pPr>
            <w:r>
              <w:rPr>
                <w:b/>
                <w:color w:val="145A32"/>
                <w:sz w:val="17"/>
                <w:szCs w:val="17"/>
              </w:rPr>
              <w:t xml:space="preserve">→ Remplacer les espaces concernées par &amp;nbsp; ou &amp;#8239; (espace fine insécable).</w:t>
            </w:r>
          </w:p>
        </w:tc>
        <w:tc>
          <w:tcPr>
            <w:tcW w:w="1800" w:type="dxa"/>
            <w:vAlign w:val="top"/>
          </w:tcPr>
          <w:p>
            <w:pPr>
              <w:spacing w:after="0"/>
            </w:pPr>
            <w:r>
              <w:rPr>
                <w:sz w:val="17"/>
                <w:szCs w:val="17"/>
              </w:rPr>
              <w:t xml:space="preserve">Imprimerie nationale, Lexique des règles typographiques en usage à l'Imprimerie nationale</w:t>
            </w:r>
          </w:p>
        </w:tc>
      </w:tr>
    </w:tbl>
    <w:p>
      <w:pPr>
        <w:spacing w:after="120"/>
      </w:pPr>
    </w:p>
    <w:p>
      <w:pPr>
        <w:pStyle w:val="Titre1"/>
        <w:keepNext/>
      </w:pPr>
      <w:r>
        <w:rPr>
          <w:b/>
          <w:color w:val="1A5276"/>
          <w:sz w:val="26"/>
          <w:szCs w:val="26"/>
        </w:rPr>
        <w:t xml:space="preserve">Rapport d'audit médical</w:t>
      </w:r>
    </w:p>
    <w:p>
      <w:pPr>
        <w:spacing w:after="100"/>
        <w:jc w:val="both"/>
      </w:pPr>
      <w:r>
        <w:rPr>
          <w:sz w:val="19"/>
          <w:szCs w:val="19"/>
        </w:rPr>
        <w:t xml:space="preserve">L'audit médical a porté sur les treize fichiers du LOT_1 (SSP G1, Transpiration anormale et sueurs nocturnes) clonés depuis Drive. Quatre fichiers ont un contenu : l'Appel A (Google Doc), deux générations V4 « Argon » (Google Docs) et le fichier V6 « Enrichi Partie 1 Intégral », seul fichier HTML. Les huit autres Google Docs sont vides ou ne contiennent qu'un titre ; ils ont reçu un constat de structure chacun, sans audit de fond.</w:t>
      </w:r>
    </w:p>
    <w:p>
      <w:pPr>
        <w:spacing w:after="100"/>
        <w:jc w:val="both"/>
      </w:pPr>
      <w:r>
        <w:rPr>
          <w:sz w:val="19"/>
          <w:szCs w:val="19"/>
        </w:rPr>
        <w:t xml:space="preserve">J'ai traité la V6 comme version active de l'Appel B, puisqu'elle est la plus récente et la seule au format exigé. L'Appel A reste la seule version du plan du SSP et de la liste DX. J'ai aussi audité les posologies des fichiers V4, parce que la V6 cite ces Google Docs comme document de départ et que le correcteur pourrait les réinjecter. Les affirmations contestées ont été confrontées à l'information professionnelle suisse (Botox, Rimstar, Utrogestan, lue via la reproduction ODDB de l'AIPS), au registre des spécialités autorisées, à la ligne directrice AWMF 2023 sur l'hyperhidrose, au guide JBDS-IP sur l'hypoglycémie et aux recommandations européennes (ESC, ETA, ESMO, ESH). Chaque extrait a été vérifié avec python3 dans le texte sans balises.</w:t>
      </w:r>
    </w:p>
    <w:p>
      <w:pPr>
        <w:spacing w:after="100"/>
        <w:jc w:val="both"/>
      </w:pPr>
      <w:r>
        <w:rPr>
          <w:sz w:val="19"/>
          <w:szCs w:val="19"/>
        </w:rPr>
        <w:t xml:space="preserve">Le lot a plusieurs forces. L'Appel A suit les 14 points et distingue nettement hyperhidrose focale primaire et formes secondaires. La V4 Partie 1 donne une physiopathologie riche (neurones KNDy, récepteur NK3, zone thermoneutre) et des posologies souvent justes pour l'œstradiol transdermique, l'Utrogestan® et le fézolinetant (Veoza®, autorisé par Swissmedic). La V6 est prudente : elle retire les pourcentages non vérifiés, signale ses lacunes dans le HELP et rappelle des messages de sécurité pertinents (alpha-blocage avant bêtablocage, agranulocytose sous antithyroïdien, pas de biopsie d'un phéochromocytome).</w:t>
      </w:r>
    </w:p>
    <w:p>
      <w:pPr>
        <w:spacing w:after="100"/>
        <w:jc w:val="both"/>
      </w:pPr>
      <w:r>
        <w:rPr>
          <w:sz w:val="19"/>
          <w:szCs w:val="19"/>
        </w:rPr>
        <w:t xml:space="preserve">Les faiblesses majeures relèvent de la forme. Le lot ne possède aucun Appel A ni Partie 2 à 4 en HTML, et la V6 regroupe les dix DX dans une seule Partie. Pour devenir prudente, la V6 s'est vidée de sa substance : elle n'a aucun tableau d'interprétation, aucune spécialité, aucune dose, aucun seuil chiffré, aucune section Sources numérotée. Ses seules références sont américaines ou britanniques grand public. Des fragments d'autres lots polluent les monographies de la tuberculose (mycoses) et du trouble panique (trouble à symptomatologie somatique).</w:t>
      </w:r>
    </w:p>
    <w:p>
      <w:pPr>
        <w:spacing w:after="100"/>
        <w:jc w:val="both"/>
      </w:pPr>
      <w:r>
        <w:rPr>
          <w:sz w:val="19"/>
          <w:szCs w:val="19"/>
        </w:rPr>
        <w:t xml:space="preserve">Sur le fond, la liste DX de l'Appel A omet des causes graves de sueurs, comme l'endocardite infectieuse, l'infection VIH et le syndrome coronarien aigu, alors que le point 4 les annonce. Ses badges en pourcentage ne sont ni comparables ni sourcés selon les règles. L'épidémiologie n'est pas suisse et n'a pas de source.</w:t>
      </w:r>
    </w:p>
    <w:p>
      <w:pPr>
        <w:spacing w:after="100"/>
        <w:jc w:val="both"/>
      </w:pPr>
      <w:r>
        <w:rPr>
          <w:sz w:val="19"/>
          <w:szCs w:val="19"/>
        </w:rPr>
        <w:t xml:space="preserve">Les risques pour le patient se concentrent dans les fichiers V4. Le volume de 40 à 50 mL de glucose 20 % apporte environ la moitié de la dose recommandée pour une hypoglycémie sévère (constat Critique). La dose de toxine botulique de 100 U par aisselle dépasse l'information professionnelle suisse. Il manque l'alerte agranulocytose sous carbimazole, et l'urapidil oral cité n'existe pas en Suisse. Plusieurs spécialités citées ne sont pas autorisées en Suisse (Estramon®, Ditropan®) ou ne sont pas des médicaments (Odaban®, SweatStop®). Si un correcteur réinjecte ces données sans contrôle, il transmet ces erreurs à l'étudiant.</w:t>
      </w:r>
    </w:p>
    <w:p>
      <w:pPr>
        <w:spacing w:after="100"/>
        <w:jc w:val="both"/>
      </w:pPr>
      <w:r>
        <w:rPr>
          <w:sz w:val="19"/>
          <w:szCs w:val="19"/>
        </w:rPr>
        <w:t xml:space="preserve">Priorités de correction : 1) corriger la dose de glucose IV et écrire dans la V6 la conduite chiffrée de l'hypoglycémie sévère ; 2) régénérer l'Appel A en HTML avec une liste DX complète, des badges conformes, une justification, un tableau comparatif et un algorithme ; 3) réécrire les points 9 et 11.B de chaque monographie V6 avec des tableaux SI et des posologies vérifiées dans l'AIPS ; 4) supprimer les fragments d'autres lots ; 5) remplacer les sources américaines par des sources suisses ou européennes numérotées ; 6) archiver les huit documents vides et les générations V4 dans CORBEILLE_DOUBLONS_OBSOLETES.</w:t>
      </w:r>
    </w:p>
    <w:p>
      <w:pPr>
        <w:pStyle w:val="Titre1"/>
        <w:keepNext/>
      </w:pPr>
      <w:r>
        <w:rPr>
          <w:b/>
          <w:color w:val="1A5276"/>
          <w:sz w:val="26"/>
          <w:szCs w:val="26"/>
        </w:rPr>
        <w:t xml:space="preserve">Rapport d'audit linguistique</w:t>
      </w:r>
    </w:p>
    <w:p>
      <w:pPr>
        <w:spacing w:after="100"/>
        <w:jc w:val="both"/>
      </w:pPr>
      <w:r>
        <w:rPr>
          <w:sz w:val="19"/>
          <w:szCs w:val="19"/>
        </w:rPr>
        <w:t xml:space="preserve">L'audit porte sur les douze fichiers du LOT_1 (SSP G1, Transpiration anormale et sueurs nocturnes) clonés depuis le Drive : onze exports de Google Docs et un seul fichier .html (V6 Enrichi Partie 1 Intégral). Huit Google Docs sont vides ou réduits à un titre ; ils reçoivent chacun un constat de structure sans audit de fond. Quatre fichiers ont été audités en profondeur : l'Appel A, l'Appel B V4 « Expert Complet », la Partie 1 V4 (D1.1–D1.2) et la V6, version la plus récente mais appauvrie.</w:t>
      </w:r>
    </w:p>
    <w:p>
      <w:pPr>
        <w:spacing w:after="100"/>
        <w:jc w:val="both"/>
      </w:pPr>
      <w:r>
        <w:rPr>
          <w:sz w:val="19"/>
          <w:szCs w:val="19"/>
        </w:rPr>
        <w:t xml:space="preserve">La méthode a confronté chaque fichier au prompt de base V6, point par point : format, balise FIN_FICHIER, 14 points, sous-parties 9.a–9.d et 11.A–D, fenêtres &lt;details&gt;, tableaux d'interprétation, sources et badges. La langue a été contrôlée phrase par phrase pour les phrases nominales, les accords, la typographie, les anglicismes et les abréviations. Les affirmations médicales contestées ont été recherchées en ligne (EMA, HSE irlandais, notices européennes) ; quand aucune source suisse n'a été trouvée, le constat porte la mention « donnée non trouvée dans les sources consultées » et reste classé au plus en Moyen. Chaque extrait a été vérifié par python3 dans le texte sans balises.</w:t>
      </w:r>
    </w:p>
    <w:p>
      <w:pPr>
        <w:spacing w:after="100"/>
        <w:jc w:val="both"/>
      </w:pPr>
      <w:r>
        <w:rPr>
          <w:sz w:val="19"/>
          <w:szCs w:val="19"/>
        </w:rPr>
        <w:t xml:space="preserve">Le lot présente de réelles forces. La Partie 1 V4 contient des posologies précises et le plus souvent exactes (progestérone micronisée 200 mg en séquentiel ou 100 mg en continu, œstradiol transdermique) et une surveillance hépatique du fézolinétant conforme à la communication de l'EMA. L'Appel A respecte les 14 points du SSP et ordonne correctement le raisonnement d'urgence (glycémie capillaire et ECG d'abord). La V6 écrit des phrases verbales correctes, retire des pourcentages non comparables et signale honnêtement les données manquantes par « donnée non trouvée » et des renvois HELP.</w:t>
      </w:r>
    </w:p>
    <w:p>
      <w:pPr>
        <w:spacing w:after="100"/>
        <w:jc w:val="both"/>
      </w:pPr>
      <w:r>
        <w:rPr>
          <w:sz w:val="19"/>
          <w:szCs w:val="19"/>
        </w:rPr>
        <w:t xml:space="preserve">Les faiblesses majeures sont structurelles. Trois fichiers sur quatre sont des Google Docs convertis, ce qui viole la règle 0 : les fenêtres sont devenues des liens morts et 17 formules de la Partie 1 V4 sont devenues des images, de sorte que les critères diagnostiques ont perdu leurs chiffres (« depuis mois », « début ans »). L'Appel A n'a ni tableau comparatif, ni algorithme discriminant, ni section Sources ; ses badges citent des sources américaines (AAFP, ADA, Endocrine Society) et mesurent des grandeurs incomparables. Le document « Expert Complet » ne contient que les points 7 et 11.B, rédigés en style télégraphique.</w:t>
      </w:r>
    </w:p>
    <w:p>
      <w:pPr>
        <w:spacing w:after="100"/>
        <w:jc w:val="both"/>
      </w:pPr>
      <w:r>
        <w:rPr>
          <w:sz w:val="19"/>
          <w:szCs w:val="19"/>
        </w:rPr>
        <w:t xml:space="preserve">La V6 a corrigé la forme mais vidé le fond : elle ne contient plus aucune dose, DCI, spécialité suisse, seuil SI ni tableau. Elle répète mot pour mot les points 8 et 11 dans les points clés, recopie le point 9 dans la rubrique « Gold standard », emploie des sous-titres 7.1 et 7.2 génériques identiques dans les onze monographies et contient des fragments d'un autre lot (trouble à symptomatologie somatique en D1.5, mycoses en D1.8). Elle utilise encore des sources américaines, des attributs title= interdits et aucune espace insécable.</w:t>
      </w:r>
    </w:p>
    <w:p>
      <w:pPr>
        <w:spacing w:after="100"/>
        <w:jc w:val="both"/>
      </w:pPr>
      <w:r>
        <w:rPr>
          <w:sz w:val="19"/>
          <w:szCs w:val="19"/>
        </w:rPr>
        <w:t xml:space="preserve">Pour le patient, aucun constat n'atteint le niveau Critique : aucune dose dangereuse n'a été démontrée par une source lue. Plusieurs imprécisions peuvent toutefois induire l'étudiant en erreur : le schéma ABVD « tous les 14 jours », la pyridoxine « systématique », l'injection palmaire de Botox® présentée sans statut d'indication et les critères IHHS amputés de leurs chiffres. Pour l'étudiant, le principal risque est l'absence de version unique, complète et sourcée : il trouve des données contradictoires entre les versions (fréquence du chlorure d'aluminium, durée d'effet de la toxine, âge d'atténuation).</w:t>
      </w:r>
    </w:p>
    <w:p>
      <w:pPr>
        <w:spacing w:after="100"/>
        <w:jc w:val="both"/>
      </w:pPr>
      <w:r>
        <w:rPr>
          <w:sz w:val="19"/>
          <w:szCs w:val="19"/>
        </w:rPr>
        <w:t xml:space="preserve">Les priorités de correction sont les suivantes. Il faut d'abord archiver les huit Google Docs vides et le doublon « Expert Complet » dans CORBEILLE_DOUBLONS_OBSOLETES. Il faut ensuite régénérer cinq fichiers .html canoniques, en commençant par l'Appel A complet (Bloc 2 avec tableau et algorithme), puis les Parties 1 à 4. Ces fichiers doivent fusionner la richesse chiffrée de la V4, vérifiée dans AIPS et dans des sources suisses ou européennes, avec la langue verbale de la V6. Il faut enfin ajouter les fenêtres &lt;details&gt;, les tableaux d'interprétation, les sections Sources [Sn] et la mention de non-validation, puis corriger les fautes de langue et de typographie.</w:t>
      </w:r>
    </w:p>
    <w:p>
      <w:pPr/>
      <w:r>
        <w:rPr>
          <w:i/>
          <w:color w:val="5D6D7E"/>
          <w:sz w:val="16"/>
          <w:szCs w:val="16"/>
        </w:rPr>
        <w:t xml:space="preserve">Audit produit par IA à partir des sources citées ; il ne remplace pas une validation clinique par un médecin.</w:t>
      </w:r>
    </w:p>
    <w:sectPr>
      <w:pgSz w:w="16838" w:h="11906" w:orient="landscape"/>
      <w:pgMar w:top="850" w:right="850" w:bottom="850" w:left="850" w:header="400" w:footer="400" w:gutter="0"/>
    </w:sectPr>
  </w:body>
</w:document>
</file>

<file path=word/styles.xml><?xml version="1.0" encoding="utf-8"?>
<w:styles xmlns:w="http://schemas.openxmlformats.org/wordprocessingml/2006/main">
  <w:docDefaults>
    <w:rPrDefault>
      <w:rPr>
        <w:rFonts w:ascii="Calibri" w:hAnsi="Calibri" w:eastAsia="Calibri" w:cs="Calibri"/>
        <w:sz w:val="20"/>
        <w:lang w:val="fr-CH"/>
      </w:rPr>
    </w:rPrDefault>
    <w:pPrDefault>
      <w:pPr>
        <w:spacing w:after="80" w:line="264" w:lineRule="auto"/>
      </w:pPr>
    </w:pPrDefault>
  </w:docDefaults>
  <w:style w:type="paragraph" w:default="1" w:styleId="Normal">
    <w:name w:val="Normal"/>
  </w:style>
  <w:style w:type="paragraph" w:styleId="Titre1">
    <w:name w:val="heading 1"/>
    <w:basedOn w:val="Normal"/>
    <w:pPr>
      <w:keepNext/>
      <w:spacing w:before="240" w:after="100"/>
      <w:pBdr>
        <w:bottom w:val="single" w:sz="8" w:space="2" w:color="2980B9"/>
      </w:pBdr>
      <w:outlineLvl w:val="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