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mc="http://schemas.openxmlformats.org/markup-compatibility/2006" mc:Ignorable="w14">
  <w:body>
    <w:p>
      <w:pPr>
        <w:spacing w:after="60"/>
      </w:pPr>
      <w:r>
        <w:rPr>
          <w:b/>
          <w:color w:val="1A5276"/>
          <w:sz w:val="40"/>
          <w:szCs w:val="40"/>
        </w:rPr>
        <w:t xml:space="preserve">LOT 4 — Fatigue et épuisement (SSP G4)</w:t>
      </w:r>
    </w:p>
    <w:p>
      <w:pPr>
        <w:spacing w:after="60"/>
      </w:pPr>
      <w:r>
        <w:rPr>
          <w:i/>
          <w:color w:val="5D6D7E"/>
          <w:sz w:val="24"/>
          <w:szCs w:val="24"/>
        </w:rPr>
        <w:t xml:space="preserve">Liste des problèmes à corriger — audit médical, linguistique et conformité au prompt de base</w:t>
      </w:r>
    </w:p>
    <w:p>
      <w:pPr>
        <w:spacing w:after="200"/>
      </w:pPr>
      <w:r>
        <w:rPr>
          <w:color w:val="5D6D7E"/>
          <w:sz w:val="18"/>
          <w:szCs w:val="18"/>
        </w:rPr>
        <w:t xml:space="preserve">Audit du 2026-10-22 · Claude — audits médical et linguistique indépendants</w:t>
      </w:r>
    </w:p>
    <w:p>
      <w:pPr>
        <w:pStyle w:val="Titre1"/>
        <w:keepNext/>
      </w:pPr>
      <w:r>
        <w:rPr>
          <w:b/>
          <w:color w:val="1A5276"/>
          <w:sz w:val="26"/>
          <w:szCs w:val="26"/>
        </w:rPr>
        <w:t xml:space="preserve">Mode d'emploi</w:t>
      </w:r>
    </w:p>
    <w:p>
      <w:pPr>
        <w:spacing w:after="40"/>
      </w:pPr>
      <w:r>
        <w:rPr>
          <w:sz w:val="19"/>
          <w:szCs w:val="19"/>
        </w:rPr>
        <w:t xml:space="preserve">• Chaque ligne décrit un problème et son emplacement exact. Le correcteur n'a pas besoin de relire le lot entier.</w:t>
      </w:r>
    </w:p>
    <w:p>
      <w:pPr>
        <w:spacing w:after="40"/>
      </w:pPr>
      <w:r>
        <w:rPr>
          <w:sz w:val="19"/>
          <w:szCs w:val="19"/>
        </w:rPr>
        <w:t xml:space="preserve">• L'emplacement suit le chemin Fichier › Bloc › point › fenêtre. L'extrait cite le texte fautif mot pour mot : une recherche Ctrl+F le retrouve.</w:t>
      </w:r>
    </w:p>
    <w:p>
      <w:pPr>
        <w:spacing w:after="40"/>
      </w:pPr>
      <w:r>
        <w:rPr>
          <w:sz w:val="19"/>
          <w:szCs w:val="19"/>
        </w:rPr>
        <w:t xml:space="preserve">• Le correcteur applique la correction, puis il clique sur la case : elle se coche en rouge (☒).</w:t>
      </w:r>
    </w:p>
    <w:p>
      <w:pPr>
        <w:spacing w:after="40"/>
      </w:pPr>
      <w:r>
        <w:rPr>
          <w:sz w:val="19"/>
          <w:szCs w:val="19"/>
        </w:rPr>
        <w:t xml:space="preserve">• L'auditeur suivant contrôle chaque case cochée avant de valider le lot.</w:t>
      </w:r>
    </w:p>
    <w:p>
      <w:pPr>
        <w:pStyle w:val="Titre1"/>
        <w:keepNext/>
      </w:pPr>
      <w:r>
        <w:rPr>
          <w:b/>
          <w:color w:val="1A5276"/>
          <w:sz w:val="26"/>
          <w:szCs w:val="26"/>
        </w:rPr>
        <w:t xml:space="preserve">Synthèse</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1800"/>
        <w:gridCol w:w="1100"/>
        <w:gridCol w:w="11500"/>
      </w:tblGrid>
      <w:tr>
        <w:trPr>
          <w:tblHeader/>
          <w:cantSplit/>
        </w:trPr>
        <w:tc>
          <w:tcPr>
            <w:tcW w:w="1800" w:type="dxa"/>
            <w:shd w:val="clear" w:color="auto" w:fill="1A5276"/>
            <w:vAlign w:val="top"/>
          </w:tcPr>
          <w:p>
            <w:pPr>
              <w:spacing w:after="0"/>
            </w:pPr>
            <w:r>
              <w:rPr>
                <w:b/>
                <w:color w:val="FFFFFF"/>
                <w:sz w:val="17"/>
                <w:szCs w:val="17"/>
              </w:rPr>
              <w:t xml:space="preserve">Gravité</w:t>
            </w:r>
          </w:p>
        </w:tc>
        <w:tc>
          <w:tcPr>
            <w:tcW w:w="1100" w:type="dxa"/>
            <w:shd w:val="clear" w:color="auto" w:fill="1A5276"/>
            <w:vAlign w:val="top"/>
          </w:tcPr>
          <w:p>
            <w:pPr>
              <w:spacing w:after="0"/>
            </w:pPr>
            <w:r>
              <w:rPr>
                <w:b/>
                <w:color w:val="FFFFFF"/>
                <w:sz w:val="17"/>
                <w:szCs w:val="17"/>
              </w:rPr>
              <w:t xml:space="preserve">Nombre</w:t>
            </w:r>
          </w:p>
        </w:tc>
        <w:tc>
          <w:tcPr>
            <w:tcW w:w="11500" w:type="dxa"/>
            <w:shd w:val="clear" w:color="auto" w:fill="1A5276"/>
            <w:vAlign w:val="top"/>
          </w:tcPr>
          <w:p>
            <w:pPr>
              <w:spacing w:after="0"/>
            </w:pPr>
            <w:r>
              <w:rPr>
                <w:b/>
                <w:color w:val="FFFFFF"/>
                <w:sz w:val="17"/>
                <w:szCs w:val="17"/>
              </w:rPr>
              <w:t xml:space="preserve">Définition</w:t>
            </w:r>
          </w:p>
        </w:tc>
      </w:tr>
      <w:tr>
        <w:trPr>
          <w:cantSplit/>
        </w:trPr>
        <w:tc>
          <w:tcPr>
            <w:tcW w:w="1800" w:type="dxa"/>
            <w:shd w:val="clear" w:color="auto" w:fill="FADBD8"/>
            <w:vAlign w:val="top"/>
          </w:tcPr>
          <w:p>
            <w:pPr>
              <w:spacing w:after="0"/>
            </w:pPr>
            <w:r>
              <w:rPr>
                <w:sz w:val="17"/>
                <w:szCs w:val="17"/>
              </w:rPr>
              <w:t xml:space="preserve">Critique</w:t>
            </w:r>
          </w:p>
        </w:tc>
        <w:tc>
          <w:tcPr>
            <w:tcW w:w="1100" w:type="dxa"/>
            <w:shd w:val="clear" w:color="auto" w:fill="FADBD8"/>
            <w:vAlign w:val="top"/>
          </w:tcPr>
          <w:p>
            <w:pPr>
              <w:spacing w:after="0"/>
            </w:pPr>
            <w:r>
              <w:rPr>
                <w:sz w:val="17"/>
                <w:szCs w:val="17"/>
              </w:rPr>
              <w:t xml:space="preserve">8</w:t>
            </w:r>
          </w:p>
        </w:tc>
        <w:tc>
          <w:tcPr>
            <w:tcW w:w="11500" w:type="dxa"/>
            <w:shd w:val="clear" w:color="auto" w:fill="FADBD8"/>
            <w:vAlign w:val="top"/>
          </w:tcPr>
          <w:p>
            <w:pPr>
              <w:spacing w:after="0"/>
            </w:pPr>
            <w:r>
              <w:rPr>
                <w:sz w:val="17"/>
                <w:szCs w:val="17"/>
              </w:rPr>
              <w:t xml:space="preserve">L'erreur peut nuire à un patient (dose, contre-indication, conduite dangereuse). Correction immédiate.</w:t>
            </w:r>
          </w:p>
        </w:tc>
      </w:tr>
      <w:tr>
        <w:trPr>
          <w:cantSplit/>
        </w:trPr>
        <w:tc>
          <w:tcPr>
            <w:tcW w:w="1800" w:type="dxa"/>
            <w:shd w:val="clear" w:color="auto" w:fill="FDEBD0"/>
            <w:vAlign w:val="top"/>
          </w:tcPr>
          <w:p>
            <w:pPr>
              <w:spacing w:after="0"/>
            </w:pPr>
            <w:r>
              <w:rPr>
                <w:sz w:val="17"/>
                <w:szCs w:val="17"/>
              </w:rPr>
              <w:t xml:space="preserve">Grave</w:t>
            </w:r>
          </w:p>
        </w:tc>
        <w:tc>
          <w:tcPr>
            <w:tcW w:w="1100" w:type="dxa"/>
            <w:shd w:val="clear" w:color="auto" w:fill="FDEBD0"/>
            <w:vAlign w:val="top"/>
          </w:tcPr>
          <w:p>
            <w:pPr>
              <w:spacing w:after="0"/>
            </w:pPr>
            <w:r>
              <w:rPr>
                <w:sz w:val="17"/>
                <w:szCs w:val="17"/>
              </w:rPr>
              <w:t xml:space="preserve">60</w:t>
            </w:r>
          </w:p>
        </w:tc>
        <w:tc>
          <w:tcPr>
            <w:tcW w:w="11500" w:type="dxa"/>
            <w:shd w:val="clear" w:color="auto" w:fill="FDEBD0"/>
            <w:vAlign w:val="top"/>
          </w:tcPr>
          <w:p>
            <w:pPr>
              <w:spacing w:after="0"/>
            </w:pPr>
            <w:r>
              <w:rPr>
                <w:sz w:val="17"/>
                <w:szCs w:val="17"/>
              </w:rPr>
              <w:t xml:space="preserve">Le contenu est faux, non sourcé ou viole une règle absolue du prompt de base.</w:t>
            </w:r>
          </w:p>
        </w:tc>
      </w:tr>
      <w:tr>
        <w:trPr>
          <w:cantSplit/>
        </w:trPr>
        <w:tc>
          <w:tcPr>
            <w:tcW w:w="1800" w:type="dxa"/>
            <w:shd w:val="clear" w:color="auto" w:fill="FEF9E7"/>
            <w:vAlign w:val="top"/>
          </w:tcPr>
          <w:p>
            <w:pPr>
              <w:spacing w:after="0"/>
            </w:pPr>
            <w:r>
              <w:rPr>
                <w:sz w:val="17"/>
                <w:szCs w:val="17"/>
              </w:rPr>
              <w:t xml:space="preserve">Moyen</w:t>
            </w:r>
          </w:p>
        </w:tc>
        <w:tc>
          <w:tcPr>
            <w:tcW w:w="1100" w:type="dxa"/>
            <w:shd w:val="clear" w:color="auto" w:fill="FEF9E7"/>
            <w:vAlign w:val="top"/>
          </w:tcPr>
          <w:p>
            <w:pPr>
              <w:spacing w:after="0"/>
            </w:pPr>
            <w:r>
              <w:rPr>
                <w:sz w:val="17"/>
                <w:szCs w:val="17"/>
              </w:rPr>
              <w:t xml:space="preserve">63</w:t>
            </w:r>
          </w:p>
        </w:tc>
        <w:tc>
          <w:tcPr>
            <w:tcW w:w="11500" w:type="dxa"/>
            <w:shd w:val="clear" w:color="auto" w:fill="FEF9E7"/>
            <w:vAlign w:val="top"/>
          </w:tcPr>
          <w:p>
            <w:pPr>
              <w:spacing w:after="0"/>
            </w:pPr>
            <w:r>
              <w:rPr>
                <w:sz w:val="17"/>
                <w:szCs w:val="17"/>
              </w:rPr>
              <w:t xml:space="preserve">Le contenu est incomplet, imprécis ou mal structuré ; la pédagogie en souffre.</w:t>
            </w:r>
          </w:p>
        </w:tc>
      </w:tr>
      <w:tr>
        <w:trPr>
          <w:cantSplit/>
        </w:trPr>
        <w:tc>
          <w:tcPr>
            <w:tcW w:w="1800" w:type="dxa"/>
            <w:shd w:val="clear" w:color="auto" w:fill="EBF5FB"/>
            <w:vAlign w:val="top"/>
          </w:tcPr>
          <w:p>
            <w:pPr>
              <w:spacing w:after="0"/>
            </w:pPr>
            <w:r>
              <w:rPr>
                <w:sz w:val="17"/>
                <w:szCs w:val="17"/>
              </w:rPr>
              <w:t xml:space="preserve">Léger</w:t>
            </w:r>
          </w:p>
        </w:tc>
        <w:tc>
          <w:tcPr>
            <w:tcW w:w="1100" w:type="dxa"/>
            <w:shd w:val="clear" w:color="auto" w:fill="EBF5FB"/>
            <w:vAlign w:val="top"/>
          </w:tcPr>
          <w:p>
            <w:pPr>
              <w:spacing w:after="0"/>
            </w:pPr>
            <w:r>
              <w:rPr>
                <w:sz w:val="17"/>
                <w:szCs w:val="17"/>
              </w:rPr>
              <w:t xml:space="preserve">24</w:t>
            </w:r>
          </w:p>
        </w:tc>
        <w:tc>
          <w:tcPr>
            <w:tcW w:w="11500" w:type="dxa"/>
            <w:shd w:val="clear" w:color="auto" w:fill="EBF5FB"/>
            <w:vAlign w:val="top"/>
          </w:tcPr>
          <w:p>
            <w:pPr>
              <w:spacing w:after="0"/>
            </w:pPr>
            <w:r>
              <w:rPr>
                <w:sz w:val="17"/>
                <w:szCs w:val="17"/>
              </w:rPr>
              <w:t xml:space="preserve">Faute de langue, de typographie ou de mise en forme sans conséquence sur le fond.</w:t>
            </w:r>
          </w:p>
        </w:tc>
      </w:tr>
      <w:tr>
        <w:trPr>
          <w:cantSplit/>
        </w:trPr>
        <w:tc>
          <w:tcPr>
            <w:tcW w:w="1800" w:type="dxa"/>
            <w:shd w:val="clear" w:color="auto" w:fill="EAECEE"/>
            <w:vAlign w:val="top"/>
          </w:tcPr>
          <w:p>
            <w:pPr>
              <w:spacing w:after="0"/>
            </w:pPr>
            <w:r>
              <w:rPr>
                <w:sz w:val="17"/>
                <w:szCs w:val="17"/>
              </w:rPr>
              <w:t xml:space="preserve">Total</w:t>
            </w:r>
          </w:p>
        </w:tc>
        <w:tc>
          <w:tcPr>
            <w:tcW w:w="1100" w:type="dxa"/>
            <w:shd w:val="clear" w:color="auto" w:fill="EAECEE"/>
            <w:vAlign w:val="top"/>
          </w:tcPr>
          <w:p>
            <w:pPr>
              <w:spacing w:after="0"/>
            </w:pPr>
            <w:r>
              <w:rPr>
                <w:sz w:val="17"/>
                <w:szCs w:val="17"/>
              </w:rPr>
              <w:t xml:space="preserve">155</w:t>
            </w:r>
          </w:p>
        </w:tc>
        <w:tc>
          <w:tcPr>
            <w:tcW w:w="11500" w:type="dxa"/>
            <w:shd w:val="clear" w:color="auto" w:fill="EAECEE"/>
            <w:vAlign w:val="top"/>
          </w:tcPr>
          <w:p>
            <w:pPr>
              <w:spacing w:after="0"/>
            </w:pPr>
            <w:r>
              <w:rPr>
                <w:sz w:val="17"/>
                <w:szCs w:val="17"/>
              </w:rPr>
              <w:t xml:space="preserve"/>
            </w:r>
          </w:p>
        </w:tc>
      </w:tr>
    </w:tbl>
    <w:p>
      <w:pPr>
        <w:spacing w:after="120"/>
      </w:pPr>
    </w:p>
    <w:p>
      <w:pPr>
        <w:spacing w:after="40"/>
      </w:pPr>
      <w:r>
        <w:rPr>
          <w:sz w:val="17"/>
          <w:szCs w:val="17"/>
        </w:rPr>
        <w:t xml:space="preserve">Le LOT_4 contient un fond médical souvent juste dans les Parties V5, mais il n'est pas publiable : ses fichiers sont des Google Docs non sourcés, avec des doses vitales effacées par la conversion.</w:t>
      </w:r>
    </w:p>
    <w:p>
      <w:pPr>
        <w:spacing w:after="40"/>
      </w:pPr>
      <w:r>
        <w:rPr>
          <w:sz w:val="17"/>
          <w:szCs w:val="17"/>
        </w:rPr>
        <w:t xml:space="preserve">Le V6 est plus prudent mais vide de doses et de tableaux, et il contient des monographies recopiées d'autres SSP ; il faut fusionner les deux versions après correction des constats Critiques et Graves.</w:t>
      </w:r>
    </w:p>
    <w:p>
      <w:pPr>
        <w:spacing w:after="40"/>
      </w:pPr>
      <w:r>
        <w:rPr>
          <w:sz w:val="17"/>
          <w:szCs w:val="17"/>
        </w:rPr>
        <w:t xml:space="preserve">Le LOT_4 n'est pas déposable : les cinq fichiers V5 sont des Google Docs mutilés par la conversion, et le V6 HTML, bien rédigé, reste vague, non chiffré et mal découpé.</w:t>
      </w:r>
    </w:p>
    <w:p>
      <w:pPr>
        <w:spacing w:after="40"/>
      </w:pPr>
      <w:r>
        <w:rPr>
          <w:sz w:val="17"/>
          <w:szCs w:val="17"/>
        </w:rPr>
        <w:t xml:space="preserve">Trois constats Critiques portent sur des doses d'hydrocortisone effacées dans la Partie 4 et imposent une correction immédiate.</w:t>
      </w:r>
    </w:p>
    <w:p>
      <w:pPr>
        <w:pStyle w:val="Titre1"/>
        <w:keepNext/>
      </w:pPr>
      <w:r>
        <w:rPr>
          <w:b/>
          <w:color w:val="1A5276"/>
          <w:sz w:val="26"/>
          <w:szCs w:val="26"/>
        </w:rPr>
        <w:t xml:space="preserve">Fichiers audités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400"/>
        <w:gridCol w:w="4600"/>
        <w:gridCol w:w="1500"/>
        <w:gridCol w:w="1900"/>
      </w:tblGrid>
      <w:tr>
        <w:trPr>
          <w:tblHeader/>
          <w:cantSplit/>
        </w:trPr>
        <w:tc>
          <w:tcPr>
            <w:tcW w:w="6400" w:type="dxa"/>
            <w:shd w:val="clear" w:color="auto" w:fill="1A5276"/>
            <w:vAlign w:val="top"/>
          </w:tcPr>
          <w:p>
            <w:pPr>
              <w:spacing w:after="0"/>
            </w:pPr>
            <w:r>
              <w:rPr>
                <w:b/>
                <w:color w:val="FFFFFF"/>
                <w:sz w:val="17"/>
                <w:szCs w:val="17"/>
              </w:rPr>
              <w:t xml:space="preserve">Fichier</w:t>
            </w:r>
          </w:p>
        </w:tc>
        <w:tc>
          <w:tcPr>
            <w:tcW w:w="4600" w:type="dxa"/>
            <w:shd w:val="clear" w:color="auto" w:fill="1A5276"/>
            <w:vAlign w:val="top"/>
          </w:tcPr>
          <w:p>
            <w:pPr>
              <w:spacing w:after="0"/>
            </w:pPr>
            <w:r>
              <w:rPr>
                <w:b/>
                <w:color w:val="FFFFFF"/>
                <w:sz w:val="17"/>
                <w:szCs w:val="17"/>
              </w:rPr>
              <w:t xml:space="preserve">Identifiant Drive</w:t>
            </w:r>
          </w:p>
        </w:tc>
        <w:tc>
          <w:tcPr>
            <w:tcW w:w="1500" w:type="dxa"/>
            <w:shd w:val="clear" w:color="auto" w:fill="1A5276"/>
            <w:vAlign w:val="top"/>
          </w:tcPr>
          <w:p>
            <w:pPr>
              <w:spacing w:after="0"/>
            </w:pPr>
            <w:r>
              <w:rPr>
                <w:b/>
                <w:color w:val="FFFFFF"/>
                <w:sz w:val="17"/>
                <w:szCs w:val="17"/>
              </w:rPr>
              <w:t xml:space="preserve">Taille (octets)</w:t>
            </w:r>
          </w:p>
        </w:tc>
        <w:tc>
          <w:tcPr>
            <w:tcW w:w="1900" w:type="dxa"/>
            <w:shd w:val="clear" w:color="auto" w:fill="1A5276"/>
            <w:vAlign w:val="top"/>
          </w:tcPr>
          <w:p>
            <w:pPr>
              <w:spacing w:after="0"/>
            </w:pPr>
            <w:r>
              <w:rPr>
                <w:b/>
                <w:color w:val="FFFFFF"/>
                <w:sz w:val="17"/>
                <w:szCs w:val="17"/>
              </w:rPr>
              <w:t xml:space="preserve">Statut</w:t>
            </w:r>
          </w:p>
        </w:tc>
      </w:tr>
      <w:tr>
        <w:trPr>
          <w:cantSplit/>
        </w:trPr>
        <w:tc>
          <w:tcPr>
            <w:tcW w:w="6400" w:type="dxa"/>
            <w:vAlign w:val="top"/>
          </w:tcPr>
          <w:p>
            <w:pPr>
              <w:spacing w:after="0"/>
            </w:pPr>
            <w:r>
              <w:rPr>
                <w:sz w:val="17"/>
                <w:szCs w:val="17"/>
              </w:rPr>
              <w:t xml:space="preserve">LOT_4_Appel_A_V5_Ultra_Pedagogique_Plan_et_Liste__export_GoogleDoc.html</w:t>
            </w:r>
          </w:p>
        </w:tc>
        <w:tc>
          <w:tcPr>
            <w:tcW w:w="4600" w:type="dxa"/>
            <w:vAlign w:val="top"/>
          </w:tcPr>
          <w:p>
            <w:pPr>
              <w:spacing w:after="0"/>
            </w:pPr>
            <w:r>
              <w:rPr>
                <w:sz w:val="17"/>
                <w:szCs w:val="17"/>
              </w:rPr>
              <w:t xml:space="preserve">1_zndZuKwQ8zOfagFFaKt8J9fydkK5xPmiii6l_oVsUM</w:t>
            </w:r>
          </w:p>
        </w:tc>
        <w:tc>
          <w:tcPr>
            <w:tcW w:w="1500" w:type="dxa"/>
            <w:vAlign w:val="top"/>
          </w:tcPr>
          <w:p>
            <w:pPr>
              <w:spacing w:after="0"/>
            </w:pPr>
            <w:r>
              <w:rPr>
                <w:sz w:val="17"/>
                <w:szCs w:val="17"/>
              </w:rPr>
              <w:t xml:space="preserve">49223</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LOT_4_Appel_B_V5_Ultra_Pedagogique_Partie_1_DX.1_a_DX.2__export_GoogleDoc.html</w:t>
            </w:r>
          </w:p>
        </w:tc>
        <w:tc>
          <w:tcPr>
            <w:tcW w:w="4600" w:type="dxa"/>
            <w:vAlign w:val="top"/>
          </w:tcPr>
          <w:p>
            <w:pPr>
              <w:spacing w:after="0"/>
            </w:pPr>
            <w:r>
              <w:rPr>
                <w:sz w:val="17"/>
                <w:szCs w:val="17"/>
              </w:rPr>
              <w:t xml:space="preserve">1_htjQoZFRj5DyACQ1tBicClHNvnATaR19rTaiHKw_6Y</w:t>
            </w:r>
          </w:p>
        </w:tc>
        <w:tc>
          <w:tcPr>
            <w:tcW w:w="1500" w:type="dxa"/>
            <w:vAlign w:val="top"/>
          </w:tcPr>
          <w:p>
            <w:pPr>
              <w:spacing w:after="0"/>
            </w:pPr>
            <w:r>
              <w:rPr>
                <w:sz w:val="17"/>
                <w:szCs w:val="17"/>
              </w:rPr>
              <w:t xml:space="preserve">75108</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LOT_4_Appel_B_V5_Ultra_Pedagogique_Partie_2_DX.3_a_DX.5__export_GoogleDoc.html</w:t>
            </w:r>
          </w:p>
        </w:tc>
        <w:tc>
          <w:tcPr>
            <w:tcW w:w="4600" w:type="dxa"/>
            <w:vAlign w:val="top"/>
          </w:tcPr>
          <w:p>
            <w:pPr>
              <w:spacing w:after="0"/>
            </w:pPr>
            <w:r>
              <w:rPr>
                <w:sz w:val="17"/>
                <w:szCs w:val="17"/>
              </w:rPr>
              <w:t xml:space="preserve">1_ZTp_ajNuxH4akEA5Gyi1F93p_u_H-mkJv92OV2JKhY</w:t>
            </w:r>
          </w:p>
        </w:tc>
        <w:tc>
          <w:tcPr>
            <w:tcW w:w="1500" w:type="dxa"/>
            <w:vAlign w:val="top"/>
          </w:tcPr>
          <w:p>
            <w:pPr>
              <w:spacing w:after="0"/>
            </w:pPr>
            <w:r>
              <w:rPr>
                <w:sz w:val="17"/>
                <w:szCs w:val="17"/>
              </w:rPr>
              <w:t xml:space="preserve">140403</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LOT_4_Appel_B_V5_Ultra_Pedagogique_Partie_3_DX.6_a_DX.7__export_GoogleDoc.html</w:t>
            </w:r>
          </w:p>
        </w:tc>
        <w:tc>
          <w:tcPr>
            <w:tcW w:w="4600" w:type="dxa"/>
            <w:vAlign w:val="top"/>
          </w:tcPr>
          <w:p>
            <w:pPr>
              <w:spacing w:after="0"/>
            </w:pPr>
            <w:r>
              <w:rPr>
                <w:sz w:val="17"/>
                <w:szCs w:val="17"/>
              </w:rPr>
              <w:t xml:space="preserve">1QzTdk_ptU4ifrKoicK2V3Lf6YpsL3KL9HvUk8CpWR9U</w:t>
            </w:r>
          </w:p>
        </w:tc>
        <w:tc>
          <w:tcPr>
            <w:tcW w:w="1500" w:type="dxa"/>
            <w:vAlign w:val="top"/>
          </w:tcPr>
          <w:p>
            <w:pPr>
              <w:spacing w:after="0"/>
            </w:pPr>
            <w:r>
              <w:rPr>
                <w:sz w:val="17"/>
                <w:szCs w:val="17"/>
              </w:rPr>
              <w:t xml:space="preserve">161266</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LOT_4_Appel_B_V5_Ultra_Pedagogique_Partie_4_DX.8_a_DX.10__export_GoogleDoc.html</w:t>
            </w:r>
          </w:p>
        </w:tc>
        <w:tc>
          <w:tcPr>
            <w:tcW w:w="4600" w:type="dxa"/>
            <w:vAlign w:val="top"/>
          </w:tcPr>
          <w:p>
            <w:pPr>
              <w:spacing w:after="0"/>
            </w:pPr>
            <w:r>
              <w:rPr>
                <w:sz w:val="17"/>
                <w:szCs w:val="17"/>
              </w:rPr>
              <w:t xml:space="preserve">1HERuc2vasYgxjAQgX6ohZlkrgdMPKaAlOcOopJ1COQY</w:t>
            </w:r>
          </w:p>
        </w:tc>
        <w:tc>
          <w:tcPr>
            <w:tcW w:w="1500" w:type="dxa"/>
            <w:vAlign w:val="top"/>
          </w:tcPr>
          <w:p>
            <w:pPr>
              <w:spacing w:after="0"/>
            </w:pPr>
            <w:r>
              <w:rPr>
                <w:sz w:val="17"/>
                <w:szCs w:val="17"/>
              </w:rPr>
              <w:t xml:space="preserve">191136</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LOT_4_V6_Enrichi_8plus_Partie_1_Integral.html</w:t>
            </w:r>
          </w:p>
        </w:tc>
        <w:tc>
          <w:tcPr>
            <w:tcW w:w="4600" w:type="dxa"/>
            <w:vAlign w:val="top"/>
          </w:tcPr>
          <w:p>
            <w:pPr>
              <w:spacing w:after="0"/>
            </w:pPr>
            <w:r>
              <w:rPr>
                <w:sz w:val="17"/>
                <w:szCs w:val="17"/>
              </w:rPr>
              <w:t xml:space="preserve">136xnOH_Fgq4_lTCSkVuBlteg290zgj1I</w:t>
            </w:r>
          </w:p>
        </w:tc>
        <w:tc>
          <w:tcPr>
            <w:tcW w:w="1500" w:type="dxa"/>
            <w:vAlign w:val="top"/>
          </w:tcPr>
          <w:p>
            <w:pPr>
              <w:spacing w:after="0"/>
            </w:pPr>
            <w:r>
              <w:rPr>
                <w:sz w:val="17"/>
                <w:szCs w:val="17"/>
              </w:rPr>
              <w:t xml:space="preserve">83241</w:t>
            </w:r>
          </w:p>
        </w:tc>
        <w:tc>
          <w:tcPr>
            <w:tcW w:w="1900" w:type="dxa"/>
            <w:vAlign w:val="top"/>
          </w:tcPr>
          <w:p>
            <w:pPr>
              <w:spacing w:after="0"/>
            </w:pPr>
            <w:r>
              <w:rPr>
                <w:sz w:val="17"/>
                <w:szCs w:val="17"/>
              </w:rPr>
              <w:t xml:space="preserve">HTML</w:t>
            </w:r>
          </w:p>
        </w:tc>
      </w:tr>
    </w:tbl>
    <w:p>
      <w:pPr>
        <w:spacing w:after="120"/>
      </w:pPr>
    </w:p>
    <w:p>
      <w:pPr>
        <w:pStyle w:val="Titre1"/>
        <w:keepNext/>
      </w:pPr>
      <w:r>
        <w:rPr>
          <w:b/>
          <w:color w:val="8B0000"/>
          <w:sz w:val="26"/>
          <w:szCs w:val="26"/>
        </w:rPr>
        <w:t xml:space="preserve">Critique — 8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8B0000"/>
            <w:vAlign w:val="top"/>
          </w:tcPr>
          <w:p>
            <w:pPr>
              <w:spacing w:after="0"/>
            </w:pPr>
            <w:r>
              <w:rPr>
                <w:b/>
                <w:color w:val="FFFFFF"/>
                <w:sz w:val="17"/>
                <w:szCs w:val="17"/>
              </w:rPr>
              <w:t xml:space="preserve">Fait</w:t>
            </w:r>
          </w:p>
        </w:tc>
        <w:tc>
          <w:tcPr>
            <w:tcW w:w="900" w:type="dxa"/>
            <w:shd w:val="clear" w:color="auto" w:fill="8B0000"/>
            <w:vAlign w:val="top"/>
          </w:tcPr>
          <w:p>
            <w:pPr>
              <w:spacing w:after="0"/>
            </w:pPr>
            <w:r>
              <w:rPr>
                <w:b/>
                <w:color w:val="FFFFFF"/>
                <w:sz w:val="17"/>
                <w:szCs w:val="17"/>
              </w:rPr>
              <w:t xml:space="preserve">N°</w:t>
            </w:r>
          </w:p>
        </w:tc>
        <w:tc>
          <w:tcPr>
            <w:tcW w:w="1250" w:type="dxa"/>
            <w:shd w:val="clear" w:color="auto" w:fill="8B0000"/>
            <w:vAlign w:val="top"/>
          </w:tcPr>
          <w:p>
            <w:pPr>
              <w:spacing w:after="0"/>
            </w:pPr>
            <w:r>
              <w:rPr>
                <w:b/>
                <w:color w:val="FFFFFF"/>
                <w:sz w:val="17"/>
                <w:szCs w:val="17"/>
              </w:rPr>
              <w:t xml:space="preserve">Domaine</w:t>
            </w:r>
          </w:p>
        </w:tc>
        <w:tc>
          <w:tcPr>
            <w:tcW w:w="1900" w:type="dxa"/>
            <w:shd w:val="clear" w:color="auto" w:fill="8B0000"/>
            <w:vAlign w:val="top"/>
          </w:tcPr>
          <w:p>
            <w:pPr>
              <w:spacing w:after="0"/>
            </w:pPr>
            <w:r>
              <w:rPr>
                <w:b/>
                <w:color w:val="FFFFFF"/>
                <w:sz w:val="17"/>
                <w:szCs w:val="17"/>
              </w:rPr>
              <w:t xml:space="preserve">Fichier</w:t>
            </w:r>
          </w:p>
        </w:tc>
        <w:tc>
          <w:tcPr>
            <w:tcW w:w="2350" w:type="dxa"/>
            <w:shd w:val="clear" w:color="auto" w:fill="8B0000"/>
            <w:vAlign w:val="top"/>
          </w:tcPr>
          <w:p>
            <w:pPr>
              <w:spacing w:after="0"/>
            </w:pPr>
            <w:r>
              <w:rPr>
                <w:b/>
                <w:color w:val="FFFFFF"/>
                <w:sz w:val="17"/>
                <w:szCs w:val="17"/>
              </w:rPr>
              <w:t xml:space="preserve">Emplacement</w:t>
            </w:r>
          </w:p>
        </w:tc>
        <w:tc>
          <w:tcPr>
            <w:tcW w:w="2600" w:type="dxa"/>
            <w:shd w:val="clear" w:color="auto" w:fill="8B0000"/>
            <w:vAlign w:val="top"/>
          </w:tcPr>
          <w:p>
            <w:pPr>
              <w:spacing w:after="0"/>
            </w:pPr>
            <w:r>
              <w:rPr>
                <w:b/>
                <w:color w:val="FFFFFF"/>
                <w:sz w:val="17"/>
                <w:szCs w:val="17"/>
              </w:rPr>
              <w:t xml:space="preserve">Extrait exact</w:t>
            </w:r>
          </w:p>
        </w:tc>
        <w:tc>
          <w:tcPr>
            <w:tcW w:w="3000" w:type="dxa"/>
            <w:shd w:val="clear" w:color="auto" w:fill="8B0000"/>
            <w:vAlign w:val="top"/>
          </w:tcPr>
          <w:p>
            <w:pPr>
              <w:spacing w:after="0"/>
            </w:pPr>
            <w:r>
              <w:rPr>
                <w:b/>
                <w:color w:val="FFFFFF"/>
                <w:sz w:val="17"/>
                <w:szCs w:val="17"/>
              </w:rPr>
              <w:t xml:space="preserve">Problème → correction</w:t>
            </w:r>
          </w:p>
        </w:tc>
        <w:tc>
          <w:tcPr>
            <w:tcW w:w="1800" w:type="dxa"/>
            <w:shd w:val="clear" w:color="auto" w:fill="8B0000"/>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L4-L26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Partie 4 › D4.10 › point 10 › arbre décisionnel (crise addisonienne)</w:t>
            </w:r>
          </w:p>
        </w:tc>
        <w:tc>
          <w:tcPr>
            <w:tcW w:w="2600" w:type="dxa"/>
            <w:vAlign w:val="top"/>
          </w:tcPr>
          <w:p>
            <w:pPr>
              <w:spacing w:after="0"/>
            </w:pPr>
            <w:r>
              <w:rPr>
                <w:i/>
                <w:sz w:val="17"/>
                <w:szCs w:val="17"/>
              </w:rPr>
              <w:t xml:space="preserve">« le médecin prélève un tube sec pour cortisol/ACTH et injecte immédiatement d'hydrocortisone IV »</w:t>
            </w:r>
          </w:p>
        </w:tc>
        <w:tc>
          <w:tcPr>
            <w:tcW w:w="3000" w:type="dxa"/>
            <w:vAlign w:val="top"/>
          </w:tcPr>
          <w:p>
            <w:pPr>
              <w:spacing w:after="40"/>
            </w:pPr>
            <w:r>
              <w:rPr>
                <w:sz w:val="17"/>
                <w:szCs w:val="17"/>
              </w:rPr>
              <w:t xml:space="preserve">La dose d'hydrocortisone de la crise surrénalienne a disparu : un lecteur ne connaît pas la dose salvatrice dans une urgence vitale.</w:t>
            </w:r>
          </w:p>
          <w:p>
            <w:pPr>
              <w:spacing w:after="0"/>
            </w:pPr>
            <w:r>
              <w:rPr>
                <w:b/>
                <w:color w:val="145A32"/>
                <w:sz w:val="17"/>
                <w:szCs w:val="17"/>
              </w:rPr>
              <w:t xml:space="preserve">→ Écrire : « injecte immédiatement 100 mg d'hydrocortisone IV en bolus, puis 200 mg sur 24 h en perfusion continue, avec remplissage par NaCl 0,9 % ».</w:t>
            </w:r>
          </w:p>
        </w:tc>
        <w:tc>
          <w:tcPr>
            <w:tcW w:w="1800" w:type="dxa"/>
            <w:vAlign w:val="top"/>
          </w:tcPr>
          <w:p>
            <w:pPr>
              <w:spacing w:after="0"/>
            </w:pPr>
            <w:r>
              <w:rPr>
                <w:sz w:val="17"/>
                <w:szCs w:val="17"/>
              </w:rPr>
              <w:t xml:space="preserve">Deutsche Gesellschaft für Endokrinologie, « Adrenal crisis », https://www.endokrinologie.net/en/adrenalcrisis.php (consulté le 22.10.2026) ; Bornstein SR et al., J Clin Endocrinol Metab 2016 (PMID 26760044)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L4-L27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Partie 4 › D4.10 › point 11.B › moyens non médicamenteux (kit d'urgence)</w:t>
            </w:r>
          </w:p>
        </w:tc>
        <w:tc>
          <w:tcPr>
            <w:tcW w:w="2600" w:type="dxa"/>
            <w:vAlign w:val="top"/>
          </w:tcPr>
          <w:p>
            <w:pPr>
              <w:spacing w:after="0"/>
            </w:pPr>
            <w:r>
              <w:rPr>
                <w:i/>
                <w:sz w:val="17"/>
                <w:szCs w:val="17"/>
              </w:rPr>
              <w:t xml:space="preserve">« prescription d'un kit d'auto-injection d'urgence de d'hydrocortisone ( Solu-Cortef® ) »</w:t>
            </w:r>
          </w:p>
        </w:tc>
        <w:tc>
          <w:tcPr>
            <w:tcW w:w="3000" w:type="dxa"/>
            <w:vAlign w:val="top"/>
          </w:tcPr>
          <w:p>
            <w:pPr>
              <w:spacing w:after="40"/>
            </w:pPr>
            <w:r>
              <w:rPr>
                <w:sz w:val="17"/>
                <w:szCs w:val="17"/>
              </w:rPr>
              <w:t xml:space="preserve">La dose du kit d'auto-injection a disparu, alors que le patient doit savoir quelle dose s'injecter seul en cas de vomissements.</w:t>
            </w:r>
          </w:p>
          <w:p>
            <w:pPr>
              <w:spacing w:after="0"/>
            </w:pPr>
            <w:r>
              <w:rPr>
                <w:b/>
                <w:color w:val="145A32"/>
                <w:sz w:val="17"/>
                <w:szCs w:val="17"/>
              </w:rPr>
              <w:t xml:space="preserve">→ Écrire la dose d'hydrocortisone du kit (100 mg chez l'adulte selon la recommandation de crise) et la voie (IM ou SC), puis vérifier la présentation de Solu-Cortef® dans l'information professionnelle suisse.</w:t>
            </w:r>
          </w:p>
        </w:tc>
        <w:tc>
          <w:tcPr>
            <w:tcW w:w="1800" w:type="dxa"/>
            <w:vAlign w:val="top"/>
          </w:tcPr>
          <w:p>
            <w:pPr>
              <w:spacing w:after="0"/>
            </w:pPr>
            <w:r>
              <w:rPr>
                <w:sz w:val="17"/>
                <w:szCs w:val="17"/>
              </w:rPr>
              <w:t xml:space="preserve">Deutsche Gesellschaft für Endokrinologie, « Adrenal crisis », https://www.endokrinologie.net/en/adrenalcrisis.php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L4-L28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Partie 4 › D4.10 › point 12 › prévention périopératoire</w:t>
            </w:r>
          </w:p>
        </w:tc>
        <w:tc>
          <w:tcPr>
            <w:tcW w:w="2600" w:type="dxa"/>
            <w:vAlign w:val="top"/>
          </w:tcPr>
          <w:p>
            <w:pPr>
              <w:spacing w:after="0"/>
            </w:pPr>
            <w:r>
              <w:rPr>
                <w:i/>
                <w:sz w:val="17"/>
                <w:szCs w:val="17"/>
              </w:rPr>
              <w:t xml:space="preserve">« (administration de d'hydrocortisone IV à l'induction anesthésique suivie de ). »</w:t>
            </w:r>
          </w:p>
        </w:tc>
        <w:tc>
          <w:tcPr>
            <w:tcW w:w="3000" w:type="dxa"/>
            <w:vAlign w:val="top"/>
          </w:tcPr>
          <w:p>
            <w:pPr>
              <w:spacing w:after="40"/>
            </w:pPr>
            <w:r>
              <w:rPr>
                <w:sz w:val="17"/>
                <w:szCs w:val="17"/>
              </w:rPr>
              <w:t xml:space="preserve">Les doses périopératoires d'hydrocortisone ont disparu, ce qui expose à une crise surrénalienne peropératoire.</w:t>
            </w:r>
          </w:p>
          <w:p>
            <w:pPr>
              <w:spacing w:after="0"/>
            </w:pPr>
            <w:r>
              <w:rPr>
                <w:b/>
                <w:color w:val="145A32"/>
                <w:sz w:val="17"/>
                <w:szCs w:val="17"/>
              </w:rPr>
              <w:t xml:space="preserve">→ Écrire : « administration de 100 mg d'hydrocortisone IV à l'induction anesthésique, suivie de 200 mg sur 24 h » et sourcer le schéma.</w:t>
            </w:r>
          </w:p>
        </w:tc>
        <w:tc>
          <w:tcPr>
            <w:tcW w:w="1800" w:type="dxa"/>
            <w:vAlign w:val="top"/>
          </w:tcPr>
          <w:p>
            <w:pPr>
              <w:spacing w:after="0"/>
            </w:pPr>
            <w:r>
              <w:rPr>
                <w:sz w:val="17"/>
                <w:szCs w:val="17"/>
              </w:rPr>
              <w:t xml:space="preserve">Deutsche Gesellschaft für Endokrinologie, « Adrenal crisis » (consulté le 22.10.2026) ; donnée périopératoire à confirmer dans une source européenne primaire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L4-M38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D4.6 › point 11.B › ARNI</w:t>
            </w:r>
          </w:p>
        </w:tc>
        <w:tc>
          <w:tcPr>
            <w:tcW w:w="2600" w:type="dxa"/>
            <w:vAlign w:val="top"/>
          </w:tcPr>
          <w:p>
            <w:pPr>
              <w:spacing w:after="0"/>
            </w:pPr>
            <w:r>
              <w:rPr>
                <w:i/>
                <w:sz w:val="17"/>
                <w:szCs w:val="17"/>
              </w:rPr>
              <w:t xml:space="preserve">« posologie initiale 49/51 mg 2x/jour per os, titrée à 97/103 mg 2x/jour (ou IEC type Ramipril »</w:t>
            </w:r>
          </w:p>
        </w:tc>
        <w:tc>
          <w:tcPr>
            <w:tcW w:w="3000" w:type="dxa"/>
            <w:vAlign w:val="top"/>
          </w:tcPr>
          <w:p>
            <w:pPr>
              <w:spacing w:after="40"/>
            </w:pPr>
            <w:r>
              <w:rPr>
                <w:sz w:val="17"/>
                <w:szCs w:val="17"/>
              </w:rPr>
              <w:t xml:space="preserve">Le texte présente l'IEC comme une alternative sans préciser l'interdiction de l'association à l'ARNI ni la fenêtre d'arrêt de 36 heures, ce qui expose à un angiœdème ; il omet la dose initiale réduite.</w:t>
            </w:r>
          </w:p>
          <w:p>
            <w:pPr>
              <w:spacing w:after="0"/>
            </w:pPr>
            <w:r>
              <w:rPr>
                <w:b/>
                <w:color w:val="145A32"/>
                <w:sz w:val="17"/>
                <w:szCs w:val="17"/>
              </w:rPr>
              <w:t xml:space="preserve">→ Ajouter : « Contre-indication : association à un IEC et antécédent d'angiœdème ; arrêter l'IEC au moins 36 heures avant la première dose. Débuter à 24/26 mg 2x/j si le patient est naïf d'IEC/ARA, âgé ou si le DFGe &lt; 30 mL/min/1,73 m². »</w:t>
            </w:r>
          </w:p>
        </w:tc>
        <w:tc>
          <w:tcPr>
            <w:tcW w:w="1800" w:type="dxa"/>
            <w:vAlign w:val="top"/>
          </w:tcPr>
          <w:p>
            <w:pPr>
              <w:spacing w:after="0"/>
            </w:pPr>
            <w:r>
              <w:rPr>
                <w:sz w:val="17"/>
                <w:szCs w:val="17"/>
              </w:rPr>
              <w:t xml:space="preserve">McDonagh TA et al., 2021 ESC Guidelines for heart failure, Eur Heart J 2021;42:3599-3726 ; information professionnelle Entresto® (AIPS)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L4-M39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D4.6 › point 11.C › surveillance biologique</w:t>
            </w:r>
          </w:p>
        </w:tc>
        <w:tc>
          <w:tcPr>
            <w:tcW w:w="2600" w:type="dxa"/>
            <w:vAlign w:val="top"/>
          </w:tcPr>
          <w:p>
            <w:pPr>
              <w:spacing w:after="0"/>
            </w:pPr>
            <w:r>
              <w:rPr>
                <w:i/>
                <w:sz w:val="17"/>
                <w:szCs w:val="17"/>
              </w:rPr>
              <w:t xml:space="preserve">« arrêter l'ARM si ) »</w:t>
            </w:r>
          </w:p>
        </w:tc>
        <w:tc>
          <w:tcPr>
            <w:tcW w:w="3000" w:type="dxa"/>
            <w:vAlign w:val="top"/>
          </w:tcPr>
          <w:p>
            <w:pPr>
              <w:spacing w:after="40"/>
            </w:pPr>
            <w:r>
              <w:rPr>
                <w:sz w:val="17"/>
                <w:szCs w:val="17"/>
              </w:rPr>
              <w:t xml:space="preserve">Le seuil de kaliémie et de créatinine qui impose l'arrêt de l'antagoniste minéralocorticoïde a disparu, alors qu'il prévient une hyperkaliémie mortelle.</w:t>
            </w:r>
          </w:p>
          <w:p>
            <w:pPr>
              <w:spacing w:after="0"/>
            </w:pPr>
            <w:r>
              <w:rPr>
                <w:b/>
                <w:color w:val="145A32"/>
                <w:sz w:val="17"/>
                <w:szCs w:val="17"/>
              </w:rPr>
              <w:t xml:space="preserve">→ Écrire : « réduire de moitié l'ARM si K+ &gt; 5,5 mmol/L ; l'arrêter si K+ &gt; 6,0 mmol/L ou créatinine &gt; 310 µmol/L (DFGe &lt; 20 mL/min/1,73 m²) ».</w:t>
            </w:r>
          </w:p>
        </w:tc>
        <w:tc>
          <w:tcPr>
            <w:tcW w:w="1800" w:type="dxa"/>
            <w:vAlign w:val="top"/>
          </w:tcPr>
          <w:p>
            <w:pPr>
              <w:spacing w:after="0"/>
            </w:pPr>
            <w:r>
              <w:rPr>
                <w:sz w:val="17"/>
                <w:szCs w:val="17"/>
              </w:rPr>
              <w:t xml:space="preserve">McDonagh TA et al., 2021 ESC Guidelines for heart failure, Eur Heart J 2021;42:3599-3726 (tableaux pratiques de titration)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L4-M55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D4.10 › point 10 « Arbre décisionnel »</w:t>
            </w:r>
          </w:p>
        </w:tc>
        <w:tc>
          <w:tcPr>
            <w:tcW w:w="2600" w:type="dxa"/>
            <w:vAlign w:val="top"/>
          </w:tcPr>
          <w:p>
            <w:pPr>
              <w:spacing w:after="0"/>
            </w:pPr>
            <w:r>
              <w:rPr>
                <w:i/>
                <w:sz w:val="17"/>
                <w:szCs w:val="17"/>
              </w:rPr>
              <w:t xml:space="preserve">« injecte immédiatement d'hydrocortisone IV avec remplissage par »</w:t>
            </w:r>
          </w:p>
        </w:tc>
        <w:tc>
          <w:tcPr>
            <w:tcW w:w="3000" w:type="dxa"/>
            <w:vAlign w:val="top"/>
          </w:tcPr>
          <w:p>
            <w:pPr>
              <w:spacing w:after="40"/>
            </w:pPr>
            <w:r>
              <w:rPr>
                <w:sz w:val="17"/>
                <w:szCs w:val="17"/>
              </w:rPr>
              <w:t xml:space="preserve">La dose d'hydrocortisone de la crise surrénalienne a disparu, alors que c'est le geste vital de la crise.</w:t>
            </w:r>
          </w:p>
          <w:p>
            <w:pPr>
              <w:spacing w:after="0"/>
            </w:pPr>
            <w:r>
              <w:rPr>
                <w:b/>
                <w:color w:val="145A32"/>
                <w:sz w:val="17"/>
                <w:szCs w:val="17"/>
              </w:rPr>
              <w:t xml:space="preserve">→ Écrire : « injecte immédiatement 100 mg d'hydrocortisone IV (Solu-Cortef®), puis 200 mg/24 h (perfusion continue ou 50 mg toutes les 6 heures), avec remplissage par NaCl 0,9 % 1 000 mL la première heure ».</w:t>
            </w:r>
          </w:p>
        </w:tc>
        <w:tc>
          <w:tcPr>
            <w:tcW w:w="1800" w:type="dxa"/>
            <w:vAlign w:val="top"/>
          </w:tcPr>
          <w:p>
            <w:pPr>
              <w:spacing w:after="0"/>
            </w:pPr>
            <w:r>
              <w:rPr>
                <w:sz w:val="17"/>
                <w:szCs w:val="17"/>
              </w:rPr>
              <w:t xml:space="preserve">Husebye ES et al., J Intern Med 2014;275:104-115 ; information professionnelle Solu-Cortef® (AIPS)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L4-M56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D4.10 › point 11.B › moyens non médicamenteux</w:t>
            </w:r>
          </w:p>
        </w:tc>
        <w:tc>
          <w:tcPr>
            <w:tcW w:w="2600" w:type="dxa"/>
            <w:vAlign w:val="top"/>
          </w:tcPr>
          <w:p>
            <w:pPr>
              <w:spacing w:after="0"/>
            </w:pPr>
            <w:r>
              <w:rPr>
                <w:i/>
                <w:sz w:val="17"/>
                <w:szCs w:val="17"/>
              </w:rPr>
              <w:t xml:space="preserve">« prescription d'un kit d'auto-injection d'urgence de d'hydrocortisone »</w:t>
            </w:r>
          </w:p>
        </w:tc>
        <w:tc>
          <w:tcPr>
            <w:tcW w:w="3000" w:type="dxa"/>
            <w:vAlign w:val="top"/>
          </w:tcPr>
          <w:p>
            <w:pPr>
              <w:spacing w:after="40"/>
            </w:pPr>
            <w:r>
              <w:rPr>
                <w:sz w:val="17"/>
                <w:szCs w:val="17"/>
              </w:rPr>
              <w:t xml:space="preserve">La dose du kit d'urgence a disparu ; le patient et le médecin ne connaissent pas la quantité à injecter.</w:t>
            </w:r>
          </w:p>
          <w:p>
            <w:pPr>
              <w:spacing w:after="0"/>
            </w:pPr>
            <w:r>
              <w:rPr>
                <w:b/>
                <w:color w:val="145A32"/>
                <w:sz w:val="17"/>
                <w:szCs w:val="17"/>
              </w:rPr>
              <w:t xml:space="preserve">→ Écrire : « kit d'auto-injection d'urgence de 100 mg d'hydrocortisone IM ou SC ».</w:t>
            </w:r>
          </w:p>
        </w:tc>
        <w:tc>
          <w:tcPr>
            <w:tcW w:w="1800" w:type="dxa"/>
            <w:vAlign w:val="top"/>
          </w:tcPr>
          <w:p>
            <w:pPr>
              <w:spacing w:after="0"/>
            </w:pPr>
            <w:r>
              <w:rPr>
                <w:sz w:val="17"/>
                <w:szCs w:val="17"/>
              </w:rPr>
              <w:t xml:space="preserve">Husebye ES et al., J Intern Med 2014;275:104-115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L4-M57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D4.10 › point 12 « Prévention »</w:t>
            </w:r>
          </w:p>
        </w:tc>
        <w:tc>
          <w:tcPr>
            <w:tcW w:w="2600" w:type="dxa"/>
            <w:vAlign w:val="top"/>
          </w:tcPr>
          <w:p>
            <w:pPr>
              <w:spacing w:after="0"/>
            </w:pPr>
            <w:r>
              <w:rPr>
                <w:i/>
                <w:sz w:val="17"/>
                <w:szCs w:val="17"/>
              </w:rPr>
              <w:t xml:space="preserve">« administration de d'hydrocortisone IV à l'induction anesthésique suivie de »</w:t>
            </w:r>
          </w:p>
        </w:tc>
        <w:tc>
          <w:tcPr>
            <w:tcW w:w="3000" w:type="dxa"/>
            <w:vAlign w:val="top"/>
          </w:tcPr>
          <w:p>
            <w:pPr>
              <w:spacing w:after="40"/>
            </w:pPr>
            <w:r>
              <w:rPr>
                <w:sz w:val="17"/>
                <w:szCs w:val="17"/>
              </w:rPr>
              <w:t xml:space="preserve">Les doses périopératoires d'hydrocortisone ont disparu, ce qui expose à une crise surrénalienne peropératoire.</w:t>
            </w:r>
          </w:p>
          <w:p>
            <w:pPr>
              <w:spacing w:after="0"/>
            </w:pPr>
            <w:r>
              <w:rPr>
                <w:b/>
                <w:color w:val="145A32"/>
                <w:sz w:val="17"/>
                <w:szCs w:val="17"/>
              </w:rPr>
              <w:t xml:space="preserve">→ Écrire : « 100 mg d'hydrocortisone IV à l'induction, suivis de 200 mg/24 h jusqu'à la reprise orale ».</w:t>
            </w:r>
          </w:p>
        </w:tc>
        <w:tc>
          <w:tcPr>
            <w:tcW w:w="1800" w:type="dxa"/>
            <w:vAlign w:val="top"/>
          </w:tcPr>
          <w:p>
            <w:pPr>
              <w:spacing w:after="0"/>
            </w:pPr>
            <w:r>
              <w:rPr>
                <w:sz w:val="17"/>
                <w:szCs w:val="17"/>
              </w:rPr>
              <w:t xml:space="preserve">Husebye ES et al., J Intern Med 2014;275:104-115</w:t>
            </w:r>
          </w:p>
        </w:tc>
      </w:tr>
    </w:tbl>
    <w:p>
      <w:pPr>
        <w:spacing w:after="120"/>
      </w:pPr>
    </w:p>
    <w:p>
      <w:pPr>
        <w:pStyle w:val="Titre1"/>
        <w:keepNext/>
      </w:pPr>
      <w:r>
        <w:rPr>
          <w:b/>
          <w:color w:val="C0392B"/>
          <w:sz w:val="26"/>
          <w:szCs w:val="26"/>
        </w:rPr>
        <w:t xml:space="preserve">Grave — 60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C0392B"/>
            <w:vAlign w:val="top"/>
          </w:tcPr>
          <w:p>
            <w:pPr>
              <w:spacing w:after="0"/>
            </w:pPr>
            <w:r>
              <w:rPr>
                <w:b/>
                <w:color w:val="FFFFFF"/>
                <w:sz w:val="17"/>
                <w:szCs w:val="17"/>
              </w:rPr>
              <w:t xml:space="preserve">Fait</w:t>
            </w:r>
          </w:p>
        </w:tc>
        <w:tc>
          <w:tcPr>
            <w:tcW w:w="900" w:type="dxa"/>
            <w:shd w:val="clear" w:color="auto" w:fill="C0392B"/>
            <w:vAlign w:val="top"/>
          </w:tcPr>
          <w:p>
            <w:pPr>
              <w:spacing w:after="0"/>
            </w:pPr>
            <w:r>
              <w:rPr>
                <w:b/>
                <w:color w:val="FFFFFF"/>
                <w:sz w:val="17"/>
                <w:szCs w:val="17"/>
              </w:rPr>
              <w:t xml:space="preserve">N°</w:t>
            </w:r>
          </w:p>
        </w:tc>
        <w:tc>
          <w:tcPr>
            <w:tcW w:w="1250" w:type="dxa"/>
            <w:shd w:val="clear" w:color="auto" w:fill="C0392B"/>
            <w:vAlign w:val="top"/>
          </w:tcPr>
          <w:p>
            <w:pPr>
              <w:spacing w:after="0"/>
            </w:pPr>
            <w:r>
              <w:rPr>
                <w:b/>
                <w:color w:val="FFFFFF"/>
                <w:sz w:val="17"/>
                <w:szCs w:val="17"/>
              </w:rPr>
              <w:t xml:space="preserve">Domaine</w:t>
            </w:r>
          </w:p>
        </w:tc>
        <w:tc>
          <w:tcPr>
            <w:tcW w:w="1900" w:type="dxa"/>
            <w:shd w:val="clear" w:color="auto" w:fill="C0392B"/>
            <w:vAlign w:val="top"/>
          </w:tcPr>
          <w:p>
            <w:pPr>
              <w:spacing w:after="0"/>
            </w:pPr>
            <w:r>
              <w:rPr>
                <w:b/>
                <w:color w:val="FFFFFF"/>
                <w:sz w:val="17"/>
                <w:szCs w:val="17"/>
              </w:rPr>
              <w:t xml:space="preserve">Fichier</w:t>
            </w:r>
          </w:p>
        </w:tc>
        <w:tc>
          <w:tcPr>
            <w:tcW w:w="2350" w:type="dxa"/>
            <w:shd w:val="clear" w:color="auto" w:fill="C0392B"/>
            <w:vAlign w:val="top"/>
          </w:tcPr>
          <w:p>
            <w:pPr>
              <w:spacing w:after="0"/>
            </w:pPr>
            <w:r>
              <w:rPr>
                <w:b/>
                <w:color w:val="FFFFFF"/>
                <w:sz w:val="17"/>
                <w:szCs w:val="17"/>
              </w:rPr>
              <w:t xml:space="preserve">Emplacement</w:t>
            </w:r>
          </w:p>
        </w:tc>
        <w:tc>
          <w:tcPr>
            <w:tcW w:w="2600" w:type="dxa"/>
            <w:shd w:val="clear" w:color="auto" w:fill="C0392B"/>
            <w:vAlign w:val="top"/>
          </w:tcPr>
          <w:p>
            <w:pPr>
              <w:spacing w:after="0"/>
            </w:pPr>
            <w:r>
              <w:rPr>
                <w:b/>
                <w:color w:val="FFFFFF"/>
                <w:sz w:val="17"/>
                <w:szCs w:val="17"/>
              </w:rPr>
              <w:t xml:space="preserve">Extrait exact</w:t>
            </w:r>
          </w:p>
        </w:tc>
        <w:tc>
          <w:tcPr>
            <w:tcW w:w="3000" w:type="dxa"/>
            <w:shd w:val="clear" w:color="auto" w:fill="C0392B"/>
            <w:vAlign w:val="top"/>
          </w:tcPr>
          <w:p>
            <w:pPr>
              <w:spacing w:after="0"/>
            </w:pPr>
            <w:r>
              <w:rPr>
                <w:b/>
                <w:color w:val="FFFFFF"/>
                <w:sz w:val="17"/>
                <w:szCs w:val="17"/>
              </w:rPr>
              <w:t xml:space="preserve">Problème → correction</w:t>
            </w:r>
          </w:p>
        </w:tc>
        <w:tc>
          <w:tcPr>
            <w:tcW w:w="1800" w:type="dxa"/>
            <w:shd w:val="clear" w:color="auto" w:fill="C0392B"/>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L4-L01</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Fichier entier › en-tête</w:t>
            </w:r>
          </w:p>
        </w:tc>
        <w:tc>
          <w:tcPr>
            <w:tcW w:w="2600" w:type="dxa"/>
            <w:vAlign w:val="top"/>
          </w:tcPr>
          <w:p>
            <w:pPr>
              <w:spacing w:after="0"/>
            </w:pPr>
            <w:r>
              <w:rPr>
                <w:i/>
                <w:sz w:val="17"/>
                <w:szCs w:val="17"/>
              </w:rPr>
              <w:t xml:space="preserve">« Appel A — Plan Monographique &amp; Liste Différentielle (Audit Argon V5) »</w:t>
            </w:r>
          </w:p>
        </w:tc>
        <w:tc>
          <w:tcPr>
            <w:tcW w:w="3000" w:type="dxa"/>
            <w:vAlign w:val="top"/>
          </w:tcPr>
          <w:p>
            <w:pPr>
              <w:spacing w:after="40"/>
            </w:pPr>
            <w:r>
              <w:rPr>
                <w:sz w:val="17"/>
                <w:szCs w:val="17"/>
              </w:rPr>
              <w:t xml:space="preserve">Le fichier est un Google Docs exporté : la règle 0 impose un HTML5 autonome déposé en text/html sans conversion, car la conversion détruit les fenêtres &lt;details&gt;.</w:t>
            </w:r>
          </w:p>
          <w:p>
            <w:pPr>
              <w:spacing w:after="0"/>
            </w:pPr>
            <w:r>
              <w:rPr>
                <w:b/>
                <w:color w:val="145A32"/>
                <w:sz w:val="17"/>
                <w:szCs w:val="17"/>
              </w:rPr>
              <w:t xml:space="preserve">→ Régénérer ce contenu en HTML5 complet selon le gabarit § 9, le déposer en text/html sans conversion, vérifier la taille Drive = taille locale, puis déplacer le Google Docs dans CORBEILLE_DOUBLONS_OBSOLETES avec le suffixe _OBSOLETE_.</w:t>
            </w:r>
          </w:p>
        </w:tc>
        <w:tc>
          <w:tcPr>
            <w:tcW w:w="1800" w:type="dxa"/>
            <w:vAlign w:val="top"/>
          </w:tcPr>
          <w:p>
            <w:pPr>
              <w:spacing w:after="0"/>
            </w:pPr>
            <w:r>
              <w:rPr>
                <w:sz w:val="17"/>
                <w:szCs w:val="17"/>
              </w:rPr>
              <w:t xml:space="preserve">PROMPT_V6.md (prompt de base),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L4-L02</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Fichier entier › en-tête</w:t>
            </w:r>
          </w:p>
        </w:tc>
        <w:tc>
          <w:tcPr>
            <w:tcW w:w="2600" w:type="dxa"/>
            <w:vAlign w:val="top"/>
          </w:tcPr>
          <w:p>
            <w:pPr>
              <w:spacing w:after="0"/>
            </w:pPr>
            <w:r>
              <w:rPr>
                <w:i/>
                <w:sz w:val="17"/>
                <w:szCs w:val="17"/>
              </w:rPr>
              <w:t xml:space="preserve">« Appel B - Partie 1/4 — Audit Médical &amp; Bio-Mathématique Ultra-Pédagogique V5 »</w:t>
            </w:r>
          </w:p>
        </w:tc>
        <w:tc>
          <w:tcPr>
            <w:tcW w:w="3000" w:type="dxa"/>
            <w:vAlign w:val="top"/>
          </w:tcPr>
          <w:p>
            <w:pPr>
              <w:spacing w:after="40"/>
            </w:pPr>
            <w:r>
              <w:rPr>
                <w:sz w:val="17"/>
                <w:szCs w:val="17"/>
              </w:rPr>
              <w:t xml:space="preserve">Le fichier est un Google Docs exporté : la règle 0 impose un HTML5 autonome déposé en text/html sans conversion, car la conversion détruit les fenêtres &lt;details&gt;.</w:t>
            </w:r>
          </w:p>
          <w:p>
            <w:pPr>
              <w:spacing w:after="0"/>
            </w:pPr>
            <w:r>
              <w:rPr>
                <w:b/>
                <w:color w:val="145A32"/>
                <w:sz w:val="17"/>
                <w:szCs w:val="17"/>
              </w:rPr>
              <w:t xml:space="preserve">→ Régénérer ce contenu en HTML5 complet selon le gabarit § 9, le déposer en text/html sans conversion, vérifier la taille Drive = taille locale, puis déplacer le Google Docs dans CORBEILLE_DOUBLONS_OBSOLETES avec le suffixe _OBSOLETE_.</w:t>
            </w:r>
          </w:p>
        </w:tc>
        <w:tc>
          <w:tcPr>
            <w:tcW w:w="1800" w:type="dxa"/>
            <w:vAlign w:val="top"/>
          </w:tcPr>
          <w:p>
            <w:pPr>
              <w:spacing w:after="0"/>
            </w:pPr>
            <w:r>
              <w:rPr>
                <w:sz w:val="17"/>
                <w:szCs w:val="17"/>
              </w:rPr>
              <w:t xml:space="preserve">PROMPT_V6.md (prompt de base),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L4-L03</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Fichier entier › en-tête</w:t>
            </w:r>
          </w:p>
        </w:tc>
        <w:tc>
          <w:tcPr>
            <w:tcW w:w="2600" w:type="dxa"/>
            <w:vAlign w:val="top"/>
          </w:tcPr>
          <w:p>
            <w:pPr>
              <w:spacing w:after="0"/>
            </w:pPr>
            <w:r>
              <w:rPr>
                <w:i/>
                <w:sz w:val="17"/>
                <w:szCs w:val="17"/>
              </w:rPr>
              <w:t xml:space="preserve">« Appel B - Partie 2/4 — Audit Médical &amp; Bio-Mathématique Ultra-Pédagogique V5 »</w:t>
            </w:r>
          </w:p>
        </w:tc>
        <w:tc>
          <w:tcPr>
            <w:tcW w:w="3000" w:type="dxa"/>
            <w:vAlign w:val="top"/>
          </w:tcPr>
          <w:p>
            <w:pPr>
              <w:spacing w:after="40"/>
            </w:pPr>
            <w:r>
              <w:rPr>
                <w:sz w:val="17"/>
                <w:szCs w:val="17"/>
              </w:rPr>
              <w:t xml:space="preserve">Le fichier est un Google Docs exporté : la règle 0 impose un HTML5 autonome déposé en text/html sans conversion, car la conversion détruit les fenêtres &lt;details&gt;.</w:t>
            </w:r>
          </w:p>
          <w:p>
            <w:pPr>
              <w:spacing w:after="0"/>
            </w:pPr>
            <w:r>
              <w:rPr>
                <w:b/>
                <w:color w:val="145A32"/>
                <w:sz w:val="17"/>
                <w:szCs w:val="17"/>
              </w:rPr>
              <w:t xml:space="preserve">→ Régénérer ce contenu en HTML5 complet selon le gabarit § 9, le déposer en text/html sans conversion, vérifier la taille Drive = taille locale, puis déplacer le Google Docs dans CORBEILLE_DOUBLONS_OBSOLETES avec le suffixe _OBSOLETE_.</w:t>
            </w:r>
          </w:p>
        </w:tc>
        <w:tc>
          <w:tcPr>
            <w:tcW w:w="1800" w:type="dxa"/>
            <w:vAlign w:val="top"/>
          </w:tcPr>
          <w:p>
            <w:pPr>
              <w:spacing w:after="0"/>
            </w:pPr>
            <w:r>
              <w:rPr>
                <w:sz w:val="17"/>
                <w:szCs w:val="17"/>
              </w:rPr>
              <w:t xml:space="preserve">PROMPT_V6.md (prompt de base),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L4-L04</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Fichier entier › en-tête</w:t>
            </w:r>
          </w:p>
        </w:tc>
        <w:tc>
          <w:tcPr>
            <w:tcW w:w="2600" w:type="dxa"/>
            <w:vAlign w:val="top"/>
          </w:tcPr>
          <w:p>
            <w:pPr>
              <w:spacing w:after="0"/>
            </w:pPr>
            <w:r>
              <w:rPr>
                <w:i/>
                <w:sz w:val="17"/>
                <w:szCs w:val="17"/>
              </w:rPr>
              <w:t xml:space="preserve">« Appel B - Partie 3/4 — Audit Médical &amp; Bio-Mathématique Ultra-Pédagogique V5 »</w:t>
            </w:r>
          </w:p>
        </w:tc>
        <w:tc>
          <w:tcPr>
            <w:tcW w:w="3000" w:type="dxa"/>
            <w:vAlign w:val="top"/>
          </w:tcPr>
          <w:p>
            <w:pPr>
              <w:spacing w:after="40"/>
            </w:pPr>
            <w:r>
              <w:rPr>
                <w:sz w:val="17"/>
                <w:szCs w:val="17"/>
              </w:rPr>
              <w:t xml:space="preserve">Le fichier est un Google Docs exporté : la règle 0 impose un HTML5 autonome déposé en text/html sans conversion, car la conversion détruit les fenêtres &lt;details&gt;.</w:t>
            </w:r>
          </w:p>
          <w:p>
            <w:pPr>
              <w:spacing w:after="0"/>
            </w:pPr>
            <w:r>
              <w:rPr>
                <w:b/>
                <w:color w:val="145A32"/>
                <w:sz w:val="17"/>
                <w:szCs w:val="17"/>
              </w:rPr>
              <w:t xml:space="preserve">→ Régénérer ce contenu en HTML5 complet selon le gabarit § 9, le déposer en text/html sans conversion, vérifier la taille Drive = taille locale, puis déplacer le Google Docs dans CORBEILLE_DOUBLONS_OBSOLETES avec le suffixe _OBSOLETE_.</w:t>
            </w:r>
          </w:p>
        </w:tc>
        <w:tc>
          <w:tcPr>
            <w:tcW w:w="1800" w:type="dxa"/>
            <w:vAlign w:val="top"/>
          </w:tcPr>
          <w:p>
            <w:pPr>
              <w:spacing w:after="0"/>
            </w:pPr>
            <w:r>
              <w:rPr>
                <w:sz w:val="17"/>
                <w:szCs w:val="17"/>
              </w:rPr>
              <w:t xml:space="preserve">PROMPT_V6.md (prompt de base),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L4-L05</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Fichier entier › en-tête</w:t>
            </w:r>
          </w:p>
        </w:tc>
        <w:tc>
          <w:tcPr>
            <w:tcW w:w="2600" w:type="dxa"/>
            <w:vAlign w:val="top"/>
          </w:tcPr>
          <w:p>
            <w:pPr>
              <w:spacing w:after="0"/>
            </w:pPr>
            <w:r>
              <w:rPr>
                <w:i/>
                <w:sz w:val="17"/>
                <w:szCs w:val="17"/>
              </w:rPr>
              <w:t xml:space="preserve">« Appel B - Partie 4/4 — Audit Médical &amp; Bio-Mathématique Ultra-Pédagogique V5 »</w:t>
            </w:r>
          </w:p>
        </w:tc>
        <w:tc>
          <w:tcPr>
            <w:tcW w:w="3000" w:type="dxa"/>
            <w:vAlign w:val="top"/>
          </w:tcPr>
          <w:p>
            <w:pPr>
              <w:spacing w:after="40"/>
            </w:pPr>
            <w:r>
              <w:rPr>
                <w:sz w:val="17"/>
                <w:szCs w:val="17"/>
              </w:rPr>
              <w:t xml:space="preserve">Le fichier est un Google Docs exporté : la règle 0 impose un HTML5 autonome déposé en text/html sans conversion, car la conversion détruit les fenêtres &lt;details&gt;.</w:t>
            </w:r>
          </w:p>
          <w:p>
            <w:pPr>
              <w:spacing w:after="0"/>
            </w:pPr>
            <w:r>
              <w:rPr>
                <w:b/>
                <w:color w:val="145A32"/>
                <w:sz w:val="17"/>
                <w:szCs w:val="17"/>
              </w:rPr>
              <w:t xml:space="preserve">→ Régénérer ce contenu en HTML5 complet selon le gabarit § 9, le déposer en text/html sans conversion, vérifier la taille Drive = taille locale, puis déplacer le Google Docs dans CORBEILLE_DOUBLONS_OBSOLETES avec le suffixe _OBSOLETE_.</w:t>
            </w:r>
          </w:p>
        </w:tc>
        <w:tc>
          <w:tcPr>
            <w:tcW w:w="1800" w:type="dxa"/>
            <w:vAlign w:val="top"/>
          </w:tcPr>
          <w:p>
            <w:pPr>
              <w:spacing w:after="0"/>
            </w:pPr>
            <w:r>
              <w:rPr>
                <w:sz w:val="17"/>
                <w:szCs w:val="17"/>
              </w:rPr>
              <w:t xml:space="preserve">PROMPT_V6.md (prompt de base),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L4-L06</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Fichier entier › titre et balise finale</w:t>
            </w:r>
          </w:p>
        </w:tc>
        <w:tc>
          <w:tcPr>
            <w:tcW w:w="2600" w:type="dxa"/>
            <w:vAlign w:val="top"/>
          </w:tcPr>
          <w:p>
            <w:pPr>
              <w:spacing w:after="0"/>
            </w:pPr>
            <w:r>
              <w:rPr>
                <w:i/>
                <w:sz w:val="17"/>
                <w:szCs w:val="17"/>
              </w:rPr>
              <w:t xml:space="preserve">« Cette édition réunit le SSP principal et les dix diagnostics du plan initial. »</w:t>
            </w:r>
          </w:p>
        </w:tc>
        <w:tc>
          <w:tcPr>
            <w:tcW w:w="3000" w:type="dxa"/>
            <w:vAlign w:val="top"/>
          </w:tcPr>
          <w:p>
            <w:pPr>
              <w:spacing w:after="40"/>
            </w:pPr>
            <w:r>
              <w:rPr>
                <w:sz w:val="17"/>
                <w:szCs w:val="17"/>
              </w:rPr>
              <w:t xml:space="preserve">Le fichier réunit l'Appel A et les 10 DX dans un seul document nommé « Partie_1_Integral » et terminé par « FIN_FICHIER LOT_4_PARTIE_1 » : il viole la cadence 2-3-2-3 en 5 fichiers et le nommage canonique.</w:t>
            </w:r>
          </w:p>
          <w:p>
            <w:pPr>
              <w:spacing w:after="0"/>
            </w:pPr>
            <w:r>
              <w:rPr>
                <w:b/>
                <w:color w:val="145A32"/>
                <w:sz w:val="17"/>
                <w:szCs w:val="17"/>
              </w:rPr>
              <w:t xml:space="preserve">→ Découper en 5 fichiers nommés LOT_4_Appel_A_V5_Ultra_Pedagogique_Plan_et_Liste.html, puis LOT_4_Appel_B_V5_Ultra_Pedagogique_Partie_1_DX.1_a_DX.2.html … Partie_4_DX.8_a_DX.10.html, chacun avec sa balise &lt;!-- FIN_FICHIER LOT_4_&lt;PARTIE&gt; --&gt;.</w:t>
            </w:r>
          </w:p>
        </w:tc>
        <w:tc>
          <w:tcPr>
            <w:tcW w:w="1800" w:type="dxa"/>
            <w:vAlign w:val="top"/>
          </w:tcPr>
          <w:p>
            <w:pPr>
              <w:spacing w:after="0"/>
            </w:pPr>
            <w:r>
              <w:rPr>
                <w:sz w:val="17"/>
                <w:szCs w:val="17"/>
              </w:rPr>
              <w:t xml:space="preserve">PROMPT_V6.md (prompt de base), § 4 et § 10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L4-L07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Sommaire › bloc SSP G4 (Appel A) › après le point 14</w:t>
            </w:r>
          </w:p>
        </w:tc>
        <w:tc>
          <w:tcPr>
            <w:tcW w:w="2600" w:type="dxa"/>
            <w:vAlign w:val="top"/>
          </w:tcPr>
          <w:p>
            <w:pPr>
              <w:spacing w:after="0"/>
            </w:pPr>
            <w:r>
              <w:rPr>
                <w:i/>
                <w:sz w:val="17"/>
                <w:szCs w:val="17"/>
              </w:rPr>
              <w:t xml:space="preserve">« Une fatigue ne doit pas être attribuée au stress sur la seule normalité d'un premier bilan. »</w:t>
            </w:r>
          </w:p>
        </w:tc>
        <w:tc>
          <w:tcPr>
            <w:tcW w:w="3000" w:type="dxa"/>
            <w:vAlign w:val="top"/>
          </w:tcPr>
          <w:p>
            <w:pPr>
              <w:spacing w:after="40"/>
            </w:pPr>
            <w:r>
              <w:rPr>
                <w:sz w:val="17"/>
                <w:szCs w:val="17"/>
              </w:rPr>
              <w:t xml:space="preserve">L'Appel A ne contient ni Bloc 2 (justification des 10 DX), ni tableau comparatif des 10 DX, ni algorithme discriminant ; le même manque existe dans le Google Docs de l'Appel A.</w:t>
            </w:r>
          </w:p>
          <w:p>
            <w:pPr>
              <w:spacing w:after="0"/>
            </w:pPr>
            <w:r>
              <w:rPr>
                <w:b/>
                <w:color w:val="145A32"/>
                <w:sz w:val="17"/>
                <w:szCs w:val="17"/>
              </w:rPr>
              <w:t xml:space="preserve">→ Ajouter après le point 14 un Bloc 2 : justification sourcée de chaque DX, tableau comparatif (signe clé | examen clé | mécanisme | conduite immédiate) enveloppé dans &lt;div style='overflow-x:auto;'&gt;, puis un algorithme qui montre quel signe ou examen fait passer d'un DX à l'autre.</w:t>
            </w:r>
          </w:p>
        </w:tc>
        <w:tc>
          <w:tcPr>
            <w:tcW w:w="1800" w:type="dxa"/>
            <w:vAlign w:val="top"/>
          </w:tcPr>
          <w:p>
            <w:pPr>
              <w:spacing w:after="0"/>
            </w:pPr>
            <w:r>
              <w:rPr>
                <w:sz w:val="17"/>
                <w:szCs w:val="17"/>
              </w:rPr>
              <w:t xml:space="preserve">PROMPT_V6.md (prompt de base), § 4.1 et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L4-L10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Fichier entier (même constat dans les 4 Parties V5 : 5 occurrences)</w:t>
            </w:r>
          </w:p>
        </w:tc>
        <w:tc>
          <w:tcPr>
            <w:tcW w:w="2600" w:type="dxa"/>
            <w:vAlign w:val="top"/>
          </w:tcPr>
          <w:p>
            <w:pPr>
              <w:spacing w:after="0"/>
            </w:pPr>
            <w:r>
              <w:rPr>
                <w:i/>
                <w:sz w:val="17"/>
                <w:szCs w:val="17"/>
              </w:rPr>
              <w:t xml:space="preserve">« Hémoglobine (Hb) H: 140-180 g/L | F: 120-160 g/L »</w:t>
            </w:r>
          </w:p>
        </w:tc>
        <w:tc>
          <w:tcPr>
            <w:tcW w:w="3000" w:type="dxa"/>
            <w:vAlign w:val="top"/>
          </w:tcPr>
          <w:p>
            <w:pPr>
              <w:spacing w:after="40"/>
            </w:pPr>
            <w:r>
              <w:rPr>
                <w:sz w:val="17"/>
                <w:szCs w:val="17"/>
              </w:rPr>
              <w:t xml:space="preserve">Aucune fenêtre &lt;details&gt; ne subsiste dans les fichiers V5 (0 occurrence) : les termes sémiologiques, examens, médicaments et scores n'ouvrent aucune fenêtre, et les « Fenêtres interactives » sont devenues du texte plat.</w:t>
            </w:r>
          </w:p>
          <w:p>
            <w:pPr>
              <w:spacing w:after="0"/>
            </w:pPr>
            <w:r>
              <w:rPr>
                <w:b/>
                <w:color w:val="145A32"/>
                <w:sz w:val="17"/>
                <w:szCs w:val="17"/>
              </w:rPr>
              <w:t xml:space="preserve">→ Reconstruire chaque terme technique, signe, examen, médicament et score en &lt;details&gt; selon le gabarit § 9 (mécanisme pas à pas, exemple chiffré, piège, [Sn]).</w:t>
            </w:r>
          </w:p>
        </w:tc>
        <w:tc>
          <w:tcPr>
            <w:tcW w:w="1800" w:type="dxa"/>
            <w:vAlign w:val="top"/>
          </w:tcPr>
          <w:p>
            <w:pPr>
              <w:spacing w:after="0"/>
            </w:pPr>
            <w:r>
              <w:rPr>
                <w:sz w:val="17"/>
                <w:szCs w:val="17"/>
              </w:rPr>
              <w:t xml:space="preserve">PROMPT_V6.md (prompt de base), § 7 et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L4-L11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Fin du fichier (même constat dans les 4 Parties V5 : 5 occurrences)</w:t>
            </w:r>
          </w:p>
        </w:tc>
        <w:tc>
          <w:tcPr>
            <w:tcW w:w="2600" w:type="dxa"/>
            <w:vAlign w:val="top"/>
          </w:tcPr>
          <w:p>
            <w:pPr>
              <w:spacing w:after="0"/>
            </w:pPr>
            <w:r>
              <w:rPr>
                <w:i/>
                <w:sz w:val="17"/>
                <w:szCs w:val="17"/>
              </w:rPr>
              <w:t xml:space="preserve">« (Pathologie rare mais mortelle associant fatigue profonde, mélanodermie et hypotension, source : Endocrine Society) »</w:t>
            </w:r>
          </w:p>
        </w:tc>
        <w:tc>
          <w:tcPr>
            <w:tcW w:w="3000" w:type="dxa"/>
            <w:vAlign w:val="top"/>
          </w:tcPr>
          <w:p>
            <w:pPr>
              <w:spacing w:after="40"/>
            </w:pPr>
            <w:r>
              <w:rPr>
                <w:sz w:val="17"/>
                <w:szCs w:val="17"/>
              </w:rPr>
              <w:t xml:space="preserve">Les fichiers V5 se terminent sans section Sources numérotée [S1]…[Sn], sans la mention « Contenu produit par IA… » et sans balise FIN_FICHIER ; ils sont donc réputés tronqués et non sourcés.</w:t>
            </w:r>
          </w:p>
          <w:p>
            <w:pPr>
              <w:spacing w:after="0"/>
            </w:pPr>
            <w:r>
              <w:rPr>
                <w:b/>
                <w:color w:val="145A32"/>
                <w:sz w:val="17"/>
                <w:szCs w:val="17"/>
              </w:rPr>
              <w:t xml:space="preserve">→ Ajouter &lt;h3&gt;Sources&lt;/h3&gt; avec [S1]…[Sn] (titre, organisme, année, URL, date de consultation), puis « Contenu produit par IA à partir des sources citées ; non validé cliniquement par un médecin. », puis &lt;!-- FIN_FICHIER LOT_4_&lt;PARTIE&gt; --&gt;.</w:t>
            </w:r>
          </w:p>
        </w:tc>
        <w:tc>
          <w:tcPr>
            <w:tcW w:w="1800" w:type="dxa"/>
            <w:vAlign w:val="top"/>
          </w:tcPr>
          <w:p>
            <w:pPr>
              <w:spacing w:after="0"/>
            </w:pPr>
            <w:r>
              <w:rPr>
                <w:sz w:val="17"/>
                <w:szCs w:val="17"/>
              </w:rPr>
              <w:t xml:space="preserve">PROMPT_V6.md (prompt de base), § 3.8 et § 10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L4-L12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Bloc 2 › liste des 10 DX › D4.1 à D4.10</w:t>
            </w:r>
          </w:p>
        </w:tc>
        <w:tc>
          <w:tcPr>
            <w:tcW w:w="2600" w:type="dxa"/>
            <w:vAlign w:val="top"/>
          </w:tcPr>
          <w:p>
            <w:pPr>
              <w:spacing w:after="0"/>
            </w:pPr>
            <w:r>
              <w:rPr>
                <w:i/>
                <w:sz w:val="17"/>
                <w:szCs w:val="17"/>
              </w:rPr>
              <w:t xml:space="preserve">« D4.1 — Anémie ferriprive et Carences martiales 25 % — »</w:t>
            </w:r>
          </w:p>
        </w:tc>
        <w:tc>
          <w:tcPr>
            <w:tcW w:w="3000" w:type="dxa"/>
            <w:vAlign w:val="top"/>
          </w:tcPr>
          <w:p>
            <w:pPr>
              <w:spacing w:after="40"/>
            </w:pPr>
            <w:r>
              <w:rPr>
                <w:sz w:val="17"/>
                <w:szCs w:val="17"/>
              </w:rPr>
              <w:t xml:space="preserve">Les badges 25 %, 20 %, 15 %, 10 %, 8 %, 5 %, 4 %, 3 %, 2 % et 0,5 % ne renvoient à aucune source précise ; leur somme (92,5 %) n'a pas de sens épidémiologique et le V6 les a d'ailleurs abandonnés.</w:t>
            </w:r>
          </w:p>
          <w:p>
            <w:pPr>
              <w:spacing w:after="0"/>
            </w:pPr>
            <w:r>
              <w:rPr>
                <w:b/>
                <w:color w:val="145A32"/>
                <w:sz w:val="17"/>
                <w:szCs w:val="17"/>
              </w:rPr>
              <w:t xml:space="preserve">→ Remplacer chaque badge par « Ne rang — fréquence non quantifiée (Suisse) » ou par un pourcentage suivi de [Sn] vérifié ; annoncer le critère d'ordre (fréquence suisse pondérée par la gravité).</w:t>
            </w:r>
          </w:p>
        </w:tc>
        <w:tc>
          <w:tcPr>
            <w:tcW w:w="1800" w:type="dxa"/>
            <w:vAlign w:val="top"/>
          </w:tcPr>
          <w:p>
            <w:pPr>
              <w:spacing w:after="0"/>
            </w:pPr>
            <w:r>
              <w:rPr>
                <w:sz w:val="17"/>
                <w:szCs w:val="17"/>
              </w:rPr>
              <w:t xml:space="preserve">PROMPT_V6.md (prompt de base),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L4-L14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Bloc 2 › D4.10 › justification ; repris dans Partie 4 › D4.10 › points 3 et 8</w:t>
            </w:r>
          </w:p>
        </w:tc>
        <w:tc>
          <w:tcPr>
            <w:tcW w:w="2600" w:type="dxa"/>
            <w:vAlign w:val="top"/>
          </w:tcPr>
          <w:p>
            <w:pPr>
              <w:spacing w:after="0"/>
            </w:pPr>
            <w:r>
              <w:rPr>
                <w:i/>
                <w:sz w:val="17"/>
                <w:szCs w:val="17"/>
              </w:rPr>
              <w:t xml:space="preserve">« source : Endocrine Society) »</w:t>
            </w:r>
          </w:p>
        </w:tc>
        <w:tc>
          <w:tcPr>
            <w:tcW w:w="3000" w:type="dxa"/>
            <w:vAlign w:val="top"/>
          </w:tcPr>
          <w:p>
            <w:pPr>
              <w:spacing w:after="40"/>
            </w:pPr>
            <w:r>
              <w:rPr>
                <w:sz w:val="17"/>
                <w:szCs w:val="17"/>
              </w:rPr>
              <w:t xml:space="preserve">Une société américaine sert de référence pour l'insuffisance surrénalienne alors que des sources européennes équivalentes existent.</w:t>
            </w:r>
          </w:p>
          <w:p>
            <w:pPr>
              <w:spacing w:after="0"/>
            </w:pPr>
            <w:r>
              <w:rPr>
                <w:b/>
                <w:color w:val="145A32"/>
                <w:sz w:val="17"/>
                <w:szCs w:val="17"/>
              </w:rPr>
              <w:t xml:space="preserve">→ Citer en priorité une source suisse (SSED) ou européenne, par exemple la recommandation de la Deutsche Gesellschaft für Endokrinologie sur la crise surrénalienne, et réserver l'Endocrine Society à une mention secondaire.</w:t>
            </w:r>
          </w:p>
        </w:tc>
        <w:tc>
          <w:tcPr>
            <w:tcW w:w="1800" w:type="dxa"/>
            <w:vAlign w:val="top"/>
          </w:tcPr>
          <w:p>
            <w:pPr>
              <w:spacing w:after="0"/>
            </w:pPr>
            <w:r>
              <w:rPr>
                <w:sz w:val="17"/>
                <w:szCs w:val="17"/>
              </w:rPr>
              <w:t xml:space="preserve">PROMPT_V6.md (prompt de base), § 3.2 ; Deutsche Gesellschaft für Endokrinologie, « Adrenal crisis », https://www.endokrinologie.net/en/adrenalcrisis.php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L4-L15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Partie 2 › D4.3 › point 8</w:t>
            </w:r>
          </w:p>
        </w:tc>
        <w:tc>
          <w:tcPr>
            <w:tcW w:w="2600" w:type="dxa"/>
            <w:vAlign w:val="top"/>
          </w:tcPr>
          <w:p>
            <w:pPr>
              <w:spacing w:after="0"/>
            </w:pPr>
            <w:r>
              <w:rPr>
                <w:i/>
                <w:sz w:val="17"/>
                <w:szCs w:val="17"/>
              </w:rPr>
              <w:t xml:space="preserve">« Selon l'Académie Américaine de Médecine du Sommeil (AASM) et la Société Suisse de Pneumologie (SSP), »</w:t>
            </w:r>
          </w:p>
        </w:tc>
        <w:tc>
          <w:tcPr>
            <w:tcW w:w="3000" w:type="dxa"/>
            <w:vAlign w:val="top"/>
          </w:tcPr>
          <w:p>
            <w:pPr>
              <w:spacing w:after="40"/>
            </w:pPr>
            <w:r>
              <w:rPr>
                <w:sz w:val="17"/>
                <w:szCs w:val="17"/>
              </w:rPr>
              <w:t xml:space="preserve">Le critère diagnostique du SAOS est fondé en premier sur une société américaine, et l'abréviation « SSP » entre en collision avec « SSP » (situation de départ PROFILES).</w:t>
            </w:r>
          </w:p>
          <w:p>
            <w:pPr>
              <w:spacing w:after="0"/>
            </w:pPr>
            <w:r>
              <w:rPr>
                <w:b/>
                <w:color w:val="145A32"/>
                <w:sz w:val="17"/>
                <w:szCs w:val="17"/>
              </w:rPr>
              <w:t xml:space="preserve">→ Citer d'abord la Société suisse de pneumologie et l'ERS (European Respiratory Society) ; développer la société suisse sans l'abréger « SSP » ; garder l'AASM seulement pour la définition technique de l'hypopnée, signalée comme telle.</w:t>
            </w:r>
          </w:p>
        </w:tc>
        <w:tc>
          <w:tcPr>
            <w:tcW w:w="1800" w:type="dxa"/>
            <w:vAlign w:val="top"/>
          </w:tcPr>
          <w:p>
            <w:pPr>
              <w:spacing w:after="0"/>
            </w:pPr>
            <w:r>
              <w:rPr>
                <w:sz w:val="17"/>
                <w:szCs w:val="17"/>
              </w:rPr>
              <w:t xml:space="preserve">PROMPT_V6.md (prompt de base), § 3.2 et § 6.5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L4-L16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Partie 1 › D4.1 › point 11.B › moyens pharmacologiques (format identique dans tous les 11.B V5)</w:t>
            </w:r>
          </w:p>
        </w:tc>
        <w:tc>
          <w:tcPr>
            <w:tcW w:w="2600" w:type="dxa"/>
            <w:vAlign w:val="top"/>
          </w:tcPr>
          <w:p>
            <w:pPr>
              <w:spacing w:after="0"/>
            </w:pPr>
            <w:r>
              <w:rPr>
                <w:i/>
                <w:sz w:val="17"/>
                <w:szCs w:val="17"/>
              </w:rPr>
              <w:t xml:space="preserve">« Classe : Supplémentation martiale orale. Molécule : Sulfate ferreux »</w:t>
            </w:r>
          </w:p>
        </w:tc>
        <w:tc>
          <w:tcPr>
            <w:tcW w:w="3000" w:type="dxa"/>
            <w:vAlign w:val="top"/>
          </w:tcPr>
          <w:p>
            <w:pPr>
              <w:spacing w:after="40"/>
            </w:pPr>
            <w:r>
              <w:rPr>
                <w:sz w:val="17"/>
                <w:szCs w:val="17"/>
              </w:rPr>
              <w:t xml:space="preserve">Les rubriques pharmacologiques sont écrites en listes télégraphiques (« Classe : … Molécule : … Posologie : … Durée : … ») sans verbe conjugué ; la règle « zéro phrase nominale » est violée de façon systématique.</w:t>
            </w:r>
          </w:p>
          <w:p>
            <w:pPr>
              <w:spacing w:after="0"/>
            </w:pPr>
            <w:r>
              <w:rPr>
                <w:b/>
                <w:color w:val="145A32"/>
                <w:sz w:val="17"/>
                <w:szCs w:val="17"/>
              </w:rPr>
              <w:t xml:space="preserve">→ Réécrire chaque traitement en phrases verbales selon ①–⑥, par exemple : « Le médecin prescrit du sulfate ferreux (Tardyferon®) à raison de 80 mg de fer un jour sur deux. »</w:t>
            </w:r>
          </w:p>
        </w:tc>
        <w:tc>
          <w:tcPr>
            <w:tcW w:w="1800" w:type="dxa"/>
            <w:vAlign w:val="top"/>
          </w:tcPr>
          <w:p>
            <w:pPr>
              <w:spacing w:after="0"/>
            </w:pPr>
            <w:r>
              <w:rPr>
                <w:sz w:val="17"/>
                <w:szCs w:val="17"/>
              </w:rPr>
              <w:t xml:space="preserve">PROMPT_V6.md (prompt de base), § 6.1 et § 5.11.B</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L4-L19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Partie 3 › D4.7 › points 1, 3, 8, 10 et 11 (formules perdues ; 14 emplacements)</w:t>
            </w:r>
          </w:p>
        </w:tc>
        <w:tc>
          <w:tcPr>
            <w:tcW w:w="2600" w:type="dxa"/>
            <w:vAlign w:val="top"/>
          </w:tcPr>
          <w:p>
            <w:pPr>
              <w:spacing w:after="0"/>
            </w:pPr>
            <w:r>
              <w:rPr>
                <w:i/>
                <w:sz w:val="17"/>
                <w:szCs w:val="17"/>
              </w:rPr>
              <w:t xml:space="preserve">« soit d'un Débit de Filtration Glomérulaire estimé ( ) inférieur à , soit d'un marqueur d'atteinte rénale structurelle »</w:t>
            </w:r>
          </w:p>
        </w:tc>
        <w:tc>
          <w:tcPr>
            <w:tcW w:w="3000" w:type="dxa"/>
            <w:vAlign w:val="top"/>
          </w:tcPr>
          <w:p>
            <w:pPr>
              <w:spacing w:after="40"/>
            </w:pPr>
            <w:r>
              <w:rPr>
                <w:sz w:val="17"/>
                <w:szCs w:val="17"/>
              </w:rPr>
              <w:t xml:space="preserve">La conversion Google Docs a effacé les formules : les seuils de définition de la MRC (DFGe, rapport albumine/créatinine) et d'autres valeurs ont disparu, laissant des parenthèses vides.</w:t>
            </w:r>
          </w:p>
          <w:p>
            <w:pPr>
              <w:spacing w:after="0"/>
            </w:pPr>
            <w:r>
              <w:rPr>
                <w:b/>
                <w:color w:val="145A32"/>
                <w:sz w:val="17"/>
                <w:szCs w:val="17"/>
              </w:rPr>
              <w:t xml:space="preserve">→ Rétablir : « un DFGe &lt; 60 mL/min/1,73 m² ou une albuminurie avec rapport albumine/créatinine ≥ 3 mg/mmol (≥ 30 mg/g) persistant &gt; 3 mois » et vérifier chaque parenthèse vide du fichier.</w:t>
            </w:r>
          </w:p>
        </w:tc>
        <w:tc>
          <w:tcPr>
            <w:tcW w:w="1800" w:type="dxa"/>
            <w:vAlign w:val="top"/>
          </w:tcPr>
          <w:p>
            <w:pPr>
              <w:spacing w:after="0"/>
            </w:pPr>
            <w:r>
              <w:rPr>
                <w:sz w:val="17"/>
                <w:szCs w:val="17"/>
              </w:rPr>
              <w:t xml:space="preserve">KDIGO 2024 Clinical Practice Guideline for the Evaluation and Management of CKD, https://kdigo.org/wp-content/uploads/2024/03/KDIGO-2024-CKD-Guideline.pdf (cité par le V6)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L4-L20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Partie 3 › D4.6 › point 11.C › surveillance biologique</w:t>
            </w:r>
          </w:p>
        </w:tc>
        <w:tc>
          <w:tcPr>
            <w:tcW w:w="2600" w:type="dxa"/>
            <w:vAlign w:val="top"/>
          </w:tcPr>
          <w:p>
            <w:pPr>
              <w:spacing w:after="0"/>
            </w:pPr>
            <w:r>
              <w:rPr>
                <w:i/>
                <w:sz w:val="17"/>
                <w:szCs w:val="17"/>
              </w:rPr>
              <w:t xml:space="preserve">« tolérer une hausse de créatinine jusqu'à 30 % ; arrêter l'ARM si ). »</w:t>
            </w:r>
          </w:p>
        </w:tc>
        <w:tc>
          <w:tcPr>
            <w:tcW w:w="3000" w:type="dxa"/>
            <w:vAlign w:val="top"/>
          </w:tcPr>
          <w:p>
            <w:pPr>
              <w:spacing w:after="40"/>
            </w:pPr>
            <w:r>
              <w:rPr>
                <w:sz w:val="17"/>
                <w:szCs w:val="17"/>
              </w:rPr>
              <w:t xml:space="preserve">Le seuil de kaliémie qui impose l'arrêt de l'antagoniste minéralocorticoïde a disparu, ce qui prive le lecteur d'un seuil de sécurité vital.</w:t>
            </w:r>
          </w:p>
          <w:p>
            <w:pPr>
              <w:spacing w:after="0"/>
            </w:pPr>
            <w:r>
              <w:rPr>
                <w:b/>
                <w:color w:val="145A32"/>
                <w:sz w:val="17"/>
                <w:szCs w:val="17"/>
              </w:rPr>
              <w:t xml:space="preserve">→ Rétablir le seuil de kaliémie et de créatinine d'arrêt selon l'information professionnelle suisse de l'ARM et la recommandation ESC applicable, avec la source [Sn].</w:t>
            </w:r>
          </w:p>
        </w:tc>
        <w:tc>
          <w:tcPr>
            <w:tcW w:w="1800" w:type="dxa"/>
            <w:vAlign w:val="top"/>
          </w:tcPr>
          <w:p>
            <w:pPr>
              <w:spacing w:after="0"/>
            </w:pPr>
            <w:r>
              <w:rPr>
                <w:sz w:val="17"/>
                <w:szCs w:val="17"/>
              </w:rPr>
              <w:t xml:space="preserve">Donnée non trouvée dans les sources consultées : seuil à relire dans l'information professionnelle suisse (compendium.ch) de la spironolactone et de l'éplérénone et dans ESC Heart Failure Guidelines 2021/2023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L4-L21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Partie 3 › D4.7 › point 11.B › moyens non médicamenteux</w:t>
            </w:r>
          </w:p>
        </w:tc>
        <w:tc>
          <w:tcPr>
            <w:tcW w:w="2600" w:type="dxa"/>
            <w:vAlign w:val="top"/>
          </w:tcPr>
          <w:p>
            <w:pPr>
              <w:spacing w:after="0"/>
            </w:pPr>
            <w:r>
              <w:rPr>
                <w:i/>
                <w:sz w:val="17"/>
                <w:szCs w:val="17"/>
              </w:rPr>
              <w:t xml:space="preserve">« adaptation posologique rénale systématique (metformine arrêtée si ). »</w:t>
            </w:r>
          </w:p>
        </w:tc>
        <w:tc>
          <w:tcPr>
            <w:tcW w:w="3000" w:type="dxa"/>
            <w:vAlign w:val="top"/>
          </w:tcPr>
          <w:p>
            <w:pPr>
              <w:spacing w:after="40"/>
            </w:pPr>
            <w:r>
              <w:rPr>
                <w:sz w:val="17"/>
                <w:szCs w:val="17"/>
              </w:rPr>
              <w:t xml:space="preserve">Le seuil de DFGe qui impose l'arrêt de la metformine a disparu.</w:t>
            </w:r>
          </w:p>
          <w:p>
            <w:pPr>
              <w:spacing w:after="0"/>
            </w:pPr>
            <w:r>
              <w:rPr>
                <w:b/>
                <w:color w:val="145A32"/>
                <w:sz w:val="17"/>
                <w:szCs w:val="17"/>
              </w:rPr>
              <w:t xml:space="preserve">→ Rétablir le seuil de DFGe de contre-indication tel qu'il figure dans l'information professionnelle suisse de la metformine, avec [Sn].</w:t>
            </w:r>
          </w:p>
        </w:tc>
        <w:tc>
          <w:tcPr>
            <w:tcW w:w="1800" w:type="dxa"/>
            <w:vAlign w:val="top"/>
          </w:tcPr>
          <w:p>
            <w:pPr>
              <w:spacing w:after="0"/>
            </w:pPr>
            <w:r>
              <w:rPr>
                <w:sz w:val="17"/>
                <w:szCs w:val="17"/>
              </w:rPr>
              <w:t xml:space="preserve">Donnée non trouvée dans les sources consultées : seuil à relire dans l'information professionnelle suisse de la metformine (compendium.ch)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L4-L22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Partie 3 › D4.7 › point 11.B › antagoniste non stéroïdien</w:t>
            </w:r>
          </w:p>
        </w:tc>
        <w:tc>
          <w:tcPr>
            <w:tcW w:w="2600" w:type="dxa"/>
            <w:vAlign w:val="top"/>
          </w:tcPr>
          <w:p>
            <w:pPr>
              <w:spacing w:after="0"/>
            </w:pPr>
            <w:r>
              <w:rPr>
                <w:i/>
                <w:sz w:val="17"/>
                <w:szCs w:val="17"/>
              </w:rPr>
              <w:t xml:space="preserve">« Finérénone ( Kerendia® 10 à 20 mg/j per os si ). »</w:t>
            </w:r>
          </w:p>
        </w:tc>
        <w:tc>
          <w:tcPr>
            <w:tcW w:w="3000" w:type="dxa"/>
            <w:vAlign w:val="top"/>
          </w:tcPr>
          <w:p>
            <w:pPr>
              <w:spacing w:after="40"/>
            </w:pPr>
            <w:r>
              <w:rPr>
                <w:sz w:val="17"/>
                <w:szCs w:val="17"/>
              </w:rPr>
              <w:t xml:space="preserve">Les conditions d'initiation de la finérénone (seuils de DFGe et de kaliémie) ont disparu ; la dose est donc donnée sans ses conditions de sécurité.</w:t>
            </w:r>
          </w:p>
          <w:p>
            <w:pPr>
              <w:spacing w:after="0"/>
            </w:pPr>
            <w:r>
              <w:rPr>
                <w:b/>
                <w:color w:val="145A32"/>
                <w:sz w:val="17"/>
                <w:szCs w:val="17"/>
              </w:rPr>
              <w:t xml:space="preserve">→ Rétablir les seuils de DFGe et de kaliémie d'initiation et d'arrêt figurant dans l'information professionnelle suisse de Kerendia®, avec [Sn].</w:t>
            </w:r>
          </w:p>
        </w:tc>
        <w:tc>
          <w:tcPr>
            <w:tcW w:w="1800" w:type="dxa"/>
            <w:vAlign w:val="top"/>
          </w:tcPr>
          <w:p>
            <w:pPr>
              <w:spacing w:after="0"/>
            </w:pPr>
            <w:r>
              <w:rPr>
                <w:sz w:val="17"/>
                <w:szCs w:val="17"/>
              </w:rPr>
              <w:t xml:space="preserve">Donnée non trouvée dans les sources consultées : à relire dans l'information professionnelle suisse de Kerendia® (compendium.ch)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L4-L23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Partie 3 › D4.7 › point 5 › drapeaux rouges « AEIOU »</w:t>
            </w:r>
          </w:p>
        </w:tc>
        <w:tc>
          <w:tcPr>
            <w:tcW w:w="2600" w:type="dxa"/>
            <w:vAlign w:val="top"/>
          </w:tcPr>
          <w:p>
            <w:pPr>
              <w:spacing w:after="0"/>
            </w:pPr>
            <w:r>
              <w:rPr>
                <w:i/>
                <w:sz w:val="17"/>
                <w:szCs w:val="17"/>
              </w:rPr>
              <w:t xml:space="preserve">« l'Acidose sévère réfractaire ( ), l'hyperkaliémie menaçante ( avec élargissement des QRS à l'ECG) »</w:t>
            </w:r>
          </w:p>
        </w:tc>
        <w:tc>
          <w:tcPr>
            <w:tcW w:w="3000" w:type="dxa"/>
            <w:vAlign w:val="top"/>
          </w:tcPr>
          <w:p>
            <w:pPr>
              <w:spacing w:after="40"/>
            </w:pPr>
            <w:r>
              <w:rPr>
                <w:sz w:val="17"/>
                <w:szCs w:val="17"/>
              </w:rPr>
              <w:t xml:space="preserve">Les seuils de pH et de kaliémie qui définissent l'indication de dialyse en urgence ont disparu, et la lettre « I » (intoxication dialysable) manque dans l'acronyme.</w:t>
            </w:r>
          </w:p>
          <w:p>
            <w:pPr>
              <w:spacing w:after="0"/>
            </w:pPr>
            <w:r>
              <w:rPr>
                <w:b/>
                <w:color w:val="145A32"/>
                <w:sz w:val="17"/>
                <w:szCs w:val="17"/>
              </w:rPr>
              <w:t xml:space="preserve">→ Rétablir les seuils chiffrés sourcés (pH, kaliémie en mmol/L) et ajouter « I – intoxication par une substance dialysable (lithium, éthylène glycol, méthanol) ».</w:t>
            </w:r>
          </w:p>
        </w:tc>
        <w:tc>
          <w:tcPr>
            <w:tcW w:w="1800" w:type="dxa"/>
            <w:vAlign w:val="top"/>
          </w:tcPr>
          <w:p>
            <w:pPr>
              <w:spacing w:after="0"/>
            </w:pPr>
            <w:r>
              <w:rPr>
                <w:sz w:val="17"/>
                <w:szCs w:val="17"/>
              </w:rPr>
              <w:t xml:space="preserve">Donnée non trouvée dans les sources consultées : seuils à sourcer dans une recommandation européenne de néphrologie (ERA) ou KDIGO</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L4-L29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Partie 4 › D4.10 › point 13</w:t>
            </w:r>
          </w:p>
        </w:tc>
        <w:tc>
          <w:tcPr>
            <w:tcW w:w="2600" w:type="dxa"/>
            <w:vAlign w:val="top"/>
          </w:tcPr>
          <w:p>
            <w:pPr>
              <w:spacing w:after="0"/>
            </w:pPr>
            <w:r>
              <w:rPr>
                <w:i/>
                <w:sz w:val="17"/>
                <w:szCs w:val="17"/>
              </w:rPr>
              <w:t xml:space="preserve">« lorsque l'on administre de fortes doses d'hydrocortisone par voie intraveineuse (≥ ), il est inutile d'ajouter de la fludrocortisone »</w:t>
            </w:r>
          </w:p>
        </w:tc>
        <w:tc>
          <w:tcPr>
            <w:tcW w:w="3000" w:type="dxa"/>
            <w:vAlign w:val="top"/>
          </w:tcPr>
          <w:p>
            <w:pPr>
              <w:spacing w:after="40"/>
            </w:pPr>
            <w:r>
              <w:rPr>
                <w:sz w:val="17"/>
                <w:szCs w:val="17"/>
              </w:rPr>
              <w:t xml:space="preserve">Le seuil de dose à partir duquel la fludrocortisone devient inutile a disparu.</w:t>
            </w:r>
          </w:p>
          <w:p>
            <w:pPr>
              <w:spacing w:after="0"/>
            </w:pPr>
            <w:r>
              <w:rPr>
                <w:b/>
                <w:color w:val="145A32"/>
                <w:sz w:val="17"/>
                <w:szCs w:val="17"/>
              </w:rPr>
              <w:t xml:space="preserve">→ Rétablir le seuil quotidien sourcé (en mg/24 h) et la référence [Sn].</w:t>
            </w:r>
          </w:p>
        </w:tc>
        <w:tc>
          <w:tcPr>
            <w:tcW w:w="1800" w:type="dxa"/>
            <w:vAlign w:val="top"/>
          </w:tcPr>
          <w:p>
            <w:pPr>
              <w:spacing w:after="0"/>
            </w:pPr>
            <w:r>
              <w:rPr>
                <w:sz w:val="17"/>
                <w:szCs w:val="17"/>
              </w:rPr>
              <w:t xml:space="preserve">Donnée non trouvée dans les sources consultées : seuil à relire dans Bornstein SR et al., J Clin Endocrinol Metab 2016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L4-L31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Partie 1 › D4.1 › point 11.B › 1re intention</w:t>
            </w:r>
          </w:p>
        </w:tc>
        <w:tc>
          <w:tcPr>
            <w:tcW w:w="2600" w:type="dxa"/>
            <w:vAlign w:val="top"/>
          </w:tcPr>
          <w:p>
            <w:pPr>
              <w:spacing w:after="0"/>
            </w:pPr>
            <w:r>
              <w:rPr>
                <w:i/>
                <w:sz w:val="17"/>
                <w:szCs w:val="17"/>
              </w:rPr>
              <w:t xml:space="preserve">« Sulfate ferreux (Nom commercial suisse : Maltofer® ou Tardyferon® ). Posologie : 80 mg per os un jour sur deux (alternate day), à jeun. »</w:t>
            </w:r>
          </w:p>
        </w:tc>
        <w:tc>
          <w:tcPr>
            <w:tcW w:w="3000" w:type="dxa"/>
            <w:vAlign w:val="top"/>
          </w:tcPr>
          <w:p>
            <w:pPr>
              <w:spacing w:after="40"/>
            </w:pPr>
            <w:r>
              <w:rPr>
                <w:sz w:val="17"/>
                <w:szCs w:val="17"/>
              </w:rPr>
              <w:t xml:space="preserve">Maltofer® ne contient pas de sulfate ferreux mais du complexe hydroxyde de fer(III)-polymaltose, et son information professionnelle prévoit une prise pendant les repas ; le texte attribue donc une mauvaise DCI et une mauvaise modalité de prise.</w:t>
            </w:r>
          </w:p>
          <w:p>
            <w:pPr>
              <w:spacing w:after="0"/>
            </w:pPr>
            <w:r>
              <w:rPr>
                <w:b/>
                <w:color w:val="145A32"/>
                <w:sz w:val="17"/>
                <w:szCs w:val="17"/>
              </w:rPr>
              <w:t xml:space="preserve">→ Écrire : « Le médecin prescrit du sulfate ferreux (Tardyferon®), 80 mg de fer un jour sur deux à jeun ; le complexe fer(III)-polymaltose (Maltofer®) constitue une autre forme, à prendre pendant les repas selon son information professionnelle. »</w:t>
            </w:r>
          </w:p>
        </w:tc>
        <w:tc>
          <w:tcPr>
            <w:tcW w:w="1800" w:type="dxa"/>
            <w:vAlign w:val="top"/>
          </w:tcPr>
          <w:p>
            <w:pPr>
              <w:spacing w:after="0"/>
            </w:pPr>
            <w:r>
              <w:rPr>
                <w:sz w:val="17"/>
                <w:szCs w:val="17"/>
              </w:rPr>
              <w:t xml:space="preserve">Compendium.ch, Maltofer® (fer(III) hydroxyde polymaltose), information professionnelle, https://compendium.ch/fr/product/1018949-maltofer-filmtabl-100-mg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L4-L32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Partie 1 › D4.1 › point 8</w:t>
            </w:r>
          </w:p>
        </w:tc>
        <w:tc>
          <w:tcPr>
            <w:tcW w:w="2600" w:type="dxa"/>
            <w:vAlign w:val="top"/>
          </w:tcPr>
          <w:p>
            <w:pPr>
              <w:spacing w:after="0"/>
            </w:pPr>
            <w:r>
              <w:rPr>
                <w:i/>
                <w:sz w:val="17"/>
                <w:szCs w:val="17"/>
              </w:rPr>
              <w:t xml:space="preserve">« selon les critères de l'OMS : Hémoglobine &lt; 120 g/L (femme) ou &lt; 130 g/L (homme), associée inévitablement à une Ferritine sérique &lt; 30 μg/L »</w:t>
            </w:r>
          </w:p>
        </w:tc>
        <w:tc>
          <w:tcPr>
            <w:tcW w:w="3000" w:type="dxa"/>
            <w:vAlign w:val="top"/>
          </w:tcPr>
          <w:p>
            <w:pPr>
              <w:spacing w:after="40"/>
            </w:pPr>
            <w:r>
              <w:rPr>
                <w:sz w:val="17"/>
                <w:szCs w:val="17"/>
              </w:rPr>
              <w:t xml:space="preserve">L'OMS fixe le seuil de ferritine à &lt; 15 µg/L chez l'adulte sain et &lt; 70 µg/L en cas d'inflammation ; le seuil de 30 µg/L n'est pas un critère OMS, et « inévitablement » est faux.</w:t>
            </w:r>
          </w:p>
          <w:p>
            <w:pPr>
              <w:spacing w:after="0"/>
            </w:pPr>
            <w:r>
              <w:rPr>
                <w:b/>
                <w:color w:val="145A32"/>
                <w:sz w:val="17"/>
                <w:szCs w:val="17"/>
              </w:rPr>
              <w:t xml:space="preserve">→ Écrire : « L'OMS définit l'anémie par une Hb &lt; 120 g/L (femme non enceinte) ou &lt; 130 g/L (homme). Elle retient une carence en fer si la ferritine est &lt; 15 µg/L chez l'adulte sain ou &lt; 70 µg/L en cas d'inflammation. La pratique suisse utilise souvent un seuil de 30 µg/L, à sourcer séparément. »</w:t>
            </w:r>
          </w:p>
        </w:tc>
        <w:tc>
          <w:tcPr>
            <w:tcW w:w="1800" w:type="dxa"/>
            <w:vAlign w:val="top"/>
          </w:tcPr>
          <w:p>
            <w:pPr>
              <w:spacing w:after="0"/>
            </w:pPr>
            <w:r>
              <w:rPr>
                <w:sz w:val="17"/>
                <w:szCs w:val="17"/>
              </w:rPr>
              <w:t xml:space="preserve">WHO, Guideline on use of ferritin concentrations to assess iron status in individuals and populations, 2020, https://www.ncbi.nlm.nih.gov/books/NBK569877/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L4-L34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Partie 1 › D4.2 › fenêtre 3.2 › tableau PHQ-9</w:t>
            </w:r>
          </w:p>
        </w:tc>
        <w:tc>
          <w:tcPr>
            <w:tcW w:w="2600" w:type="dxa"/>
            <w:vAlign w:val="top"/>
          </w:tcPr>
          <w:p>
            <w:pPr>
              <w:spacing w:after="0"/>
            </w:pPr>
            <w:r>
              <w:rPr>
                <w:i/>
                <w:sz w:val="17"/>
                <w:szCs w:val="17"/>
              </w:rPr>
              <w:t xml:space="preserve">« 15 - 27 points Dépression sévère. Surveillance stricte du risque suicidaire. Antidépresseurs obligatoires. »</w:t>
            </w:r>
          </w:p>
        </w:tc>
        <w:tc>
          <w:tcPr>
            <w:tcW w:w="3000" w:type="dxa"/>
            <w:vAlign w:val="top"/>
          </w:tcPr>
          <w:p>
            <w:pPr>
              <w:spacing w:after="40"/>
            </w:pPr>
            <w:r>
              <w:rPr>
                <w:sz w:val="17"/>
                <w:szCs w:val="17"/>
              </w:rPr>
              <w:t xml:space="preserve">Le tableau omet la classe 5–9 (légère) et confond 15–19 (modérément sévère) avec 20–27 (sévère) ; « antidépresseurs obligatoires » transforme un score de dépistage en ordre de traitement.</w:t>
            </w:r>
          </w:p>
          <w:p>
            <w:pPr>
              <w:spacing w:after="0"/>
            </w:pPr>
            <w:r>
              <w:rPr>
                <w:b/>
                <w:color w:val="145A32"/>
                <w:sz w:val="17"/>
                <w:szCs w:val="17"/>
              </w:rPr>
              <w:t xml:space="preserve">→ Présenter les 5 classes : 0–4 minimale, 5–9 légère, 10–14 modérée, 15–19 modérément sévère, 20–27 sévère ; remplacer « Antidépresseurs obligatoires » par « Le médecin confirme le diagnostic par l'entretien et discute un traitement médicamenteux ».</w:t>
            </w:r>
          </w:p>
        </w:tc>
        <w:tc>
          <w:tcPr>
            <w:tcW w:w="1800" w:type="dxa"/>
            <w:vAlign w:val="top"/>
          </w:tcPr>
          <w:p>
            <w:pPr>
              <w:spacing w:after="0"/>
            </w:pPr>
            <w:r>
              <w:rPr>
                <w:sz w:val="17"/>
                <w:szCs w:val="17"/>
              </w:rPr>
              <w:t xml:space="preserve">Donnée non trouvée dans les sources consultées (lecture de la validation originale du PHQ-9, Kroenke K et al., J Gen Intern Med 2001, à effectuer)</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L4-L38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Appel A › Bloc 1 › point 8</w:t>
            </w:r>
          </w:p>
        </w:tc>
        <w:tc>
          <w:tcPr>
            <w:tcW w:w="2600" w:type="dxa"/>
            <w:vAlign w:val="top"/>
          </w:tcPr>
          <w:p>
            <w:pPr>
              <w:spacing w:after="0"/>
            </w:pPr>
            <w:r>
              <w:rPr>
                <w:i/>
                <w:sz w:val="17"/>
                <w:szCs w:val="17"/>
              </w:rPr>
              <w:t xml:space="preserve">« La plainte devient une Fatigue Chronique selon les critères de l' OMS si elle persiste au-delà de 6 mois »</w:t>
            </w:r>
          </w:p>
        </w:tc>
        <w:tc>
          <w:tcPr>
            <w:tcW w:w="3000" w:type="dxa"/>
            <w:vAlign w:val="top"/>
          </w:tcPr>
          <w:p>
            <w:pPr>
              <w:spacing w:after="40"/>
            </w:pPr>
            <w:r>
              <w:rPr>
                <w:sz w:val="17"/>
                <w:szCs w:val="17"/>
              </w:rPr>
              <w:t xml:space="preserve">L'OMS ne publie pas de critères de « fatigue chronique » à 6 mois ; le texte invente une source et confond fatigue chronique et EM/SFC.</w:t>
            </w:r>
          </w:p>
          <w:p>
            <w:pPr>
              <w:spacing w:after="0"/>
            </w:pPr>
            <w:r>
              <w:rPr>
                <w:b/>
                <w:color w:val="145A32"/>
                <w:sz w:val="17"/>
                <w:szCs w:val="17"/>
              </w:rPr>
              <w:t xml:space="preserve">→ Écrire : « Une fatigue est dite chronique au-delà de 6 mois. Le diagnostic d'EM/SFC exige en outre un malaise post-effort selon les critères IOM 2015 ou NICE NG206 (2021). »</w:t>
            </w:r>
          </w:p>
        </w:tc>
        <w:tc>
          <w:tcPr>
            <w:tcW w:w="1800" w:type="dxa"/>
            <w:vAlign w:val="top"/>
          </w:tcPr>
          <w:p>
            <w:pPr>
              <w:spacing w:after="0"/>
            </w:pPr>
            <w:r>
              <w:rPr>
                <w:sz w:val="17"/>
                <w:szCs w:val="17"/>
              </w:rPr>
              <w:t xml:space="preserve">NICE NG206 (2021), résumé : https://www.learnsignal.com/blog/me-cfs-nice-ng206-care-staff-guide/ (source secondaire, consultée le 22.10.2026) ; aucune source OMS trouvée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L4-L39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Appel A › Bloc 1 › point 11.B</w:t>
            </w:r>
          </w:p>
        </w:tc>
        <w:tc>
          <w:tcPr>
            <w:tcW w:w="2600" w:type="dxa"/>
            <w:vAlign w:val="top"/>
          </w:tcPr>
          <w:p>
            <w:pPr>
              <w:spacing w:after="0"/>
            </w:pPr>
            <w:r>
              <w:rPr>
                <w:i/>
                <w:sz w:val="17"/>
                <w:szCs w:val="17"/>
              </w:rPr>
              <w:t xml:space="preserve">« Programme d'activité physique graduée (Pacing) et thérapie cognitivo-comportementale (TCC) »</w:t>
            </w:r>
          </w:p>
        </w:tc>
        <w:tc>
          <w:tcPr>
            <w:tcW w:w="3000" w:type="dxa"/>
            <w:vAlign w:val="top"/>
          </w:tcPr>
          <w:p>
            <w:pPr>
              <w:spacing w:after="40"/>
            </w:pPr>
            <w:r>
              <w:rPr>
                <w:sz w:val="17"/>
                <w:szCs w:val="17"/>
              </w:rPr>
              <w:t xml:space="preserve">Le texte assimile le pacing (gestion de l'enveloppe énergétique) à l'activité physique graduée, alors que NICE NG206 déconseille tout programme à augmentation fixe en cas d'EM/SFC ; il contredit aussi la Partie 4 (D4.9, point 13).</w:t>
            </w:r>
          </w:p>
          <w:p>
            <w:pPr>
              <w:spacing w:after="0"/>
            </w:pPr>
            <w:r>
              <w:rPr>
                <w:b/>
                <w:color w:val="145A32"/>
                <w:sz w:val="17"/>
                <w:szCs w:val="17"/>
              </w:rPr>
              <w:t xml:space="preserve">→ Écrire : « Le médecin propose une gestion de l'énergie (pacing) en cas de malaise post-effort ; il n'impose pas de programme d'exercice à paliers fixes. »</w:t>
            </w:r>
          </w:p>
        </w:tc>
        <w:tc>
          <w:tcPr>
            <w:tcW w:w="1800" w:type="dxa"/>
            <w:vAlign w:val="top"/>
          </w:tcPr>
          <w:p>
            <w:pPr>
              <w:spacing w:after="0"/>
            </w:pPr>
            <w:r>
              <w:rPr>
                <w:sz w:val="17"/>
                <w:szCs w:val="17"/>
              </w:rPr>
              <w:t xml:space="preserve">NICE NG206, 2021 (résumés secondaires consultés le 22.10.2026 : https://www.technologynetworks.com/proteomics/news/health-body-scraps-graded-exercise-therapy-recommendation-for-mecfs-355265)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L4-L65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Toutes les fenêtres &lt;details&gt; (33 balises &lt;summary&gt;)</w:t>
            </w:r>
          </w:p>
        </w:tc>
        <w:tc>
          <w:tcPr>
            <w:tcW w:w="2600" w:type="dxa"/>
            <w:vAlign w:val="top"/>
          </w:tcPr>
          <w:p>
            <w:pPr>
              <w:spacing w:after="0"/>
            </w:pPr>
            <w:r>
              <w:rPr>
                <w:i/>
                <w:sz w:val="17"/>
                <w:szCs w:val="17"/>
              </w:rPr>
              <w:t xml:space="preserve">« Consulter la hiérarchie des examens Gold standard / référence : le test confirme une question précise Aucun test unique ne détermine la cause d'une fatigue. »</w:t>
            </w:r>
          </w:p>
        </w:tc>
        <w:tc>
          <w:tcPr>
            <w:tcW w:w="3000" w:type="dxa"/>
            <w:vAlign w:val="top"/>
          </w:tcPr>
          <w:p>
            <w:pPr>
              <w:spacing w:after="40"/>
            </w:pPr>
            <w:r>
              <w:rPr>
                <w:sz w:val="17"/>
                <w:szCs w:val="17"/>
              </w:rPr>
              <w:t xml:space="preserve">Chaque &lt;summary&gt; porte un attribut title= utilisé comme infobulle, ce que le prompt interdit (illisible au toucher).</w:t>
            </w:r>
          </w:p>
          <w:p>
            <w:pPr>
              <w:spacing w:after="0"/>
            </w:pPr>
            <w:r>
              <w:rPr>
                <w:b/>
                <w:color w:val="145A32"/>
                <w:sz w:val="17"/>
                <w:szCs w:val="17"/>
              </w:rPr>
              <w:t xml:space="preserve">→ Supprimer les 33 attributs title= des balises &lt;summary&gt; et placer l'explication dans le corps de la fenêtre.</w:t>
            </w:r>
          </w:p>
        </w:tc>
        <w:tc>
          <w:tcPr>
            <w:tcW w:w="1800" w:type="dxa"/>
            <w:vAlign w:val="top"/>
          </w:tcPr>
          <w:p>
            <w:pPr>
              <w:spacing w:after="0"/>
            </w:pPr>
            <w:r>
              <w:rPr>
                <w:sz w:val="17"/>
                <w:szCs w:val="17"/>
              </w:rPr>
              <w:t xml:space="preserve">PROMPT_V6.md (prompt de base), § 9 (règles techniques) et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L4-L66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Toutes les monographies › points 1 à 14</w:t>
            </w:r>
          </w:p>
        </w:tc>
        <w:tc>
          <w:tcPr>
            <w:tcW w:w="2600" w:type="dxa"/>
            <w:vAlign w:val="top"/>
          </w:tcPr>
          <w:p>
            <w:pPr>
              <w:spacing w:after="0"/>
            </w:pPr>
            <w:r>
              <w:rPr>
                <w:i/>
                <w:sz w:val="17"/>
                <w:szCs w:val="17"/>
              </w:rPr>
              <w:t xml:space="preserve">« 8. Critères L'anémie ferriprive associe une hémoglobine basse selon le contexte »</w:t>
            </w:r>
          </w:p>
        </w:tc>
        <w:tc>
          <w:tcPr>
            <w:tcW w:w="3000" w:type="dxa"/>
            <w:vAlign w:val="top"/>
          </w:tcPr>
          <w:p>
            <w:pPr>
              <w:spacing w:after="40"/>
            </w:pPr>
            <w:r>
              <w:rPr>
                <w:sz w:val="17"/>
                <w:szCs w:val="17"/>
              </w:rPr>
              <w:t xml:space="preserve">Le V6 ne contient aucun tableau, aucune valeur chiffrée ni aucun seuil suisse : il emploie des termes vagues (« hémoglobine basse », « TSH élevée ») que le prompt interdit.</w:t>
            </w:r>
          </w:p>
          <w:p>
            <w:pPr>
              <w:spacing w:after="0"/>
            </w:pPr>
            <w:r>
              <w:rPr>
                <w:b/>
                <w:color w:val="145A32"/>
                <w:sz w:val="17"/>
                <w:szCs w:val="17"/>
              </w:rPr>
              <w:t xml:space="preserve">→ Rétablir pour chaque examen le tableau d'interprétation (normal SI | seuil | signification | conduite), par exemple « Hb &lt; 120 g/L (femme) ou &lt; 130 g/L (homme) [Sn] ».</w:t>
            </w:r>
          </w:p>
        </w:tc>
        <w:tc>
          <w:tcPr>
            <w:tcW w:w="1800" w:type="dxa"/>
            <w:vAlign w:val="top"/>
          </w:tcPr>
          <w:p>
            <w:pPr>
              <w:spacing w:after="0"/>
            </w:pPr>
            <w:r>
              <w:rPr>
                <w:sz w:val="17"/>
                <w:szCs w:val="17"/>
              </w:rPr>
              <w:t xml:space="preserve">PROMPT_V6.md (prompt de base), § 5.9, § 6.7 et §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L4-L67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D4.1 à D4.10 › point 11.B</w:t>
            </w:r>
          </w:p>
        </w:tc>
        <w:tc>
          <w:tcPr>
            <w:tcW w:w="2600" w:type="dxa"/>
            <w:vAlign w:val="top"/>
          </w:tcPr>
          <w:p>
            <w:pPr>
              <w:spacing w:after="0"/>
            </w:pPr>
            <w:r>
              <w:rPr>
                <w:i/>
                <w:sz w:val="17"/>
                <w:szCs w:val="17"/>
              </w:rPr>
              <w:t xml:space="preserve">« 11.B. Moyens Le fer oral convient à de nombreuses situations »</w:t>
            </w:r>
          </w:p>
        </w:tc>
        <w:tc>
          <w:tcPr>
            <w:tcW w:w="3000" w:type="dxa"/>
            <w:vAlign w:val="top"/>
          </w:tcPr>
          <w:p>
            <w:pPr>
              <w:spacing w:after="40"/>
            </w:pPr>
            <w:r>
              <w:rPr>
                <w:sz w:val="17"/>
                <w:szCs w:val="17"/>
              </w:rPr>
              <w:t xml:space="preserve">Les rubriques 11.B ne donnent ni DCI détaillée, ni spécialité suisse ®, ni dose, ni durée, ni contre-indication : les items ①–⑥ manquent dans les 10 monographies.</w:t>
            </w:r>
          </w:p>
          <w:p>
            <w:pPr>
              <w:spacing w:after="0"/>
            </w:pPr>
            <w:r>
              <w:rPr>
                <w:b/>
                <w:color w:val="145A32"/>
                <w:sz w:val="17"/>
                <w:szCs w:val="17"/>
              </w:rPr>
              <w:t xml:space="preserve">→ Rédiger pour chaque traitement ① classe, ② DCI avec fenêtre de mécanisme, ③ spécialité suisse vérifiée dans AIPS, ④ dose/voie/rythme/adaptation, ⑤ durée, ⑥ contre-indications.</w:t>
            </w:r>
          </w:p>
        </w:tc>
        <w:tc>
          <w:tcPr>
            <w:tcW w:w="1800" w:type="dxa"/>
            <w:vAlign w:val="top"/>
          </w:tcPr>
          <w:p>
            <w:pPr>
              <w:spacing w:after="0"/>
            </w:pPr>
            <w:r>
              <w:rPr>
                <w:sz w:val="17"/>
                <w:szCs w:val="17"/>
              </w:rPr>
              <w:t xml:space="preserve">PROMPT_V6.md (prompt de base), § 5.11.B et § 3.3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L4-L68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D4.10 › point 11.B</w:t>
            </w:r>
          </w:p>
        </w:tc>
        <w:tc>
          <w:tcPr>
            <w:tcW w:w="2600" w:type="dxa"/>
            <w:vAlign w:val="top"/>
          </w:tcPr>
          <w:p>
            <w:pPr>
              <w:spacing w:after="0"/>
            </w:pPr>
            <w:r>
              <w:rPr>
                <w:i/>
                <w:sz w:val="17"/>
                <w:szCs w:val="17"/>
              </w:rPr>
              <w:t xml:space="preserve">« 11.B. Moyens La crise nécessite une hydrocortisone parentérale urgente »</w:t>
            </w:r>
          </w:p>
        </w:tc>
        <w:tc>
          <w:tcPr>
            <w:tcW w:w="3000" w:type="dxa"/>
            <w:vAlign w:val="top"/>
          </w:tcPr>
          <w:p>
            <w:pPr>
              <w:spacing w:after="40"/>
            </w:pPr>
            <w:r>
              <w:rPr>
                <w:sz w:val="17"/>
                <w:szCs w:val="17"/>
              </w:rPr>
              <w:t xml:space="preserve">La conduite de la crise surrénalienne ne donne aucune dose, ce qui rend la consigne inutilisable en urgence.</w:t>
            </w:r>
          </w:p>
          <w:p>
            <w:pPr>
              <w:spacing w:after="0"/>
            </w:pPr>
            <w:r>
              <w:rPr>
                <w:b/>
                <w:color w:val="145A32"/>
                <w:sz w:val="17"/>
                <w:szCs w:val="17"/>
              </w:rPr>
              <w:t xml:space="preserve">→ Écrire : « Le médecin injecte 100 mg d'hydrocortisone IV en bolus, puis 200 mg sur 24 h, et perfuse du NaCl 0,9 %. »</w:t>
            </w:r>
          </w:p>
        </w:tc>
        <w:tc>
          <w:tcPr>
            <w:tcW w:w="1800" w:type="dxa"/>
            <w:vAlign w:val="top"/>
          </w:tcPr>
          <w:p>
            <w:pPr>
              <w:spacing w:after="0"/>
            </w:pPr>
            <w:r>
              <w:rPr>
                <w:sz w:val="17"/>
                <w:szCs w:val="17"/>
              </w:rPr>
              <w:t xml:space="preserve">Deutsche Gesellschaft für Endokrinologie, « Adrenal crisis », https://www.endokrinologie.net/en/adrenalcrisis.php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L4-L69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D4.8 › points 1, 2, 5, 11.C et 11.D (contenu transposé d'un SSP « fièvre »)</w:t>
            </w:r>
          </w:p>
        </w:tc>
        <w:tc>
          <w:tcPr>
            <w:tcW w:w="2600" w:type="dxa"/>
            <w:vAlign w:val="top"/>
          </w:tcPr>
          <w:p>
            <w:pPr>
              <w:spacing w:after="0"/>
            </w:pPr>
            <w:r>
              <w:rPr>
                <w:i/>
                <w:sz w:val="17"/>
                <w:szCs w:val="17"/>
              </w:rPr>
              <w:t xml:space="preserve">« Ces symptômes ne sont pas spécifiques d'un cancer et ne prouvent pas une fièvre tumorale. »</w:t>
            </w:r>
          </w:p>
        </w:tc>
        <w:tc>
          <w:tcPr>
            <w:tcW w:w="3000" w:type="dxa"/>
            <w:vAlign w:val="top"/>
          </w:tcPr>
          <w:p>
            <w:pPr>
              <w:spacing w:after="40"/>
            </w:pPr>
            <w:r>
              <w:rPr>
                <w:sz w:val="17"/>
                <w:szCs w:val="17"/>
              </w:rPr>
              <w:t xml:space="preserve">La monographie « Néoplasie occulte » traite de fièvre, de neutropénie fébrile et de surveillance des neutrophiles, contenu recopié d'un autre SSP qui n'explique pas la fatigue.</w:t>
            </w:r>
          </w:p>
          <w:p>
            <w:pPr>
              <w:spacing w:after="0"/>
            </w:pPr>
            <w:r>
              <w:rPr>
                <w:b/>
                <w:color w:val="145A32"/>
                <w:sz w:val="17"/>
                <w:szCs w:val="17"/>
              </w:rPr>
              <w:t xml:space="preserve">→ Réécrire D4.8 autour de la fatigue liée au cancer : drapeaux rouges (amaigrissement &gt; 10 % en 6 mois, anémie après 50 ans), examens d'orientation et preuve histologique.</w:t>
            </w:r>
          </w:p>
        </w:tc>
        <w:tc>
          <w:tcPr>
            <w:tcW w:w="1800" w:type="dxa"/>
            <w:vAlign w:val="top"/>
          </w:tcPr>
          <w:p>
            <w:pPr>
              <w:spacing w:after="0"/>
            </w:pPr>
            <w:r>
              <w:rPr>
                <w:sz w:val="17"/>
                <w:szCs w:val="17"/>
              </w:rPr>
              <w:t xml:space="preserve">PROMPT_V6.md (prompt de base), § 5 et § 5 bis (plaquage interdit)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L4-L74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Toutes les monographies › fenêtre « Consulter les références et leur portée »</w:t>
            </w:r>
          </w:p>
        </w:tc>
        <w:tc>
          <w:tcPr>
            <w:tcW w:w="2600" w:type="dxa"/>
            <w:vAlign w:val="top"/>
          </w:tcPr>
          <w:p>
            <w:pPr>
              <w:spacing w:after="0"/>
            </w:pPr>
            <w:r>
              <w:rPr>
                <w:i/>
                <w:sz w:val="17"/>
                <w:szCs w:val="17"/>
              </w:rPr>
              <w:t xml:space="preserve">« Document Drive de départ KDIGO — MRC, 2024 Le document Drive fournit le périmètre »</w:t>
            </w:r>
          </w:p>
        </w:tc>
        <w:tc>
          <w:tcPr>
            <w:tcW w:w="3000" w:type="dxa"/>
            <w:vAlign w:val="top"/>
          </w:tcPr>
          <w:p>
            <w:pPr>
              <w:spacing w:after="40"/>
            </w:pPr>
            <w:r>
              <w:rPr>
                <w:sz w:val="17"/>
                <w:szCs w:val="17"/>
              </w:rPr>
              <w:t xml:space="preserve">Les sources ne sont ni numérotées [S1]…[Sn], ni datées, ni consultées à une date indiquée, et la mention « Contenu produit par IA… non validé cliniquement » est absente.</w:t>
            </w:r>
          </w:p>
          <w:p>
            <w:pPr>
              <w:spacing w:after="0"/>
            </w:pPr>
            <w:r>
              <w:rPr>
                <w:b/>
                <w:color w:val="145A32"/>
                <w:sz w:val="17"/>
                <w:szCs w:val="17"/>
              </w:rPr>
              <w:t xml:space="preserve">→ Ajouter en fin de fichier la section Sources numérotée (titre, organisme, année, URL, date de consultation), les appels [Sn] dans le texte, puis la mention de non-validation.</w:t>
            </w:r>
          </w:p>
        </w:tc>
        <w:tc>
          <w:tcPr>
            <w:tcW w:w="1800" w:type="dxa"/>
            <w:vAlign w:val="top"/>
          </w:tcPr>
          <w:p>
            <w:pPr>
              <w:spacing w:after="0"/>
            </w:pPr>
            <w:r>
              <w:rPr>
                <w:sz w:val="17"/>
                <w:szCs w:val="17"/>
              </w:rPr>
              <w:t xml:space="preserve">PROMPT_V6.md (prompt de base), § 3.8 et § 16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L4-L75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SSP G4 › point 7 (même défaut dans les 11 monographies)</w:t>
            </w:r>
          </w:p>
        </w:tc>
        <w:tc>
          <w:tcPr>
            <w:tcW w:w="2600" w:type="dxa"/>
            <w:vAlign w:val="top"/>
          </w:tcPr>
          <w:p>
            <w:pPr>
              <w:spacing w:after="0"/>
            </w:pPr>
            <w:r>
              <w:rPr>
                <w:i/>
                <w:sz w:val="17"/>
                <w:szCs w:val="17"/>
              </w:rPr>
              <w:t xml:space="preserve">« 7.1. Le tableau oriente le mécanisme Une pâleur avec dyspnée évoque une anémie. »</w:t>
            </w:r>
          </w:p>
        </w:tc>
        <w:tc>
          <w:tcPr>
            <w:tcW w:w="3000" w:type="dxa"/>
            <w:vAlign w:val="top"/>
          </w:tcPr>
          <w:p>
            <w:pPr>
              <w:spacing w:after="40"/>
            </w:pPr>
            <w:r>
              <w:rPr>
                <w:sz w:val="17"/>
                <w:szCs w:val="17"/>
              </w:rPr>
              <w:t xml:space="preserve">Les sous-points 7.1 et 7.2 ne nomment aucun syndrome et ne relient aucun signe à son mécanisme ; aucune fenêtre n'accompagne les termes sémiologiques.</w:t>
            </w:r>
          </w:p>
          <w:p>
            <w:pPr>
              <w:spacing w:after="0"/>
            </w:pPr>
            <w:r>
              <w:rPr>
                <w:b/>
                <w:color w:val="145A32"/>
                <w:sz w:val="17"/>
                <w:szCs w:val="17"/>
              </w:rPr>
              <w:t xml:space="preserve">→ Titrer « 7.1 Syndrome anémique », « 7.2 Syndrome dépressif »… et ouvrir sur chaque titre une fenêtre qui relie chaque signe à son mécanisme.</w:t>
            </w:r>
          </w:p>
        </w:tc>
        <w:tc>
          <w:tcPr>
            <w:tcW w:w="1800" w:type="dxa"/>
            <w:vAlign w:val="top"/>
          </w:tcPr>
          <w:p>
            <w:pPr>
              <w:spacing w:after="0"/>
            </w:pPr>
            <w:r>
              <w:rPr>
                <w:sz w:val="17"/>
                <w:szCs w:val="17"/>
              </w:rPr>
              <w:t xml:space="preserve">PROMPT_V6.md (prompt de base), § 5.7 et §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L4-M01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En-tête du document (Appel A)</w:t>
            </w:r>
          </w:p>
        </w:tc>
        <w:tc>
          <w:tcPr>
            <w:tcW w:w="2600" w:type="dxa"/>
            <w:vAlign w:val="top"/>
          </w:tcPr>
          <w:p>
            <w:pPr>
              <w:spacing w:after="0"/>
            </w:pPr>
            <w:r>
              <w:rPr>
                <w:i/>
                <w:sz w:val="17"/>
                <w:szCs w:val="17"/>
              </w:rPr>
              <w:t xml:space="preserve">« Appel A — Plan Monographique &amp; Liste Différentielle (Audit Argon V5) »</w:t>
            </w:r>
          </w:p>
        </w:tc>
        <w:tc>
          <w:tcPr>
            <w:tcW w:w="3000" w:type="dxa"/>
            <w:vAlign w:val="top"/>
          </w:tcPr>
          <w:p>
            <w:pPr>
              <w:spacing w:after="40"/>
            </w:pPr>
            <w:r>
              <w:rPr>
                <w:sz w:val="17"/>
                <w:szCs w:val="17"/>
              </w:rPr>
              <w:t xml:space="preserve">Le fichier Appel A existe seulement comme Google Docs converti, sans DOCTYPE, sans fenêtres &lt;details&gt; ni balise FIN_FICHIER, ce qui viole la règle bloquante de format.</w:t>
            </w:r>
          </w:p>
          <w:p>
            <w:pPr>
              <w:spacing w:after="0"/>
            </w:pPr>
            <w:r>
              <w:rPr>
                <w:b/>
                <w:color w:val="145A32"/>
                <w:sz w:val="17"/>
                <w:szCs w:val="17"/>
              </w:rPr>
              <w:t xml:space="preserve">→ Régénérer Appel A en HTML5 autonome (gabarit V6, fenêtres &lt;details&gt;, tableaux enveloppés, balise &lt;!-- FIN_FICHIER LOT_4_... --&gt;), le déposer en text/html sans conversion, puis déplacer le Google Doc dans CORBEILLE_DOUBLONS_OBSOLETES avec le suffixe _OBSOLETE_.</w:t>
            </w:r>
          </w:p>
        </w:tc>
        <w:tc>
          <w:tcPr>
            <w:tcW w:w="1800" w:type="dxa"/>
            <w:vAlign w:val="top"/>
          </w:tcPr>
          <w:p>
            <w:pPr>
              <w:spacing w:after="0"/>
            </w:pPr>
            <w:r>
              <w:rPr>
                <w:sz w:val="17"/>
                <w:szCs w:val="17"/>
              </w:rPr>
              <w:t xml:space="preserve">PROMPT_V6, règle 0 et section 9 (gabarit HTML5 canonique)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L4-M02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En-tête du document (Appel B Partie 1)</w:t>
            </w:r>
          </w:p>
        </w:tc>
        <w:tc>
          <w:tcPr>
            <w:tcW w:w="2600" w:type="dxa"/>
            <w:vAlign w:val="top"/>
          </w:tcPr>
          <w:p>
            <w:pPr>
              <w:spacing w:after="0"/>
            </w:pPr>
            <w:r>
              <w:rPr>
                <w:i/>
                <w:sz w:val="17"/>
                <w:szCs w:val="17"/>
              </w:rPr>
              <w:t xml:space="preserve">« Appel B - Partie 1/4 — Audit Médical &amp; Bio-Mathématique Ultra-Pédagogique V5 »</w:t>
            </w:r>
          </w:p>
        </w:tc>
        <w:tc>
          <w:tcPr>
            <w:tcW w:w="3000" w:type="dxa"/>
            <w:vAlign w:val="top"/>
          </w:tcPr>
          <w:p>
            <w:pPr>
              <w:spacing w:after="40"/>
            </w:pPr>
            <w:r>
              <w:rPr>
                <w:sz w:val="17"/>
                <w:szCs w:val="17"/>
              </w:rPr>
              <w:t xml:space="preserve">Le fichier Appel B Partie 1 existe seulement comme Google Docs converti, sans DOCTYPE, sans fenêtres &lt;details&gt; ni balise FIN_FICHIER, ce qui viole la règle bloquante de format.</w:t>
            </w:r>
          </w:p>
          <w:p>
            <w:pPr>
              <w:spacing w:after="0"/>
            </w:pPr>
            <w:r>
              <w:rPr>
                <w:b/>
                <w:color w:val="145A32"/>
                <w:sz w:val="17"/>
                <w:szCs w:val="17"/>
              </w:rPr>
              <w:t xml:space="preserve">→ Régénérer Appel B Partie 1 en HTML5 autonome (gabarit V6, fenêtres &lt;details&gt;, tableaux enveloppés, balise &lt;!-- FIN_FICHIER LOT_4_... --&gt;), le déposer en text/html sans conversion, puis déplacer le Google Doc dans CORBEILLE_DOUBLONS_OBSOLETES avec le suffixe _OBSOLETE_.</w:t>
            </w:r>
          </w:p>
        </w:tc>
        <w:tc>
          <w:tcPr>
            <w:tcW w:w="1800" w:type="dxa"/>
            <w:vAlign w:val="top"/>
          </w:tcPr>
          <w:p>
            <w:pPr>
              <w:spacing w:after="0"/>
            </w:pPr>
            <w:r>
              <w:rPr>
                <w:sz w:val="17"/>
                <w:szCs w:val="17"/>
              </w:rPr>
              <w:t xml:space="preserve">PROMPT_V6, règle 0 et section 9 (gabarit HTML5 canonique)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L4-M03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En-tête du document (Appel B Partie 2)</w:t>
            </w:r>
          </w:p>
        </w:tc>
        <w:tc>
          <w:tcPr>
            <w:tcW w:w="2600" w:type="dxa"/>
            <w:vAlign w:val="top"/>
          </w:tcPr>
          <w:p>
            <w:pPr>
              <w:spacing w:after="0"/>
            </w:pPr>
            <w:r>
              <w:rPr>
                <w:i/>
                <w:sz w:val="17"/>
                <w:szCs w:val="17"/>
              </w:rPr>
              <w:t xml:space="preserve">« Appel B - Partie 2/4 — Audit Médical &amp; Bio-Mathématique Ultra-Pédagogique V5 »</w:t>
            </w:r>
          </w:p>
        </w:tc>
        <w:tc>
          <w:tcPr>
            <w:tcW w:w="3000" w:type="dxa"/>
            <w:vAlign w:val="top"/>
          </w:tcPr>
          <w:p>
            <w:pPr>
              <w:spacing w:after="40"/>
            </w:pPr>
            <w:r>
              <w:rPr>
                <w:sz w:val="17"/>
                <w:szCs w:val="17"/>
              </w:rPr>
              <w:t xml:space="preserve">Le fichier Appel B Partie 2 existe seulement comme Google Docs converti, sans DOCTYPE, sans fenêtres &lt;details&gt; ni balise FIN_FICHIER, ce qui viole la règle bloquante de format.</w:t>
            </w:r>
          </w:p>
          <w:p>
            <w:pPr>
              <w:spacing w:after="0"/>
            </w:pPr>
            <w:r>
              <w:rPr>
                <w:b/>
                <w:color w:val="145A32"/>
                <w:sz w:val="17"/>
                <w:szCs w:val="17"/>
              </w:rPr>
              <w:t xml:space="preserve">→ Régénérer Appel B Partie 2 en HTML5 autonome (gabarit V6, fenêtres &lt;details&gt;, tableaux enveloppés, balise &lt;!-- FIN_FICHIER LOT_4_... --&gt;), le déposer en text/html sans conversion, puis déplacer le Google Doc dans CORBEILLE_DOUBLONS_OBSOLETES avec le suffixe _OBSOLETE_.</w:t>
            </w:r>
          </w:p>
        </w:tc>
        <w:tc>
          <w:tcPr>
            <w:tcW w:w="1800" w:type="dxa"/>
            <w:vAlign w:val="top"/>
          </w:tcPr>
          <w:p>
            <w:pPr>
              <w:spacing w:after="0"/>
            </w:pPr>
            <w:r>
              <w:rPr>
                <w:sz w:val="17"/>
                <w:szCs w:val="17"/>
              </w:rPr>
              <w:t xml:space="preserve">PROMPT_V6, règle 0 et section 9 (gabarit HTML5 canonique)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L4-M04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En-tête du document (Appel B Partie 3)</w:t>
            </w:r>
          </w:p>
        </w:tc>
        <w:tc>
          <w:tcPr>
            <w:tcW w:w="2600" w:type="dxa"/>
            <w:vAlign w:val="top"/>
          </w:tcPr>
          <w:p>
            <w:pPr>
              <w:spacing w:after="0"/>
            </w:pPr>
            <w:r>
              <w:rPr>
                <w:i/>
                <w:sz w:val="17"/>
                <w:szCs w:val="17"/>
              </w:rPr>
              <w:t xml:space="preserve">« Appel B - Partie 3/4 — Audit Médical &amp; Bio-Mathématique Ultra-Pédagogique V5 »</w:t>
            </w:r>
          </w:p>
        </w:tc>
        <w:tc>
          <w:tcPr>
            <w:tcW w:w="3000" w:type="dxa"/>
            <w:vAlign w:val="top"/>
          </w:tcPr>
          <w:p>
            <w:pPr>
              <w:spacing w:after="40"/>
            </w:pPr>
            <w:r>
              <w:rPr>
                <w:sz w:val="17"/>
                <w:szCs w:val="17"/>
              </w:rPr>
              <w:t xml:space="preserve">Le fichier Appel B Partie 3 existe seulement comme Google Docs converti, sans DOCTYPE, sans fenêtres &lt;details&gt; ni balise FIN_FICHIER, ce qui viole la règle bloquante de format.</w:t>
            </w:r>
          </w:p>
          <w:p>
            <w:pPr>
              <w:spacing w:after="0"/>
            </w:pPr>
            <w:r>
              <w:rPr>
                <w:b/>
                <w:color w:val="145A32"/>
                <w:sz w:val="17"/>
                <w:szCs w:val="17"/>
              </w:rPr>
              <w:t xml:space="preserve">→ Régénérer Appel B Partie 3 en HTML5 autonome (gabarit V6, fenêtres &lt;details&gt;, tableaux enveloppés, balise &lt;!-- FIN_FICHIER LOT_4_... --&gt;), le déposer en text/html sans conversion, puis déplacer le Google Doc dans CORBEILLE_DOUBLONS_OBSOLETES avec le suffixe _OBSOLETE_.</w:t>
            </w:r>
          </w:p>
        </w:tc>
        <w:tc>
          <w:tcPr>
            <w:tcW w:w="1800" w:type="dxa"/>
            <w:vAlign w:val="top"/>
          </w:tcPr>
          <w:p>
            <w:pPr>
              <w:spacing w:after="0"/>
            </w:pPr>
            <w:r>
              <w:rPr>
                <w:sz w:val="17"/>
                <w:szCs w:val="17"/>
              </w:rPr>
              <w:t xml:space="preserve">PROMPT_V6, règle 0 et section 9 (gabarit HTML5 canonique)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L4-M05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En-tête du document (Appel B Partie 4)</w:t>
            </w:r>
          </w:p>
        </w:tc>
        <w:tc>
          <w:tcPr>
            <w:tcW w:w="2600" w:type="dxa"/>
            <w:vAlign w:val="top"/>
          </w:tcPr>
          <w:p>
            <w:pPr>
              <w:spacing w:after="0"/>
            </w:pPr>
            <w:r>
              <w:rPr>
                <w:i/>
                <w:sz w:val="17"/>
                <w:szCs w:val="17"/>
              </w:rPr>
              <w:t xml:space="preserve">« Appel B - Partie 4/4 — Audit Médical &amp; Bio-Mathématique Ultra-Pédagogique V5 »</w:t>
            </w:r>
          </w:p>
        </w:tc>
        <w:tc>
          <w:tcPr>
            <w:tcW w:w="3000" w:type="dxa"/>
            <w:vAlign w:val="top"/>
          </w:tcPr>
          <w:p>
            <w:pPr>
              <w:spacing w:after="40"/>
            </w:pPr>
            <w:r>
              <w:rPr>
                <w:sz w:val="17"/>
                <w:szCs w:val="17"/>
              </w:rPr>
              <w:t xml:space="preserve">Le fichier Appel B Partie 4 existe seulement comme Google Docs converti, sans DOCTYPE, sans fenêtres &lt;details&gt; ni balise FIN_FICHIER, ce qui viole la règle bloquante de format.</w:t>
            </w:r>
          </w:p>
          <w:p>
            <w:pPr>
              <w:spacing w:after="0"/>
            </w:pPr>
            <w:r>
              <w:rPr>
                <w:b/>
                <w:color w:val="145A32"/>
                <w:sz w:val="17"/>
                <w:szCs w:val="17"/>
              </w:rPr>
              <w:t xml:space="preserve">→ Régénérer Appel B Partie 4 en HTML5 autonome (gabarit V6, fenêtres &lt;details&gt;, tableaux enveloppés, balise &lt;!-- FIN_FICHIER LOT_4_... --&gt;), le déposer en text/html sans conversion, puis déplacer le Google Doc dans CORBEILLE_DOUBLONS_OBSOLETES avec le suffixe _OBSOLETE_.</w:t>
            </w:r>
          </w:p>
        </w:tc>
        <w:tc>
          <w:tcPr>
            <w:tcW w:w="1800" w:type="dxa"/>
            <w:vAlign w:val="top"/>
          </w:tcPr>
          <w:p>
            <w:pPr>
              <w:spacing w:after="0"/>
            </w:pPr>
            <w:r>
              <w:rPr>
                <w:sz w:val="17"/>
                <w:szCs w:val="17"/>
              </w:rPr>
              <w:t xml:space="preserve">PROMPT_V6, règle 0 et section 9 (gabarit HTML5 canonique)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L4-M06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Introduction › paragraphe d'ouverture</w:t>
            </w:r>
          </w:p>
        </w:tc>
        <w:tc>
          <w:tcPr>
            <w:tcW w:w="2600" w:type="dxa"/>
            <w:vAlign w:val="top"/>
          </w:tcPr>
          <w:p>
            <w:pPr>
              <w:spacing w:after="0"/>
            </w:pPr>
            <w:r>
              <w:rPr>
                <w:i/>
                <w:sz w:val="17"/>
                <w:szCs w:val="17"/>
              </w:rPr>
              <w:t xml:space="preserve">« Cette édition réunit le SSP principal et les dix diagnostics du plan initial. »</w:t>
            </w:r>
          </w:p>
        </w:tc>
        <w:tc>
          <w:tcPr>
            <w:tcW w:w="3000" w:type="dxa"/>
            <w:vAlign w:val="top"/>
          </w:tcPr>
          <w:p>
            <w:pPr>
              <w:spacing w:after="40"/>
            </w:pPr>
            <w:r>
              <w:rPr>
                <w:sz w:val="17"/>
                <w:szCs w:val="17"/>
              </w:rPr>
              <w:t xml:space="preserve">Le fichier nommé « Partie_1_Integral » réunit le SSP et les dix DX en un seul document, ce qui rompt la cadence 2-3-2-3, crée un doublon concurrent des Parties V5 et ne respecte pas la nomenclature des cinq fichiers.</w:t>
            </w:r>
          </w:p>
          <w:p>
            <w:pPr>
              <w:spacing w:after="0"/>
            </w:pPr>
            <w:r>
              <w:rPr>
                <w:b/>
                <w:color w:val="145A32"/>
                <w:sz w:val="17"/>
                <w:szCs w:val="17"/>
              </w:rPr>
              <w:t xml:space="preserve">→ Scinder le contenu en cinq fichiers aux noms canoniques (Appel A, Parties 1 à 4) et retirer le doublon selon la procédure CORBEILLE_DOUBLONS_OBSOLETES.</w:t>
            </w:r>
          </w:p>
        </w:tc>
        <w:tc>
          <w:tcPr>
            <w:tcW w:w="1800" w:type="dxa"/>
            <w:vAlign w:val="top"/>
          </w:tcPr>
          <w:p>
            <w:pPr>
              <w:spacing w:after="0"/>
            </w:pPr>
            <w:r>
              <w:rPr>
                <w:sz w:val="17"/>
                <w:szCs w:val="17"/>
              </w:rPr>
              <w:t xml:space="preserve">PROMPT_V6, sections 4 et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L4-M07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Bloc 1 › point 2 (et ensemble des 5 fichiers V5 : 5 occurrences)</w:t>
            </w:r>
          </w:p>
        </w:tc>
        <w:tc>
          <w:tcPr>
            <w:tcW w:w="2600" w:type="dxa"/>
            <w:vAlign w:val="top"/>
          </w:tcPr>
          <w:p>
            <w:pPr>
              <w:spacing w:after="0"/>
            </w:pPr>
            <w:r>
              <w:rPr>
                <w:i/>
                <w:sz w:val="17"/>
                <w:szCs w:val="17"/>
              </w:rPr>
              <w:t xml:space="preserve">« dans seulement 30 % à 40 % des cas (Revue Médicale Suisse) »</w:t>
            </w:r>
          </w:p>
        </w:tc>
        <w:tc>
          <w:tcPr>
            <w:tcW w:w="3000" w:type="dxa"/>
            <w:vAlign w:val="top"/>
          </w:tcPr>
          <w:p>
            <w:pPr>
              <w:spacing w:after="40"/>
            </w:pPr>
            <w:r>
              <w:rPr>
                <w:sz w:val="17"/>
                <w:szCs w:val="17"/>
              </w:rPr>
              <w:t xml:space="preserve">Les cinq fichiers V5 citent des organismes sans titre, année ni URL et ne comportent ni section Sources numérotée [S1]…[Sn] ni mention de non-validation clinique ; aucune affirmation n'est traçable.</w:t>
            </w:r>
          </w:p>
          <w:p>
            <w:pPr>
              <w:spacing w:after="0"/>
            </w:pPr>
            <w:r>
              <w:rPr>
                <w:b/>
                <w:color w:val="145A32"/>
                <w:sz w:val="17"/>
                <w:szCs w:val="17"/>
              </w:rPr>
              <w:t xml:space="preserve">→ Ajouter à la fin de chaque fichier une section Sources numérotée (titre, organisme, année, URL, date de consultation), relier chaque chiffre à son [Sn], puis ajouter « Contenu produit par IA à partir des sources citées ; non validé cliniquement par un médecin. »</w:t>
            </w:r>
          </w:p>
        </w:tc>
        <w:tc>
          <w:tcPr>
            <w:tcW w:w="1800" w:type="dxa"/>
            <w:vAlign w:val="top"/>
          </w:tcPr>
          <w:p>
            <w:pPr>
              <w:spacing w:after="0"/>
            </w:pPr>
            <w:r>
              <w:rPr>
                <w:sz w:val="17"/>
                <w:szCs w:val="17"/>
              </w:rPr>
              <w:t xml:space="preserve">PROMPT_V6, section 3, points 1 et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L4-M08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D4.10 › Consulter les références et leur portée</w:t>
            </w:r>
          </w:p>
        </w:tc>
        <w:tc>
          <w:tcPr>
            <w:tcW w:w="2600" w:type="dxa"/>
            <w:vAlign w:val="top"/>
          </w:tcPr>
          <w:p>
            <w:pPr>
              <w:spacing w:after="0"/>
            </w:pPr>
            <w:r>
              <w:rPr>
                <w:i/>
                <w:sz w:val="17"/>
                <w:szCs w:val="17"/>
              </w:rPr>
              <w:t xml:space="preserve">« Endocrine Society — Insuffisance surrénalienne primaire »</w:t>
            </w:r>
          </w:p>
        </w:tc>
        <w:tc>
          <w:tcPr>
            <w:tcW w:w="3000" w:type="dxa"/>
            <w:vAlign w:val="top"/>
          </w:tcPr>
          <w:p>
            <w:pPr>
              <w:spacing w:after="40"/>
            </w:pPr>
            <w:r>
              <w:rPr>
                <w:sz w:val="17"/>
                <w:szCs w:val="17"/>
              </w:rPr>
              <w:t xml:space="preserve">Le V6 ne numérote pas ses sources, ne date aucune consultation, omet la mention de non-validation et s'appuie pour l'Addison sur une recommandation américaine (Endocrine Society).</w:t>
            </w:r>
          </w:p>
          <w:p>
            <w:pPr>
              <w:spacing w:after="0"/>
            </w:pPr>
            <w:r>
              <w:rPr>
                <w:b/>
                <w:color w:val="145A32"/>
                <w:sz w:val="17"/>
                <w:szCs w:val="17"/>
              </w:rPr>
              <w:t xml:space="preserve">→ Remplacer la référence par Husebye ES et al., « Consensus statement on the diagnosis, treatment and follow-up of patients with primary adrenal insufficiency », J Intern Med 2014;275:104-115 (consensus européen), numéroter toutes les sources [Sn] avec date de consultation et ajouter la mention de non-validation.</w:t>
            </w:r>
          </w:p>
        </w:tc>
        <w:tc>
          <w:tcPr>
            <w:tcW w:w="1800" w:type="dxa"/>
            <w:vAlign w:val="top"/>
          </w:tcPr>
          <w:p>
            <w:pPr>
              <w:spacing w:after="0"/>
            </w:pPr>
            <w:r>
              <w:rPr>
                <w:sz w:val="17"/>
                <w:szCs w:val="17"/>
              </w:rPr>
              <w:t xml:space="preserve">PROMPT_V6, section 3 ; Husebye ES et al., J Intern Med 2014;275:104-115, https://doi.org/10.1111/joim.12162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L4-M09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Bloc 2 › D4.1 à D4.10 › badges de fréquence (10 occurrences)</w:t>
            </w:r>
          </w:p>
        </w:tc>
        <w:tc>
          <w:tcPr>
            <w:tcW w:w="2600" w:type="dxa"/>
            <w:vAlign w:val="top"/>
          </w:tcPr>
          <w:p>
            <w:pPr>
              <w:spacing w:after="0"/>
            </w:pPr>
            <w:r>
              <w:rPr>
                <w:i/>
                <w:sz w:val="17"/>
                <w:szCs w:val="17"/>
              </w:rPr>
              <w:t xml:space="preserve">« D4.1 — Anémie ferriprive et Carences martiales 25 % »</w:t>
            </w:r>
          </w:p>
        </w:tc>
        <w:tc>
          <w:tcPr>
            <w:tcW w:w="3000" w:type="dxa"/>
            <w:vAlign w:val="top"/>
          </w:tcPr>
          <w:p>
            <w:pPr>
              <w:spacing w:after="40"/>
            </w:pPr>
            <w:r>
              <w:rPr>
                <w:sz w:val="17"/>
                <w:szCs w:val="17"/>
              </w:rPr>
              <w:t xml:space="preserve">Les dix pourcentages (25 %, 20 %… 0,5 %) ne proviennent d'aucune source lue et sont attribués à des organismes vagues ; leur somme ne repose sur aucune étude de population en soins primaires suisses.</w:t>
            </w:r>
          </w:p>
          <w:p>
            <w:pPr>
              <w:spacing w:after="0"/>
            </w:pPr>
            <w:r>
              <w:rPr>
                <w:b/>
                <w:color w:val="145A32"/>
                <w:sz w:val="17"/>
                <w:szCs w:val="17"/>
              </w:rPr>
              <w:t xml:space="preserve">→ Remplacer chaque badge par « Ne rang — fréquence non quantifiée (Suisse) » et annoncer le critère d'ordre (fréquence en soins primaires pondérée par la gravité), sauf chiffre réellement sourcé.</w:t>
            </w:r>
          </w:p>
        </w:tc>
        <w:tc>
          <w:tcPr>
            <w:tcW w:w="1800" w:type="dxa"/>
            <w:vAlign w:val="top"/>
          </w:tcPr>
          <w:p>
            <w:pPr>
              <w:spacing w:after="0"/>
            </w:pPr>
            <w:r>
              <w:rPr>
                <w:sz w:val="17"/>
                <w:szCs w:val="17"/>
              </w:rPr>
              <w:t xml:space="preserve">PROMPT_V6, section 8 ; Stadje R et al., « The differential diagnosis of tiredness: a systematic review », BMC Fam Pract 2016;17:147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L4-M10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Bloc 1 › point 8 « Diagnostic positif et critères »</w:t>
            </w:r>
          </w:p>
        </w:tc>
        <w:tc>
          <w:tcPr>
            <w:tcW w:w="2600" w:type="dxa"/>
            <w:vAlign w:val="top"/>
          </w:tcPr>
          <w:p>
            <w:pPr>
              <w:spacing w:after="0"/>
            </w:pPr>
            <w:r>
              <w:rPr>
                <w:i/>
                <w:sz w:val="17"/>
                <w:szCs w:val="17"/>
              </w:rPr>
              <w:t xml:space="preserve">« La plainte devient une Fatigue Chronique selon les critères de l' OMS si elle persiste au-delà de 6 mois »</w:t>
            </w:r>
          </w:p>
        </w:tc>
        <w:tc>
          <w:tcPr>
            <w:tcW w:w="3000" w:type="dxa"/>
            <w:vAlign w:val="top"/>
          </w:tcPr>
          <w:p>
            <w:pPr>
              <w:spacing w:after="40"/>
            </w:pPr>
            <w:r>
              <w:rPr>
                <w:sz w:val="17"/>
                <w:szCs w:val="17"/>
              </w:rPr>
              <w:t xml:space="preserve">L'OMS ne publie aucun critère de « fatigue chronique » à 6 mois ; le texte invente un référentiel et confond fatigue chronique et EM/SFC.</w:t>
            </w:r>
          </w:p>
          <w:p>
            <w:pPr>
              <w:spacing w:after="0"/>
            </w:pPr>
            <w:r>
              <w:rPr>
                <w:b/>
                <w:color w:val="145A32"/>
                <w:sz w:val="17"/>
                <w:szCs w:val="17"/>
              </w:rPr>
              <w:t xml:space="preserve">→ Écrire : « Une fatigue est dite chronique lorsqu'elle persiste plus de 6 mois. L'EM/SFC se diagnostique selon des critères positifs (malaise post-effort obligatoire) ; NICE NG206 retient une durée de 3 mois chez l'adulte. »</w:t>
            </w:r>
          </w:p>
        </w:tc>
        <w:tc>
          <w:tcPr>
            <w:tcW w:w="1800" w:type="dxa"/>
            <w:vAlign w:val="top"/>
          </w:tcPr>
          <w:p>
            <w:pPr>
              <w:spacing w:after="0"/>
            </w:pPr>
            <w:r>
              <w:rPr>
                <w:sz w:val="17"/>
                <w:szCs w:val="17"/>
              </w:rPr>
              <w:t xml:space="preserve">NICE NG206, Myalgic encephalomyelitis (or encephalopathy)/chronic fatigue syndrome, 2021, https://www.nice.org.uk/guidance/ng206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L4-M11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Bloc 1 › point 11.B › moyens non médicamenteux</w:t>
            </w:r>
          </w:p>
        </w:tc>
        <w:tc>
          <w:tcPr>
            <w:tcW w:w="2600" w:type="dxa"/>
            <w:vAlign w:val="top"/>
          </w:tcPr>
          <w:p>
            <w:pPr>
              <w:spacing w:after="0"/>
            </w:pPr>
            <w:r>
              <w:rPr>
                <w:i/>
                <w:sz w:val="17"/>
                <w:szCs w:val="17"/>
              </w:rPr>
              <w:t xml:space="preserve">« Programme d'activité physique graduée (Pacing) »</w:t>
            </w:r>
          </w:p>
        </w:tc>
        <w:tc>
          <w:tcPr>
            <w:tcW w:w="3000" w:type="dxa"/>
            <w:vAlign w:val="top"/>
          </w:tcPr>
          <w:p>
            <w:pPr>
              <w:spacing w:after="40"/>
            </w:pPr>
            <w:r>
              <w:rPr>
                <w:sz w:val="17"/>
                <w:szCs w:val="17"/>
              </w:rPr>
              <w:t xml:space="preserve">Le texte assimile le pacing (gestion de l'énergie sous le seuil de malaise post-effort) à l'activité physique graduée, que NICE NG206 déconseille dans l'EM/SFC, et contredit la monographie D4.9.</w:t>
            </w:r>
          </w:p>
          <w:p>
            <w:pPr>
              <w:spacing w:after="0"/>
            </w:pPr>
            <w:r>
              <w:rPr>
                <w:b/>
                <w:color w:val="145A32"/>
                <w:sz w:val="17"/>
                <w:szCs w:val="17"/>
              </w:rPr>
              <w:t xml:space="preserve">→ Écrire : « Le médecin propose une reprise progressive d'activité adaptée à la cause, sauf en présence d'un malaise post-effort, où il prescrit une gestion de l'énergie (pacing) sans paliers fixes d'exercice. »</w:t>
            </w:r>
          </w:p>
        </w:tc>
        <w:tc>
          <w:tcPr>
            <w:tcW w:w="1800" w:type="dxa"/>
            <w:vAlign w:val="top"/>
          </w:tcPr>
          <w:p>
            <w:pPr>
              <w:spacing w:after="0"/>
            </w:pPr>
            <w:r>
              <w:rPr>
                <w:sz w:val="17"/>
                <w:szCs w:val="17"/>
              </w:rPr>
              <w:t xml:space="preserve">NICE NG206, 2021, recommandations 1.11.13-1.11.15, https://www.nice.org.uk/guidance/ng206/chapter/recommendations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L4-M12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Bloc 2 › D4.10 › justification</w:t>
            </w:r>
          </w:p>
        </w:tc>
        <w:tc>
          <w:tcPr>
            <w:tcW w:w="2600" w:type="dxa"/>
            <w:vAlign w:val="top"/>
          </w:tcPr>
          <w:p>
            <w:pPr>
              <w:spacing w:after="0"/>
            </w:pPr>
            <w:r>
              <w:rPr>
                <w:i/>
                <w:sz w:val="17"/>
                <w:szCs w:val="17"/>
              </w:rPr>
              <w:t xml:space="preserve">« mélanodermie et hypotension, source : Endocrine Society) »</w:t>
            </w:r>
          </w:p>
        </w:tc>
        <w:tc>
          <w:tcPr>
            <w:tcW w:w="3000" w:type="dxa"/>
            <w:vAlign w:val="top"/>
          </w:tcPr>
          <w:p>
            <w:pPr>
              <w:spacing w:after="40"/>
            </w:pPr>
            <w:r>
              <w:rPr>
                <w:sz w:val="17"/>
                <w:szCs w:val="17"/>
              </w:rPr>
              <w:t xml:space="preserve">La justification de D4.10 repose sur une recommandation américaine, interdite comme référence.</w:t>
            </w:r>
          </w:p>
          <w:p>
            <w:pPr>
              <w:spacing w:after="0"/>
            </w:pPr>
            <w:r>
              <w:rPr>
                <w:b/>
                <w:color w:val="145A32"/>
                <w:sz w:val="17"/>
                <w:szCs w:val="17"/>
              </w:rPr>
              <w:t xml:space="preserve">→ Remplacer par « source : consensus européen sur l'insuffisance surrénalienne primaire (Husebye 2014) et SSED ».</w:t>
            </w:r>
          </w:p>
        </w:tc>
        <w:tc>
          <w:tcPr>
            <w:tcW w:w="1800" w:type="dxa"/>
            <w:vAlign w:val="top"/>
          </w:tcPr>
          <w:p>
            <w:pPr>
              <w:spacing w:after="0"/>
            </w:pPr>
            <w:r>
              <w:rPr>
                <w:sz w:val="17"/>
                <w:szCs w:val="17"/>
              </w:rPr>
              <w:t xml:space="preserve">Husebye ES et al., J Intern Med 2014;275:104-115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L4-M17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D4.1 › point 11.B › pharmacologie 1re intention</w:t>
            </w:r>
          </w:p>
        </w:tc>
        <w:tc>
          <w:tcPr>
            <w:tcW w:w="2600" w:type="dxa"/>
            <w:vAlign w:val="top"/>
          </w:tcPr>
          <w:p>
            <w:pPr>
              <w:spacing w:after="0"/>
            </w:pPr>
            <w:r>
              <w:rPr>
                <w:i/>
                <w:sz w:val="17"/>
                <w:szCs w:val="17"/>
              </w:rPr>
              <w:t xml:space="preserve">« Molécule : Sulfate ferreux (Nom commercial suisse : Maltofer® ou Tardyferon® ) »</w:t>
            </w:r>
          </w:p>
        </w:tc>
        <w:tc>
          <w:tcPr>
            <w:tcW w:w="3000" w:type="dxa"/>
            <w:vAlign w:val="top"/>
          </w:tcPr>
          <w:p>
            <w:pPr>
              <w:spacing w:after="40"/>
            </w:pPr>
            <w:r>
              <w:rPr>
                <w:sz w:val="17"/>
                <w:szCs w:val="17"/>
              </w:rPr>
              <w:t xml:space="preserve">Maltofer® contient un complexe fer(III)-hydroxyde-polymaltose et non du sulfate ferreux ; la correspondance DCI-spécialité est fausse.</w:t>
            </w:r>
          </w:p>
          <w:p>
            <w:pPr>
              <w:spacing w:after="0"/>
            </w:pPr>
            <w:r>
              <w:rPr>
                <w:b/>
                <w:color w:val="145A32"/>
                <w:sz w:val="17"/>
                <w:szCs w:val="17"/>
              </w:rPr>
              <w:t xml:space="preserve">→ Écrire : « Sulfate ferreux (Tardyferon®, 80 mg de fer) ; alternative : complexe fer(III)-hydroxyde-polymaltose (Maltofer®, 100 mg de fer). »</w:t>
            </w:r>
          </w:p>
        </w:tc>
        <w:tc>
          <w:tcPr>
            <w:tcW w:w="1800" w:type="dxa"/>
            <w:vAlign w:val="top"/>
          </w:tcPr>
          <w:p>
            <w:pPr>
              <w:spacing w:after="0"/>
            </w:pPr>
            <w:r>
              <w:rPr>
                <w:sz w:val="17"/>
                <w:szCs w:val="17"/>
              </w:rPr>
              <w:t xml:space="preserve">Compendium.ch, Maltofer® Filmtabl 100 mg, https://compendium.ch/product/1018949-maltofer-filmtabl-100-mg,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L4-M22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D4.2 › point 3 › fenêtre 3.2 (PHQ-9) › tableau</w:t>
            </w:r>
          </w:p>
        </w:tc>
        <w:tc>
          <w:tcPr>
            <w:tcW w:w="2600" w:type="dxa"/>
            <w:vAlign w:val="top"/>
          </w:tcPr>
          <w:p>
            <w:pPr>
              <w:spacing w:after="0"/>
            </w:pPr>
            <w:r>
              <w:rPr>
                <w:i/>
                <w:sz w:val="17"/>
                <w:szCs w:val="17"/>
              </w:rPr>
              <w:t xml:space="preserve">« Dépression sévère. Surveillance stricte du risque suicidaire. Antidépresseurs obligatoires. »</w:t>
            </w:r>
          </w:p>
        </w:tc>
        <w:tc>
          <w:tcPr>
            <w:tcW w:w="3000" w:type="dxa"/>
            <w:vAlign w:val="top"/>
          </w:tcPr>
          <w:p>
            <w:pPr>
              <w:spacing w:after="40"/>
            </w:pPr>
            <w:r>
              <w:rPr>
                <w:sz w:val="17"/>
                <w:szCs w:val="17"/>
              </w:rPr>
              <w:t xml:space="preserve">Le tableau classe 15-27 en « sévère » alors que 15-19 correspond à une dépression modérément sévère et 20-27 à une dépression sévère ; il omet la classe 5-9 et rend l'antidépresseur « obligatoire » sur un simple score.</w:t>
            </w:r>
          </w:p>
          <w:p>
            <w:pPr>
              <w:spacing w:after="0"/>
            </w:pPr>
            <w:r>
              <w:rPr>
                <w:b/>
                <w:color w:val="145A32"/>
                <w:sz w:val="17"/>
                <w:szCs w:val="17"/>
              </w:rPr>
              <w:t xml:space="preserve">→ Écrire les classes 0-4 minimale, 5-9 légère, 10-14 modérée, 15-19 modérément sévère, 20-27 sévère, et remplacer la conduite par « le score oriente ; l'entretien clinique et le risque suicidaire décident de l'association psychothérapie-antidépresseur ».</w:t>
            </w:r>
          </w:p>
        </w:tc>
        <w:tc>
          <w:tcPr>
            <w:tcW w:w="1800" w:type="dxa"/>
            <w:vAlign w:val="top"/>
          </w:tcPr>
          <w:p>
            <w:pPr>
              <w:spacing w:after="0"/>
            </w:pPr>
            <w:r>
              <w:rPr>
                <w:sz w:val="17"/>
                <w:szCs w:val="17"/>
              </w:rPr>
              <w:t xml:space="preserve">Kroenke K et al., J Gen Intern Med 2001;16:606-613 ; Holsboer-Trachsler E et al., Die Akutbehandlung depressiver Episoden, Swiss Medical Forum 2016;16(35):716-724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L4-M27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D4.3 › point 8 « Diagnostic positif et critères »</w:t>
            </w:r>
          </w:p>
        </w:tc>
        <w:tc>
          <w:tcPr>
            <w:tcW w:w="2600" w:type="dxa"/>
            <w:vAlign w:val="top"/>
          </w:tcPr>
          <w:p>
            <w:pPr>
              <w:spacing w:after="0"/>
            </w:pPr>
            <w:r>
              <w:rPr>
                <w:i/>
                <w:sz w:val="17"/>
                <w:szCs w:val="17"/>
              </w:rPr>
              <w:t xml:space="preserve">« Selon l'Académie Américaine de Médecine du Sommeil (AASM) et la Société Suisse de Pneumologie (SSP) »</w:t>
            </w:r>
          </w:p>
        </w:tc>
        <w:tc>
          <w:tcPr>
            <w:tcW w:w="3000" w:type="dxa"/>
            <w:vAlign w:val="top"/>
          </w:tcPr>
          <w:p>
            <w:pPr>
              <w:spacing w:after="40"/>
            </w:pPr>
            <w:r>
              <w:rPr>
                <w:sz w:val="17"/>
                <w:szCs w:val="17"/>
              </w:rPr>
              <w:t xml:space="preserve">Le critère diagnostique est fondé sur une société américaine, interdite comme référence, et la référence suisse n'est ni datée ni liée.</w:t>
            </w:r>
          </w:p>
          <w:p>
            <w:pPr>
              <w:spacing w:after="0"/>
            </w:pPr>
            <w:r>
              <w:rPr>
                <w:b/>
                <w:color w:val="145A32"/>
                <w:sz w:val="17"/>
                <w:szCs w:val="17"/>
              </w:rPr>
              <w:t xml:space="preserve">→ Fonder le critère sur la recommandation suisse de la Société suisse de pneumologie et sur les standards de l'ERS, avec année et URL lues.</w:t>
            </w:r>
          </w:p>
        </w:tc>
        <w:tc>
          <w:tcPr>
            <w:tcW w:w="1800" w:type="dxa"/>
            <w:vAlign w:val="top"/>
          </w:tcPr>
          <w:p>
            <w:pPr>
              <w:spacing w:after="0"/>
            </w:pPr>
            <w:r>
              <w:rPr>
                <w:sz w:val="17"/>
                <w:szCs w:val="17"/>
              </w:rPr>
              <w:t xml:space="preserve">PROMPT_V6, section 3, point 2 ; recommandation SGP/SSP sur le SAOS — donnée non relue dans cet audit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L4-M28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D4.3 › point 11.C › surveillance clinique</w:t>
            </w:r>
          </w:p>
        </w:tc>
        <w:tc>
          <w:tcPr>
            <w:tcW w:w="2600" w:type="dxa"/>
            <w:vAlign w:val="top"/>
          </w:tcPr>
          <w:p>
            <w:pPr>
              <w:spacing w:after="0"/>
            </w:pPr>
            <w:r>
              <w:rPr>
                <w:i/>
                <w:sz w:val="17"/>
                <w:szCs w:val="17"/>
              </w:rPr>
              <w:t xml:space="preserve">« critère de remboursement LAMal : utilisation minimale de 4 heures par nuit sur au moins 70 % des nuits »</w:t>
            </w:r>
          </w:p>
        </w:tc>
        <w:tc>
          <w:tcPr>
            <w:tcW w:w="3000" w:type="dxa"/>
            <w:vAlign w:val="top"/>
          </w:tcPr>
          <w:p>
            <w:pPr>
              <w:spacing w:after="40"/>
            </w:pPr>
            <w:r>
              <w:rPr>
                <w:sz w:val="17"/>
                <w:szCs w:val="17"/>
              </w:rPr>
              <w:t xml:space="preserve">Le seuil de 4 heures sur 70 % des nuits est le critère d'observance de Medicare (États-Unis), non un critère LAMal ; la prise en charge suisse passe par la MiGeL et un essai de 3 mois.</w:t>
            </w:r>
          </w:p>
          <w:p>
            <w:pPr>
              <w:spacing w:after="0"/>
            </w:pPr>
            <w:r>
              <w:rPr>
                <w:b/>
                <w:color w:val="145A32"/>
                <w:sz w:val="17"/>
                <w:szCs w:val="17"/>
              </w:rPr>
              <w:t xml:space="preserve">→ Écrire : « La prise en charge LAMal suit la MiGeL après un essai thérapeutique d'environ 3 mois et une garantie de l'assureur ; le seuil d'observance exigé reste à vérifier dans la MiGeL en vigueur. »</w:t>
            </w:r>
          </w:p>
        </w:tc>
        <w:tc>
          <w:tcPr>
            <w:tcW w:w="1800" w:type="dxa"/>
            <w:vAlign w:val="top"/>
          </w:tcPr>
          <w:p>
            <w:pPr>
              <w:spacing w:after="0"/>
            </w:pPr>
            <w:r>
              <w:rPr>
                <w:sz w:val="17"/>
                <w:szCs w:val="17"/>
              </w:rPr>
              <w:t xml:space="preserve">Beobachter, « Wer zahlt für das Beatmungsgerät? », https://www.beobachter.ch/geld/krankenkasse/wer-zahlt-fur-das-beatmungsgerat-695032 ; MiGeL (OFSP)</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L4-M33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D4.4 › point 11.D « Recherche 2026 »</w:t>
            </w:r>
          </w:p>
        </w:tc>
        <w:tc>
          <w:tcPr>
            <w:tcW w:w="2600" w:type="dxa"/>
            <w:vAlign w:val="top"/>
          </w:tcPr>
          <w:p>
            <w:pPr>
              <w:spacing w:after="0"/>
            </w:pPr>
            <w:r>
              <w:rPr>
                <w:i/>
                <w:sz w:val="17"/>
                <w:szCs w:val="17"/>
              </w:rPr>
              <w:t xml:space="preserve">« les études génétiques sur le polymorphisme de la désiodase de type 2 (gène DIO2 Thr92Ala) permettent d'identifier les rares patients »</w:t>
            </w:r>
          </w:p>
        </w:tc>
        <w:tc>
          <w:tcPr>
            <w:tcW w:w="3000" w:type="dxa"/>
            <w:vAlign w:val="top"/>
          </w:tcPr>
          <w:p>
            <w:pPr>
              <w:spacing w:after="40"/>
            </w:pPr>
            <w:r>
              <w:rPr>
                <w:sz w:val="17"/>
                <w:szCs w:val="17"/>
              </w:rPr>
              <w:t xml:space="preserve">Le texte présente le génotypage DIO2 et la bithérapie T4/T3 comme validés, alors que l'ETA les juge expérimentaux ; Novothyral® n'est pas une liothyronine à libération prolongée.</w:t>
            </w:r>
          </w:p>
          <w:p>
            <w:pPr>
              <w:spacing w:after="0"/>
            </w:pPr>
            <w:r>
              <w:rPr>
                <w:b/>
                <w:color w:val="145A32"/>
                <w:sz w:val="17"/>
                <w:szCs w:val="17"/>
              </w:rPr>
              <w:t xml:space="preserve">→ Écrire : « La bithérapie lévothyroxine-liothyronine reste expérimentale selon l'ETA ; le génotypage DIO2 n'est pas recommandé en pratique. » Vérifier la disponibilité suisse de Novothyral®.</w:t>
            </w:r>
          </w:p>
        </w:tc>
        <w:tc>
          <w:tcPr>
            <w:tcW w:w="1800" w:type="dxa"/>
            <w:vAlign w:val="top"/>
          </w:tcPr>
          <w:p>
            <w:pPr>
              <w:spacing w:after="0"/>
            </w:pPr>
            <w:r>
              <w:rPr>
                <w:sz w:val="17"/>
                <w:szCs w:val="17"/>
              </w:rPr>
              <w:t xml:space="preserve">Wiersinga WM et al., 2012 ETA Guidelines: the use of L-T4 + L-T3 in the treatment of hypothyroidism, Eur Thyroid J 2012;1:55-71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L4-M40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D4.6 › point 11.D « Recherche 2026 »</w:t>
            </w:r>
          </w:p>
        </w:tc>
        <w:tc>
          <w:tcPr>
            <w:tcW w:w="2600" w:type="dxa"/>
            <w:vAlign w:val="top"/>
          </w:tcPr>
          <w:p>
            <w:pPr>
              <w:spacing w:after="0"/>
            </w:pPr>
            <w:r>
              <w:rPr>
                <w:i/>
                <w:sz w:val="17"/>
                <w:szCs w:val="17"/>
              </w:rPr>
              <w:t xml:space="preserve">« les activateurs directs de la myosine cardiaque (Omecamtiv mecarbil) »</w:t>
            </w:r>
          </w:p>
        </w:tc>
        <w:tc>
          <w:tcPr>
            <w:tcW w:w="3000" w:type="dxa"/>
            <w:vAlign w:val="top"/>
          </w:tcPr>
          <w:p>
            <w:pPr>
              <w:spacing w:after="40"/>
            </w:pPr>
            <w:r>
              <w:rPr>
                <w:sz w:val="17"/>
                <w:szCs w:val="17"/>
              </w:rPr>
              <w:t xml:space="preserve">Le texte affirme que la prise en charge 2026 intègre l'omecamtiv mecarbil, alors que la demande d'autorisation européenne (Kinharto) a été retirée le 7 mai 2024.</w:t>
            </w:r>
          </w:p>
          <w:p>
            <w:pPr>
              <w:spacing w:after="0"/>
            </w:pPr>
            <w:r>
              <w:rPr>
                <w:b/>
                <w:color w:val="145A32"/>
                <w:sz w:val="17"/>
                <w:szCs w:val="17"/>
              </w:rPr>
              <w:t xml:space="preserve">→ Écrire : « L'omecamtiv mecarbil n'est pas autorisé en Europe ; sa demande d'autorisation a été retirée en 2024. »</w:t>
            </w:r>
          </w:p>
        </w:tc>
        <w:tc>
          <w:tcPr>
            <w:tcW w:w="1800" w:type="dxa"/>
            <w:vAlign w:val="top"/>
          </w:tcPr>
          <w:p>
            <w:pPr>
              <w:spacing w:after="0"/>
            </w:pPr>
            <w:r>
              <w:rPr>
                <w:sz w:val="17"/>
                <w:szCs w:val="17"/>
              </w:rPr>
              <w:t xml:space="preserve">EMA, Kinharto (omecamtiv mecarbil) — withdrawal of application, 2024, https://www.ema.europa.eu/fr/medicines/human/EPAR/kinharto</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L4-M47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D4.7 › point 5 › critères AEIOU</w:t>
            </w:r>
          </w:p>
        </w:tc>
        <w:tc>
          <w:tcPr>
            <w:tcW w:w="2600" w:type="dxa"/>
            <w:vAlign w:val="top"/>
          </w:tcPr>
          <w:p>
            <w:pPr>
              <w:spacing w:after="0"/>
            </w:pPr>
            <w:r>
              <w:rPr>
                <w:i/>
                <w:sz w:val="17"/>
                <w:szCs w:val="17"/>
              </w:rPr>
              <w:t xml:space="preserve">« l'Acidose sévère réfractaire ( ), l'hyperkaliémie menaçante ( avec élargissement des QRS »</w:t>
            </w:r>
          </w:p>
        </w:tc>
        <w:tc>
          <w:tcPr>
            <w:tcW w:w="3000" w:type="dxa"/>
            <w:vAlign w:val="top"/>
          </w:tcPr>
          <w:p>
            <w:pPr>
              <w:spacing w:after="40"/>
            </w:pPr>
            <w:r>
              <w:rPr>
                <w:sz w:val="17"/>
                <w:szCs w:val="17"/>
              </w:rPr>
              <w:t xml:space="preserve">Les seuils des indications de dialyse urgente ont disparu à la conversion, ce qui laisse les urgences vitales sans valeur décisionnelle.</w:t>
            </w:r>
          </w:p>
          <w:p>
            <w:pPr>
              <w:spacing w:after="0"/>
            </w:pPr>
            <w:r>
              <w:rPr>
                <w:b/>
                <w:color w:val="145A32"/>
                <w:sz w:val="17"/>
                <w:szCs w:val="17"/>
              </w:rPr>
              <w:t xml:space="preserve">→ Écrire : « acidose sévère réfractaire (pH &lt; 7,15) ; hyperkaliémie menaçante (K+ &gt; 6,5 mmol/L ou anomalies ECG) » en citant la source lue.</w:t>
            </w:r>
          </w:p>
        </w:tc>
        <w:tc>
          <w:tcPr>
            <w:tcW w:w="1800" w:type="dxa"/>
            <w:vAlign w:val="top"/>
          </w:tcPr>
          <w:p>
            <w:pPr>
              <w:spacing w:after="0"/>
            </w:pPr>
            <w:r>
              <w:rPr>
                <w:sz w:val="17"/>
                <w:szCs w:val="17"/>
              </w:rPr>
              <w:t xml:space="preserve">KDIGO 2012 Acute Kidney Injury Guideline ; donnée de seuil à vérifier avant réinjection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L4-M48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D4.7 › point 11.B › moyens non médicamenteux</w:t>
            </w:r>
          </w:p>
        </w:tc>
        <w:tc>
          <w:tcPr>
            <w:tcW w:w="2600" w:type="dxa"/>
            <w:vAlign w:val="top"/>
          </w:tcPr>
          <w:p>
            <w:pPr>
              <w:spacing w:after="0"/>
            </w:pPr>
            <w:r>
              <w:rPr>
                <w:i/>
                <w:sz w:val="17"/>
                <w:szCs w:val="17"/>
              </w:rPr>
              <w:t xml:space="preserve">« metformine arrêtée si ) »</w:t>
            </w:r>
          </w:p>
        </w:tc>
        <w:tc>
          <w:tcPr>
            <w:tcW w:w="3000" w:type="dxa"/>
            <w:vAlign w:val="top"/>
          </w:tcPr>
          <w:p>
            <w:pPr>
              <w:spacing w:after="40"/>
            </w:pPr>
            <w:r>
              <w:rPr>
                <w:sz w:val="17"/>
                <w:szCs w:val="17"/>
              </w:rPr>
              <w:t xml:space="preserve">Le seuil d'arrêt de la metformine a disparu, ce qui laisse un risque d'acidose lactique.</w:t>
            </w:r>
          </w:p>
          <w:p>
            <w:pPr>
              <w:spacing w:after="0"/>
            </w:pPr>
            <w:r>
              <w:rPr>
                <w:b/>
                <w:color w:val="145A32"/>
                <w:sz w:val="17"/>
                <w:szCs w:val="17"/>
              </w:rPr>
              <w:t xml:space="preserve">→ Écrire : « metformine limitée à 1 000 mg/j si DFGe 30-44 mL/min/1,73 m² et arrêtée si DFGe &lt; 30 mL/min/1,73 m² ».</w:t>
            </w:r>
          </w:p>
        </w:tc>
        <w:tc>
          <w:tcPr>
            <w:tcW w:w="1800" w:type="dxa"/>
            <w:vAlign w:val="top"/>
          </w:tcPr>
          <w:p>
            <w:pPr>
              <w:spacing w:after="0"/>
            </w:pPr>
            <w:r>
              <w:rPr>
                <w:sz w:val="17"/>
                <w:szCs w:val="17"/>
              </w:rPr>
              <w:t xml:space="preserve">KDIGO 2022 Clinical Practice Guideline for Diabetes Management in CKD, Kidney Int 2022;102(5S):S1-S127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L4-M49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D4.7 › point 11.B › finérénone</w:t>
            </w:r>
          </w:p>
        </w:tc>
        <w:tc>
          <w:tcPr>
            <w:tcW w:w="2600" w:type="dxa"/>
            <w:vAlign w:val="top"/>
          </w:tcPr>
          <w:p>
            <w:pPr>
              <w:spacing w:after="0"/>
            </w:pPr>
            <w:r>
              <w:rPr>
                <w:i/>
                <w:sz w:val="17"/>
                <w:szCs w:val="17"/>
              </w:rPr>
              <w:t xml:space="preserve">« Finérénone ( Kerendia® 10 à 20 mg/j per os si ) »</w:t>
            </w:r>
          </w:p>
        </w:tc>
        <w:tc>
          <w:tcPr>
            <w:tcW w:w="3000" w:type="dxa"/>
            <w:vAlign w:val="top"/>
          </w:tcPr>
          <w:p>
            <w:pPr>
              <w:spacing w:after="40"/>
            </w:pPr>
            <w:r>
              <w:rPr>
                <w:sz w:val="17"/>
                <w:szCs w:val="17"/>
              </w:rPr>
              <w:t xml:space="preserve">La condition d'introduction de la finérénone (kaliémie et DFGe) a disparu.</w:t>
            </w:r>
          </w:p>
          <w:p>
            <w:pPr>
              <w:spacing w:after="0"/>
            </w:pPr>
            <w:r>
              <w:rPr>
                <w:b/>
                <w:color w:val="145A32"/>
                <w:sz w:val="17"/>
                <w:szCs w:val="17"/>
              </w:rPr>
              <w:t xml:space="preserve">→ Écrire : « si K+ ≤ 5,0 mmol/L et DFGe ≥ 25 mL/min/1,73 m² ; 10 mg/j si DFGe 25-59, 20 mg/j si DFGe ≥ 60 ».</w:t>
            </w:r>
          </w:p>
        </w:tc>
        <w:tc>
          <w:tcPr>
            <w:tcW w:w="1800" w:type="dxa"/>
            <w:vAlign w:val="top"/>
          </w:tcPr>
          <w:p>
            <w:pPr>
              <w:spacing w:after="0"/>
            </w:pPr>
            <w:r>
              <w:rPr>
                <w:sz w:val="17"/>
                <w:szCs w:val="17"/>
              </w:rPr>
              <w:t xml:space="preserve">KDIGO 2022 Diabetes in CKD Guideline ; information professionnelle Kerendia® (AIPS) — à vérifier</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L4-M50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D4.7 › points 1, 3, 8, 10, 11.A, 13 et fenêtre 3.7 (≥ 10 occurrences de valeurs perdues)</w:t>
            </w:r>
          </w:p>
        </w:tc>
        <w:tc>
          <w:tcPr>
            <w:tcW w:w="2600" w:type="dxa"/>
            <w:vAlign w:val="top"/>
          </w:tcPr>
          <w:p>
            <w:pPr>
              <w:spacing w:after="0"/>
            </w:pPr>
            <w:r>
              <w:rPr>
                <w:i/>
                <w:sz w:val="17"/>
                <w:szCs w:val="17"/>
              </w:rPr>
              <w:t xml:space="preserve">« Débit de Filtration Glomérulaire estimé ( ) inférieur à , soit »</w:t>
            </w:r>
          </w:p>
        </w:tc>
        <w:tc>
          <w:tcPr>
            <w:tcW w:w="3000" w:type="dxa"/>
            <w:vAlign w:val="top"/>
          </w:tcPr>
          <w:p>
            <w:pPr>
              <w:spacing w:after="40"/>
            </w:pPr>
            <w:r>
              <w:rPr>
                <w:sz w:val="17"/>
                <w:szCs w:val="17"/>
              </w:rPr>
              <w:t xml:space="preserve">La conversion Google Docs a effacé les sigles et seuils (DFGe &lt; 60 mL/min/1,73 m², ACR ≥ 3 mg/mmol, pente de déclin, ions), ce qui rend les définitions KDIGO inutilisables.</w:t>
            </w:r>
          </w:p>
          <w:p>
            <w:pPr>
              <w:spacing w:after="0"/>
            </w:pPr>
            <w:r>
              <w:rPr>
                <w:b/>
                <w:color w:val="145A32"/>
                <w:sz w:val="17"/>
                <w:szCs w:val="17"/>
              </w:rPr>
              <w:t xml:space="preserve">→ Restaurer chaque valeur : « DFGe &lt; 60 mL/min/1,73 m² » ; « ACR ≥ 3 mg/mmol (30 mg/g) » ; « adresser si DFGe &lt; 30 mL/min/1,73 m² ou ACR &gt; 30 mg/mmol » ; idem pour les autres occurrences.</w:t>
            </w:r>
          </w:p>
        </w:tc>
        <w:tc>
          <w:tcPr>
            <w:tcW w:w="1800" w:type="dxa"/>
            <w:vAlign w:val="top"/>
          </w:tcPr>
          <w:p>
            <w:pPr>
              <w:spacing w:after="0"/>
            </w:pPr>
            <w:r>
              <w:rPr>
                <w:sz w:val="17"/>
                <w:szCs w:val="17"/>
              </w:rPr>
              <w:t xml:space="preserve">KDIGO 2024 Clinical Practice Guideline for the Evaluation and Management of CKD, https://kdigo.org/wp-content/uploads/2024/03/KDIGO-2024-CKD-Guideline.pdf</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L4-M51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D4.7 › point 9 › 1re intention</w:t>
            </w:r>
          </w:p>
        </w:tc>
        <w:tc>
          <w:tcPr>
            <w:tcW w:w="2600" w:type="dxa"/>
            <w:vAlign w:val="top"/>
          </w:tcPr>
          <w:p>
            <w:pPr>
              <w:spacing w:after="0"/>
            </w:pPr>
            <w:r>
              <w:rPr>
                <w:i/>
                <w:sz w:val="17"/>
                <w:szCs w:val="17"/>
              </w:rPr>
              <w:t xml:space="preserve">« Contre-indication absolue aux produits de contraste iodés non préparés et au gadolinium linéaire si »</w:t>
            </w:r>
          </w:p>
        </w:tc>
        <w:tc>
          <w:tcPr>
            <w:tcW w:w="3000" w:type="dxa"/>
            <w:vAlign w:val="top"/>
          </w:tcPr>
          <w:p>
            <w:pPr>
              <w:spacing w:after="40"/>
            </w:pPr>
            <w:r>
              <w:rPr>
                <w:sz w:val="17"/>
                <w:szCs w:val="17"/>
              </w:rPr>
              <w:t xml:space="preserve">Les produits de contraste iodés ne sont pas contre-indiqués de façon absolue dans la MRC ; le risque augmente surtout si le DFGe &lt; 30 et justifie une hydratation préventive. Le seuil gadolinium a disparu.</w:t>
            </w:r>
          </w:p>
          <w:p>
            <w:pPr>
              <w:spacing w:after="0"/>
            </w:pPr>
            <w:r>
              <w:rPr>
                <w:b/>
                <w:color w:val="145A32"/>
                <w:sz w:val="17"/>
                <w:szCs w:val="17"/>
              </w:rPr>
              <w:t xml:space="preserve">→ Écrire : « Si DFGe &lt; 30 mL/min/1,73 m², le médecin pèse l'indication, hydrate le patient et choisit la dose minimale ; il évite les chélates de gadolinium linéaires et emploie un agent macrocyclique. »</w:t>
            </w:r>
          </w:p>
        </w:tc>
        <w:tc>
          <w:tcPr>
            <w:tcW w:w="1800" w:type="dxa"/>
            <w:vAlign w:val="top"/>
          </w:tcPr>
          <w:p>
            <w:pPr>
              <w:spacing w:after="0"/>
            </w:pPr>
            <w:r>
              <w:rPr>
                <w:sz w:val="17"/>
                <w:szCs w:val="17"/>
              </w:rPr>
              <w:t xml:space="preserve">ESUR Guidelines on Contrast Agents, version 10.0, 2018, https://www.esur.org/esur-guidelines-on-contrast-agents/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L4-M58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D4.10 › point 13 « Points clés »</w:t>
            </w:r>
          </w:p>
        </w:tc>
        <w:tc>
          <w:tcPr>
            <w:tcW w:w="2600" w:type="dxa"/>
            <w:vAlign w:val="top"/>
          </w:tcPr>
          <w:p>
            <w:pPr>
              <w:spacing w:after="0"/>
            </w:pPr>
            <w:r>
              <w:rPr>
                <w:i/>
                <w:sz w:val="17"/>
                <w:szCs w:val="17"/>
              </w:rPr>
              <w:t xml:space="preserve">« d'hydrocortisone par voie intraveineuse (≥ ), il est inutile d'ajouter de la fludrocortisone »</w:t>
            </w:r>
          </w:p>
        </w:tc>
        <w:tc>
          <w:tcPr>
            <w:tcW w:w="3000" w:type="dxa"/>
            <w:vAlign w:val="top"/>
          </w:tcPr>
          <w:p>
            <w:pPr>
              <w:spacing w:after="40"/>
            </w:pPr>
            <w:r>
              <w:rPr>
                <w:sz w:val="17"/>
                <w:szCs w:val="17"/>
              </w:rPr>
              <w:t xml:space="preserve">Le seuil de dose au-delà duquel la fludrocortisone devient inutile a disparu.</w:t>
            </w:r>
          </w:p>
          <w:p>
            <w:pPr>
              <w:spacing w:after="0"/>
            </w:pPr>
            <w:r>
              <w:rPr>
                <w:b/>
                <w:color w:val="145A32"/>
                <w:sz w:val="17"/>
                <w:szCs w:val="17"/>
              </w:rPr>
              <w:t xml:space="preserve">→ Écrire « (≥ 50 mg/24 h) ».</w:t>
            </w:r>
          </w:p>
        </w:tc>
        <w:tc>
          <w:tcPr>
            <w:tcW w:w="1800" w:type="dxa"/>
            <w:vAlign w:val="top"/>
          </w:tcPr>
          <w:p>
            <w:pPr>
              <w:spacing w:after="0"/>
            </w:pPr>
            <w:r>
              <w:rPr>
                <w:sz w:val="17"/>
                <w:szCs w:val="17"/>
              </w:rPr>
              <w:t xml:space="preserve">Husebye ES et al., J Intern Med 2014;275:104-115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L4-M59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D4.10 › point 8 « Diagnostic positif »</w:t>
            </w:r>
          </w:p>
        </w:tc>
        <w:tc>
          <w:tcPr>
            <w:tcW w:w="2600" w:type="dxa"/>
            <w:vAlign w:val="top"/>
          </w:tcPr>
          <w:p>
            <w:pPr>
              <w:spacing w:after="0"/>
            </w:pPr>
            <w:r>
              <w:rPr>
                <w:i/>
                <w:sz w:val="17"/>
                <w:szCs w:val="17"/>
              </w:rPr>
              <w:t xml:space="preserve">« Selon les directives de l' Endocrine Society et de la SSED »</w:t>
            </w:r>
          </w:p>
        </w:tc>
        <w:tc>
          <w:tcPr>
            <w:tcW w:w="3000" w:type="dxa"/>
            <w:vAlign w:val="top"/>
          </w:tcPr>
          <w:p>
            <w:pPr>
              <w:spacing w:after="40"/>
            </w:pPr>
            <w:r>
              <w:rPr>
                <w:sz w:val="17"/>
                <w:szCs w:val="17"/>
              </w:rPr>
              <w:t xml:space="preserve">Le critère diagnostique et l'en-tête du tableau 3.10 reposent sur une recommandation américaine (2 occurrences).</w:t>
            </w:r>
          </w:p>
          <w:p>
            <w:pPr>
              <w:spacing w:after="0"/>
            </w:pPr>
            <w:r>
              <w:rPr>
                <w:b/>
                <w:color w:val="145A32"/>
                <w:sz w:val="17"/>
                <w:szCs w:val="17"/>
              </w:rPr>
              <w:t xml:space="preserve">→ Remplacer par « Selon le consensus européen (Husebye 2014) et la SSED ».</w:t>
            </w:r>
          </w:p>
        </w:tc>
        <w:tc>
          <w:tcPr>
            <w:tcW w:w="1800" w:type="dxa"/>
            <w:vAlign w:val="top"/>
          </w:tcPr>
          <w:p>
            <w:pPr>
              <w:spacing w:after="0"/>
            </w:pPr>
            <w:r>
              <w:rPr>
                <w:sz w:val="17"/>
                <w:szCs w:val="17"/>
              </w:rPr>
              <w:t xml:space="preserve">Husebye ES et al., J Intern Med 2014;275:104-115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L4-M63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D4.8 › point 11.D « Recherche 2026 »</w:t>
            </w:r>
          </w:p>
        </w:tc>
        <w:tc>
          <w:tcPr>
            <w:tcW w:w="2600" w:type="dxa"/>
            <w:vAlign w:val="top"/>
          </w:tcPr>
          <w:p>
            <w:pPr>
              <w:spacing w:after="0"/>
            </w:pPr>
            <w:r>
              <w:rPr>
                <w:i/>
                <w:sz w:val="17"/>
                <w:szCs w:val="17"/>
              </w:rPr>
              <w:t xml:space="preserve">« En 2026, l'oncologie suisse déploie en routine les cellules CAR-T précoces »</w:t>
            </w:r>
          </w:p>
        </w:tc>
        <w:tc>
          <w:tcPr>
            <w:tcW w:w="3000" w:type="dxa"/>
            <w:vAlign w:val="top"/>
          </w:tcPr>
          <w:p>
            <w:pPr>
              <w:spacing w:after="40"/>
            </w:pPr>
            <w:r>
              <w:rPr>
                <w:sz w:val="17"/>
                <w:szCs w:val="17"/>
              </w:rPr>
              <w:t xml:space="preserve">Le texte présente comme routinières des thérapies encore en essai (vaccins ARNm néo-antigéniques, anti-GDF-15 « phase III ») sans numéro NCT ; le ponsegromab a publié des résultats de phase II.</w:t>
            </w:r>
          </w:p>
          <w:p>
            <w:pPr>
              <w:spacing w:after="0"/>
            </w:pPr>
            <w:r>
              <w:rPr>
                <w:b/>
                <w:color w:val="145A32"/>
                <w:sz w:val="17"/>
                <w:szCs w:val="17"/>
              </w:rPr>
              <w:t xml:space="preserve">→ Écrire : « Les vaccins ARNm néo-antigéniques sont en essais de phase III (numéro NCT à vérifier) ; le ponsegromab a réduit la perte pondérale dans un essai de phase II. » Retirer « en routine ».</w:t>
            </w:r>
          </w:p>
        </w:tc>
        <w:tc>
          <w:tcPr>
            <w:tcW w:w="1800" w:type="dxa"/>
            <w:vAlign w:val="top"/>
          </w:tcPr>
          <w:p>
            <w:pPr>
              <w:spacing w:after="0"/>
            </w:pPr>
            <w:r>
              <w:rPr>
                <w:sz w:val="17"/>
                <w:szCs w:val="17"/>
              </w:rPr>
              <w:t xml:space="preserve">Groarke JD et al., Ponsegromab for the treatment of cancer cachexia, N Engl J Med 2024;391:2291-2303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L4-M72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D4.6 › points 1, 4, 11.D et 14 (contamination, 4 occurrences)</w:t>
            </w:r>
          </w:p>
        </w:tc>
        <w:tc>
          <w:tcPr>
            <w:tcW w:w="2600" w:type="dxa"/>
            <w:vAlign w:val="top"/>
          </w:tcPr>
          <w:p>
            <w:pPr>
              <w:spacing w:after="0"/>
            </w:pPr>
            <w:r>
              <w:rPr>
                <w:i/>
                <w:sz w:val="17"/>
                <w:szCs w:val="17"/>
              </w:rPr>
              <w:t xml:space="preserve">« Elle peut provoquer une congestion pulmonaire et une toux. »</w:t>
            </w:r>
          </w:p>
        </w:tc>
        <w:tc>
          <w:tcPr>
            <w:tcW w:w="3000" w:type="dxa"/>
            <w:vAlign w:val="top"/>
          </w:tcPr>
          <w:p>
            <w:pPr>
              <w:spacing w:after="40"/>
            </w:pPr>
            <w:r>
              <w:rPr>
                <w:sz w:val="17"/>
                <w:szCs w:val="17"/>
              </w:rPr>
              <w:t xml:space="preserve">La monographie d'insuffisance cardiaque est recopiée d'un SSP sur la toux (toux sous IEC, amélioration de la toux), sans lien avec la fatigue.</w:t>
            </w:r>
          </w:p>
          <w:p>
            <w:pPr>
              <w:spacing w:after="0"/>
            </w:pPr>
            <w:r>
              <w:rPr>
                <w:b/>
                <w:color w:val="145A32"/>
                <w:sz w:val="17"/>
                <w:szCs w:val="17"/>
              </w:rPr>
              <w:t xml:space="preserve">→ Réécrire D4.6 sous l'angle de la fatigue : bas débit, déconditionnement, carence martiale, effets des bêtabloquants et des diurétiques.</w:t>
            </w:r>
          </w:p>
        </w:tc>
        <w:tc>
          <w:tcPr>
            <w:tcW w:w="1800" w:type="dxa"/>
            <w:vAlign w:val="top"/>
          </w:tcPr>
          <w:p>
            <w:pPr>
              <w:spacing w:after="0"/>
            </w:pPr>
            <w:r>
              <w:rPr>
                <w:sz w:val="17"/>
                <w:szCs w:val="17"/>
              </w:rPr>
              <w:t xml:space="preserve">PROMPT_V6, sections 5 et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L4-M73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D4.8 › points 1 à 3, 11.D (contamination)</w:t>
            </w:r>
          </w:p>
        </w:tc>
        <w:tc>
          <w:tcPr>
            <w:tcW w:w="2600" w:type="dxa"/>
            <w:vAlign w:val="top"/>
          </w:tcPr>
          <w:p>
            <w:pPr>
              <w:spacing w:after="0"/>
            </w:pPr>
            <w:r>
              <w:rPr>
                <w:i/>
                <w:sz w:val="17"/>
                <w:szCs w:val="17"/>
              </w:rPr>
              <w:t xml:space="preserve">« Ces symptômes ne sont pas spécifiques d'un cancer et ne prouvent pas une fièvre tumorale. »</w:t>
            </w:r>
          </w:p>
        </w:tc>
        <w:tc>
          <w:tcPr>
            <w:tcW w:w="3000" w:type="dxa"/>
            <w:vAlign w:val="top"/>
          </w:tcPr>
          <w:p>
            <w:pPr>
              <w:spacing w:after="40"/>
            </w:pPr>
            <w:r>
              <w:rPr>
                <w:sz w:val="17"/>
                <w:szCs w:val="17"/>
              </w:rPr>
              <w:t xml:space="preserve">La monographie de néoplasie occulte est recopiée d'un SSP sur la fièvre (fièvre tumorale, neutropénie fébrile) au lieu de traiter la fatigue paranéoplasique.</w:t>
            </w:r>
          </w:p>
          <w:p>
            <w:pPr>
              <w:spacing w:after="0"/>
            </w:pPr>
            <w:r>
              <w:rPr>
                <w:b/>
                <w:color w:val="145A32"/>
                <w:sz w:val="17"/>
                <w:szCs w:val="17"/>
              </w:rPr>
              <w:t xml:space="preserve">→ Réécrire D4.8 autour de la fatigue (anémie inflammatoire, cachexie, drapeaux rouges, dépistages suisses).</w:t>
            </w:r>
          </w:p>
        </w:tc>
        <w:tc>
          <w:tcPr>
            <w:tcW w:w="1800" w:type="dxa"/>
            <w:vAlign w:val="top"/>
          </w:tcPr>
          <w:p>
            <w:pPr>
              <w:spacing w:after="0"/>
            </w:pPr>
            <w:r>
              <w:rPr>
                <w:sz w:val="17"/>
                <w:szCs w:val="17"/>
              </w:rPr>
              <w:t xml:space="preserve">PROMPT_V6, sections 5 et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L4-M74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Toutes les monographies › points 9 et 11.B (0 tableau dans le fichier)</w:t>
            </w:r>
          </w:p>
        </w:tc>
        <w:tc>
          <w:tcPr>
            <w:tcW w:w="2600" w:type="dxa"/>
            <w:vAlign w:val="top"/>
          </w:tcPr>
          <w:p>
            <w:pPr>
              <w:spacing w:after="0"/>
            </w:pPr>
            <w:r>
              <w:rPr>
                <w:i/>
                <w:sz w:val="17"/>
                <w:szCs w:val="17"/>
              </w:rPr>
              <w:t xml:space="preserve">« Le traitement chronique remplace les glucocorticoïdes et, dans les formes primaires concernées, les minéralocorticoïdes »</w:t>
            </w:r>
          </w:p>
        </w:tc>
        <w:tc>
          <w:tcPr>
            <w:tcW w:w="3000" w:type="dxa"/>
            <w:vAlign w:val="top"/>
          </w:tcPr>
          <w:p>
            <w:pPr>
              <w:spacing w:after="40"/>
            </w:pPr>
            <w:r>
              <w:rPr>
                <w:sz w:val="17"/>
                <w:szCs w:val="17"/>
              </w:rPr>
              <w:t xml:space="preserve">Le V6 ne contient aucun tableau d'interprétation, aucune DCI avec spécialité suisse ni dose ; même la crise surrénalienne n'a pas de posologie, ce qui retire toute valeur opérationnelle.</w:t>
            </w:r>
          </w:p>
          <w:p>
            <w:pPr>
              <w:spacing w:after="0"/>
            </w:pPr>
            <w:r>
              <w:rPr>
                <w:b/>
                <w:color w:val="145A32"/>
                <w:sz w:val="17"/>
                <w:szCs w:val="17"/>
              </w:rPr>
              <w:t xml:space="preserve">→ Réintégrer, pour chaque DX, les tableaux normal SI | seuil | signification | conduite et les traitements ①-⑥ corrigés des V5 (par exemple hydrocortisone 100 mg IV puis 200 mg/24 h).</w:t>
            </w:r>
          </w:p>
        </w:tc>
        <w:tc>
          <w:tcPr>
            <w:tcW w:w="1800" w:type="dxa"/>
            <w:vAlign w:val="top"/>
          </w:tcPr>
          <w:p>
            <w:pPr>
              <w:spacing w:after="0"/>
            </w:pPr>
            <w:r>
              <w:rPr>
                <w:sz w:val="17"/>
                <w:szCs w:val="17"/>
              </w:rPr>
              <w:t xml:space="preserve">PROMPT_V6, section 5, points 9 et 11 ; Husebye ES et al., J Intern Med 2014</w:t>
            </w:r>
          </w:p>
        </w:tc>
      </w:tr>
    </w:tbl>
    <w:p>
      <w:pPr>
        <w:spacing w:after="120"/>
      </w:pPr>
    </w:p>
    <w:p>
      <w:pPr>
        <w:pStyle w:val="Titre1"/>
        <w:keepNext/>
      </w:pPr>
      <w:r>
        <w:rPr>
          <w:b/>
          <w:color w:val="B9770E"/>
          <w:sz w:val="26"/>
          <w:szCs w:val="26"/>
        </w:rPr>
        <w:t xml:space="preserve">Moyen — 63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B9770E"/>
            <w:vAlign w:val="top"/>
          </w:tcPr>
          <w:p>
            <w:pPr>
              <w:spacing w:after="0"/>
            </w:pPr>
            <w:r>
              <w:rPr>
                <w:b/>
                <w:color w:val="FFFFFF"/>
                <w:sz w:val="17"/>
                <w:szCs w:val="17"/>
              </w:rPr>
              <w:t xml:space="preserve">Fait</w:t>
            </w:r>
          </w:p>
        </w:tc>
        <w:tc>
          <w:tcPr>
            <w:tcW w:w="900" w:type="dxa"/>
            <w:shd w:val="clear" w:color="auto" w:fill="B9770E"/>
            <w:vAlign w:val="top"/>
          </w:tcPr>
          <w:p>
            <w:pPr>
              <w:spacing w:after="0"/>
            </w:pPr>
            <w:r>
              <w:rPr>
                <w:b/>
                <w:color w:val="FFFFFF"/>
                <w:sz w:val="17"/>
                <w:szCs w:val="17"/>
              </w:rPr>
              <w:t xml:space="preserve">N°</w:t>
            </w:r>
          </w:p>
        </w:tc>
        <w:tc>
          <w:tcPr>
            <w:tcW w:w="1250" w:type="dxa"/>
            <w:shd w:val="clear" w:color="auto" w:fill="B9770E"/>
            <w:vAlign w:val="top"/>
          </w:tcPr>
          <w:p>
            <w:pPr>
              <w:spacing w:after="0"/>
            </w:pPr>
            <w:r>
              <w:rPr>
                <w:b/>
                <w:color w:val="FFFFFF"/>
                <w:sz w:val="17"/>
                <w:szCs w:val="17"/>
              </w:rPr>
              <w:t xml:space="preserve">Domaine</w:t>
            </w:r>
          </w:p>
        </w:tc>
        <w:tc>
          <w:tcPr>
            <w:tcW w:w="1900" w:type="dxa"/>
            <w:shd w:val="clear" w:color="auto" w:fill="B9770E"/>
            <w:vAlign w:val="top"/>
          </w:tcPr>
          <w:p>
            <w:pPr>
              <w:spacing w:after="0"/>
            </w:pPr>
            <w:r>
              <w:rPr>
                <w:b/>
                <w:color w:val="FFFFFF"/>
                <w:sz w:val="17"/>
                <w:szCs w:val="17"/>
              </w:rPr>
              <w:t xml:space="preserve">Fichier</w:t>
            </w:r>
          </w:p>
        </w:tc>
        <w:tc>
          <w:tcPr>
            <w:tcW w:w="2350" w:type="dxa"/>
            <w:shd w:val="clear" w:color="auto" w:fill="B9770E"/>
            <w:vAlign w:val="top"/>
          </w:tcPr>
          <w:p>
            <w:pPr>
              <w:spacing w:after="0"/>
            </w:pPr>
            <w:r>
              <w:rPr>
                <w:b/>
                <w:color w:val="FFFFFF"/>
                <w:sz w:val="17"/>
                <w:szCs w:val="17"/>
              </w:rPr>
              <w:t xml:space="preserve">Emplacement</w:t>
            </w:r>
          </w:p>
        </w:tc>
        <w:tc>
          <w:tcPr>
            <w:tcW w:w="2600" w:type="dxa"/>
            <w:shd w:val="clear" w:color="auto" w:fill="B9770E"/>
            <w:vAlign w:val="top"/>
          </w:tcPr>
          <w:p>
            <w:pPr>
              <w:spacing w:after="0"/>
            </w:pPr>
            <w:r>
              <w:rPr>
                <w:b/>
                <w:color w:val="FFFFFF"/>
                <w:sz w:val="17"/>
                <w:szCs w:val="17"/>
              </w:rPr>
              <w:t xml:space="preserve">Extrait exact</w:t>
            </w:r>
          </w:p>
        </w:tc>
        <w:tc>
          <w:tcPr>
            <w:tcW w:w="3000" w:type="dxa"/>
            <w:shd w:val="clear" w:color="auto" w:fill="B9770E"/>
            <w:vAlign w:val="top"/>
          </w:tcPr>
          <w:p>
            <w:pPr>
              <w:spacing w:after="0"/>
            </w:pPr>
            <w:r>
              <w:rPr>
                <w:b/>
                <w:color w:val="FFFFFF"/>
                <w:sz w:val="17"/>
                <w:szCs w:val="17"/>
              </w:rPr>
              <w:t xml:space="preserve">Problème → correction</w:t>
            </w:r>
          </w:p>
        </w:tc>
        <w:tc>
          <w:tcPr>
            <w:tcW w:w="1800" w:type="dxa"/>
            <w:shd w:val="clear" w:color="auto" w:fill="B9770E"/>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L4-L08</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Chaque monographie › fenêtre « Consulter les références et leur portée »</w:t>
            </w:r>
          </w:p>
        </w:tc>
        <w:tc>
          <w:tcPr>
            <w:tcW w:w="2600" w:type="dxa"/>
            <w:vAlign w:val="top"/>
          </w:tcPr>
          <w:p>
            <w:pPr>
              <w:spacing w:after="0"/>
            </w:pPr>
            <w:r>
              <w:rPr>
                <w:i/>
                <w:sz w:val="17"/>
                <w:szCs w:val="17"/>
              </w:rPr>
              <w:t xml:space="preserve">« d'un premier bilan. Consulter les références et leur portée Document Drive de départ »</w:t>
            </w:r>
          </w:p>
        </w:tc>
        <w:tc>
          <w:tcPr>
            <w:tcW w:w="3000" w:type="dxa"/>
            <w:vAlign w:val="top"/>
          </w:tcPr>
          <w:p>
            <w:pPr>
              <w:spacing w:after="40"/>
            </w:pPr>
            <w:r>
              <w:rPr>
                <w:sz w:val="17"/>
                <w:szCs w:val="17"/>
              </w:rPr>
              <w:t xml:space="preserve">Le fichier V6 cite comme source les Google Docs V5 invalides et coexiste avec eux dans le dossier du lot : deux versions concurrentes du même contenu subsistent (doublon), dont une périmée.</w:t>
            </w:r>
          </w:p>
          <w:p>
            <w:pPr>
              <w:spacing w:after="0"/>
            </w:pPr>
            <w:r>
              <w:rPr>
                <w:b/>
                <w:color w:val="145A32"/>
                <w:sz w:val="17"/>
                <w:szCs w:val="17"/>
              </w:rPr>
              <w:t xml:space="preserve">→ Remplacer le lien « Document Drive de départ » par des sources primaires numérotées ; après validation du V6 découpé, déplacer les cinq Google Docs V5 dans CORBEILLE_DOUBLONS_OBSOLETES avec le suffixe _OBSOLETE_.</w:t>
            </w:r>
          </w:p>
        </w:tc>
        <w:tc>
          <w:tcPr>
            <w:tcW w:w="1800" w:type="dxa"/>
            <w:vAlign w:val="top"/>
          </w:tcPr>
          <w:p>
            <w:pPr>
              <w:spacing w:after="0"/>
            </w:pPr>
            <w:r>
              <w:rPr>
                <w:sz w:val="17"/>
                <w:szCs w:val="17"/>
              </w:rPr>
              <w:t xml:space="preserve">PROMPT_V6.md (prompt de base), § 3.8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L4-L13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Bloc 2 › liste des 10 DX (et titres de toutes les Parties)</w:t>
            </w:r>
          </w:p>
        </w:tc>
        <w:tc>
          <w:tcPr>
            <w:tcW w:w="2600" w:type="dxa"/>
            <w:vAlign w:val="top"/>
          </w:tcPr>
          <w:p>
            <w:pPr>
              <w:spacing w:after="0"/>
            </w:pPr>
            <w:r>
              <w:rPr>
                <w:i/>
                <w:sz w:val="17"/>
                <w:szCs w:val="17"/>
              </w:rPr>
              <w:t xml:space="preserve">« D4.10 — Maladie d'Addison (Insuffisance surrénalienne primaire) 0,5 % »</w:t>
            </w:r>
          </w:p>
        </w:tc>
        <w:tc>
          <w:tcPr>
            <w:tcW w:w="3000" w:type="dxa"/>
            <w:vAlign w:val="top"/>
          </w:tcPr>
          <w:p>
            <w:pPr>
              <w:spacing w:after="40"/>
            </w:pPr>
            <w:r>
              <w:rPr>
                <w:sz w:val="17"/>
                <w:szCs w:val="17"/>
              </w:rPr>
              <w:t xml:space="preserve">Les diagnostics portent le préfixe « D4.n » alors que le prompt et les noms de fichiers utilisent « DX.n », ce qui brouille les renvois entre Appel A et Parties.</w:t>
            </w:r>
          </w:p>
          <w:p>
            <w:pPr>
              <w:spacing w:after="0"/>
            </w:pPr>
            <w:r>
              <w:rPr>
                <w:b/>
                <w:color w:val="145A32"/>
                <w:sz w:val="17"/>
                <w:szCs w:val="17"/>
              </w:rPr>
              <w:t xml:space="preserve">→ Renommer D4.1…D4.10 en DX.1…DX.10 dans tous les fichiers du lot.</w:t>
            </w:r>
          </w:p>
        </w:tc>
        <w:tc>
          <w:tcPr>
            <w:tcW w:w="1800" w:type="dxa"/>
            <w:vAlign w:val="top"/>
          </w:tcPr>
          <w:p>
            <w:pPr>
              <w:spacing w:after="0"/>
            </w:pPr>
            <w:r>
              <w:rPr>
                <w:sz w:val="17"/>
                <w:szCs w:val="17"/>
              </w:rPr>
              <w:t xml:space="preserve">PROMPT_V6.md (prompt de base), § 4 et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L4-L17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Partie 1 › D4.1 › point 13 (même structure dans les 10 monographies V5 et dans l'Appel A)</w:t>
            </w:r>
          </w:p>
        </w:tc>
        <w:tc>
          <w:tcPr>
            <w:tcW w:w="2600" w:type="dxa"/>
            <w:vAlign w:val="top"/>
          </w:tcPr>
          <w:p>
            <w:pPr>
              <w:spacing w:after="0"/>
            </w:pPr>
            <w:r>
              <w:rPr>
                <w:i/>
                <w:sz w:val="17"/>
                <w:szCs w:val="17"/>
              </w:rPr>
              <w:t xml:space="preserve">« Une administration orale de fer un jour sur deux (plutôt que quotidienne) augmente significativement l'absorption intestinale »</w:t>
            </w:r>
          </w:p>
        </w:tc>
        <w:tc>
          <w:tcPr>
            <w:tcW w:w="3000" w:type="dxa"/>
            <w:vAlign w:val="top"/>
          </w:tcPr>
          <w:p>
            <w:pPr>
              <w:spacing w:after="40"/>
            </w:pPr>
            <w:r>
              <w:rPr>
                <w:sz w:val="17"/>
                <w:szCs w:val="17"/>
              </w:rPr>
              <w:t xml:space="preserve">Le point 13 ne contient qu'une seule phrase dans chaque monographie V5, alors que le prompt exige 3 à 6 phrases courtes.</w:t>
            </w:r>
          </w:p>
          <w:p>
            <w:pPr>
              <w:spacing w:after="0"/>
            </w:pPr>
            <w:r>
              <w:rPr>
                <w:b/>
                <w:color w:val="145A32"/>
                <w:sz w:val="17"/>
                <w:szCs w:val="17"/>
              </w:rPr>
              <w:t xml:space="preserve">→ Rédiger 3 à 6 phrases courtes et verbales par point 13, chacune portant un message clé distinct.</w:t>
            </w:r>
          </w:p>
        </w:tc>
        <w:tc>
          <w:tcPr>
            <w:tcW w:w="1800" w:type="dxa"/>
            <w:vAlign w:val="top"/>
          </w:tcPr>
          <w:p>
            <w:pPr>
              <w:spacing w:after="0"/>
            </w:pPr>
            <w:r>
              <w:rPr>
                <w:sz w:val="17"/>
                <w:szCs w:val="17"/>
              </w:rPr>
              <w:t xml:space="preserve">PROMPT_V6.md (prompt de base), § 5.13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L4-L18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Appel A › Bloc 1 › point 4</w:t>
            </w:r>
          </w:p>
        </w:tc>
        <w:tc>
          <w:tcPr>
            <w:tcW w:w="2600" w:type="dxa"/>
            <w:vAlign w:val="top"/>
          </w:tcPr>
          <w:p>
            <w:pPr>
              <w:spacing w:after="0"/>
            </w:pPr>
            <w:r>
              <w:rPr>
                <w:i/>
                <w:sz w:val="17"/>
                <w:szCs w:val="17"/>
              </w:rPr>
              <w:t xml:space="preserve">« Le praticien écarte immédiatement les urgences (insuffisance cardiaque terminale, insuffisance rénale aiguë, néoplasie occulte, anémie sévère). »</w:t>
            </w:r>
          </w:p>
        </w:tc>
        <w:tc>
          <w:tcPr>
            <w:tcW w:w="3000" w:type="dxa"/>
            <w:vAlign w:val="top"/>
          </w:tcPr>
          <w:p>
            <w:pPr>
              <w:spacing w:after="40"/>
            </w:pPr>
            <w:r>
              <w:rPr>
                <w:sz w:val="17"/>
                <w:szCs w:val="17"/>
              </w:rPr>
              <w:t xml:space="preserve">Le point 4 ne présente pas les 3 ou 4 diagnostics différentiels discriminants avec le signe qui tranche et le piège associé ; il classe aussi « néoplasie occulte » parmi les urgences immédiates.</w:t>
            </w:r>
          </w:p>
          <w:p>
            <w:pPr>
              <w:spacing w:after="0"/>
            </w:pPr>
            <w:r>
              <w:rPr>
                <w:b/>
                <w:color w:val="145A32"/>
                <w:sz w:val="17"/>
                <w:szCs w:val="17"/>
              </w:rPr>
              <w:t xml:space="preserve">→ Ajouter un tableau « confusion dangereuse | signe ou examen qui tranche | piège » (par exemple dépression contre hypothyroïdie : TSH ; SAOS contre EM/SFC : malaise post-effort) et distinguer urgences vitales et diagnostics graves à exclure.</w:t>
            </w:r>
          </w:p>
        </w:tc>
        <w:tc>
          <w:tcPr>
            <w:tcW w:w="1800" w:type="dxa"/>
            <w:vAlign w:val="top"/>
          </w:tcPr>
          <w:p>
            <w:pPr>
              <w:spacing w:after="0"/>
            </w:pPr>
            <w:r>
              <w:rPr>
                <w:sz w:val="17"/>
                <w:szCs w:val="17"/>
              </w:rPr>
              <w:t xml:space="preserve">PROMPT_V6.md (prompt de base), § 5.4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L4-L24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Partie 3 › D4.6 point 3 et D4.7 points 3 et 7 › symboles perdues (≈ 8 emplacements)</w:t>
            </w:r>
          </w:p>
        </w:tc>
        <w:tc>
          <w:tcPr>
            <w:tcW w:w="2600" w:type="dxa"/>
            <w:vAlign w:val="top"/>
          </w:tcPr>
          <w:p>
            <w:pPr>
              <w:spacing w:after="0"/>
            </w:pPr>
            <w:r>
              <w:rPr>
                <w:i/>
                <w:sz w:val="17"/>
                <w:szCs w:val="17"/>
              </w:rPr>
              <w:t xml:space="preserve">« l'épuisement profond s'explique par une quadruple physiopathologie »</w:t>
            </w:r>
          </w:p>
        </w:tc>
        <w:tc>
          <w:tcPr>
            <w:tcW w:w="3000" w:type="dxa"/>
            <w:vAlign w:val="top"/>
          </w:tcPr>
          <w:p>
            <w:pPr>
              <w:spacing w:after="40"/>
            </w:pPr>
            <w:r>
              <w:rPr>
                <w:sz w:val="17"/>
                <w:szCs w:val="17"/>
              </w:rPr>
              <w:t xml:space="preserve">D'autres symboles ont disparu à la conversion (débit cardiaque, calcitriol, 1α-hydroxylase, HCO₃⁻, phosphate), ce qui rend les phrases incompréhensibles (« Lorsque le chute sous »).</w:t>
            </w:r>
          </w:p>
          <w:p>
            <w:pPr>
              <w:spacing w:after="0"/>
            </w:pPr>
            <w:r>
              <w:rPr>
                <w:b/>
                <w:color w:val="145A32"/>
                <w:sz w:val="17"/>
                <w:szCs w:val="17"/>
              </w:rPr>
              <w:t xml:space="preserve">→ Rétablir chaque symbole en texte Unicode : « Lorsque le DFGe chute sous 30 mL/min/1,73 m² », « calcitriol (1,25-(OH)₂-vitamine D) », « 1α-hydroxylase », « HCO₃⁻ », « PO₄³⁻ ».</w:t>
            </w:r>
          </w:p>
        </w:tc>
        <w:tc>
          <w:tcPr>
            <w:tcW w:w="1800" w:type="dxa"/>
            <w:vAlign w:val="top"/>
          </w:tcPr>
          <w:p>
            <w:pPr>
              <w:spacing w:after="0"/>
            </w:pPr>
            <w:r>
              <w:rPr>
                <w:sz w:val="17"/>
                <w:szCs w:val="17"/>
              </w:rPr>
              <w:t xml:space="preserve">PROMPT_V6.md (prompt de base), § 6.7 et §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L4-L30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Partie 4 › D4.10 fenêtre 3.10 et D4.9 fenêtre 3.9 › exemples cliniques</w:t>
            </w:r>
          </w:p>
        </w:tc>
        <w:tc>
          <w:tcPr>
            <w:tcW w:w="2600" w:type="dxa"/>
            <w:vAlign w:val="top"/>
          </w:tcPr>
          <w:p>
            <w:pPr>
              <w:spacing w:after="0"/>
            </w:pPr>
            <w:r>
              <w:rPr>
                <w:i/>
                <w:sz w:val="17"/>
                <w:szCs w:val="17"/>
              </w:rPr>
              <w:t xml:space="preserve">« Exemple clinique : Patiente fatiguée et bronzée avec , , , . »</w:t>
            </w:r>
          </w:p>
        </w:tc>
        <w:tc>
          <w:tcPr>
            <w:tcW w:w="3000" w:type="dxa"/>
            <w:vAlign w:val="top"/>
          </w:tcPr>
          <w:p>
            <w:pPr>
              <w:spacing w:after="40"/>
            </w:pPr>
            <w:r>
              <w:rPr>
                <w:sz w:val="17"/>
                <w:szCs w:val="17"/>
              </w:rPr>
              <w:t xml:space="preserve">Les valeurs des exemples résolus ont disparu (ionogramme de l'Addison, temps du test au Synacthène®, FC et PA du test d'orthostatisme), alors que le calcul en dépend.</w:t>
            </w:r>
          </w:p>
          <w:p>
            <w:pPr>
              <w:spacing w:after="0"/>
            </w:pPr>
            <w:r>
              <w:rPr>
                <w:b/>
                <w:color w:val="145A32"/>
                <w:sz w:val="17"/>
                <w:szCs w:val="17"/>
              </w:rPr>
              <w:t xml:space="preserve">→ Rétablir : « Na⁺ 128 mmol/L, K⁺ … mmol/L, Cl⁻ 100 mmol/L, HCO₃⁻ 18 mmol/L », les temps « 0, 30 et 60 min » et les FC/PA couchée et debout cohérentes avec ΔFC = 112 − 68.</w:t>
            </w:r>
          </w:p>
        </w:tc>
        <w:tc>
          <w:tcPr>
            <w:tcW w:w="1800" w:type="dxa"/>
            <w:vAlign w:val="top"/>
          </w:tcPr>
          <w:p>
            <w:pPr>
              <w:spacing w:after="0"/>
            </w:pPr>
            <w:r>
              <w:rPr>
                <w:sz w:val="17"/>
                <w:szCs w:val="17"/>
              </w:rPr>
              <w:t xml:space="preserve">PROMPT_V6.md (prompt de base), § 7 (exemple résolu recalculé)</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L4-L35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Partie 1 › D4.2 › point 11.D</w:t>
            </w:r>
          </w:p>
        </w:tc>
        <w:tc>
          <w:tcPr>
            <w:tcW w:w="2600" w:type="dxa"/>
            <w:vAlign w:val="top"/>
          </w:tcPr>
          <w:p>
            <w:pPr>
              <w:spacing w:after="0"/>
            </w:pPr>
            <w:r>
              <w:rPr>
                <w:i/>
                <w:sz w:val="17"/>
                <w:szCs w:val="17"/>
              </w:rPr>
              <w:t xml:space="preserve">« l'administration de kétamine intranasale ( Spravato® ) agissant sur le système glutamatergique pour les dépressions ultra-résistantes. »</w:t>
            </w:r>
          </w:p>
        </w:tc>
        <w:tc>
          <w:tcPr>
            <w:tcW w:w="3000" w:type="dxa"/>
            <w:vAlign w:val="top"/>
          </w:tcPr>
          <w:p>
            <w:pPr>
              <w:spacing w:after="40"/>
            </w:pPr>
            <w:r>
              <w:rPr>
                <w:sz w:val="17"/>
                <w:szCs w:val="17"/>
              </w:rPr>
              <w:t xml:space="preserve">Spravato® contient de l'eskétamine, non de la kétamine, et Swissmedic l'a autorisé dès le 25.02.2020 : il ne s'agit pas d'une recherche 2026.</w:t>
            </w:r>
          </w:p>
          <w:p>
            <w:pPr>
              <w:spacing w:after="0"/>
            </w:pPr>
            <w:r>
              <w:rPr>
                <w:b/>
                <w:color w:val="145A32"/>
                <w:sz w:val="17"/>
                <w:szCs w:val="17"/>
              </w:rPr>
              <w:t xml:space="preserve">→ Écrire : « L'eskétamine intranasale (Spravato®), autorisée par Swissmedic depuis 2020 pour la dépression résistante en association avec un antidépresseur oral, se prescrit par un psychiatre dans un cadre surveillé. »</w:t>
            </w:r>
          </w:p>
        </w:tc>
        <w:tc>
          <w:tcPr>
            <w:tcW w:w="1800" w:type="dxa"/>
            <w:vAlign w:val="top"/>
          </w:tcPr>
          <w:p>
            <w:pPr>
              <w:spacing w:after="0"/>
            </w:pPr>
            <w:r>
              <w:rPr>
                <w:sz w:val="17"/>
                <w:szCs w:val="17"/>
              </w:rPr>
              <w:t xml:space="preserve">Swissmedic, Public Summary SwissPAR – Spravato®, 2020, https://www.swissmedic.ch/swissmedic/en/home/about-us/publications/public-summary-swiss-par/public-summary-swiss-par-spravato.html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L4-L36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Partie 1 › D4.2 › point 2</w:t>
            </w:r>
          </w:p>
        </w:tc>
        <w:tc>
          <w:tcPr>
            <w:tcW w:w="2600" w:type="dxa"/>
            <w:vAlign w:val="top"/>
          </w:tcPr>
          <w:p>
            <w:pPr>
              <w:spacing w:after="0"/>
            </w:pPr>
            <w:r>
              <w:rPr>
                <w:i/>
                <w:sz w:val="17"/>
                <w:szCs w:val="17"/>
              </w:rPr>
              <w:t xml:space="preserve">« le burn-out fragilise environ 25 % des travailleurs suisses, constituant un fléau économique majeur. »</w:t>
            </w:r>
          </w:p>
        </w:tc>
        <w:tc>
          <w:tcPr>
            <w:tcW w:w="3000" w:type="dxa"/>
            <w:vAlign w:val="top"/>
          </w:tcPr>
          <w:p>
            <w:pPr>
              <w:spacing w:after="40"/>
            </w:pPr>
            <w:r>
              <w:rPr>
                <w:sz w:val="17"/>
                <w:szCs w:val="17"/>
              </w:rPr>
              <w:t xml:space="preserve">Le pourcentage n'est rattaché à aucune source et la formule « fléau économique » relève du jugement, non de l'épidémiologie.</w:t>
            </w:r>
          </w:p>
          <w:p>
            <w:pPr>
              <w:spacing w:after="0"/>
            </w:pPr>
            <w:r>
              <w:rPr>
                <w:b/>
                <w:color w:val="145A32"/>
                <w:sz w:val="17"/>
                <w:szCs w:val="17"/>
              </w:rPr>
              <w:t xml:space="preserve">→ Citer le chiffre exact d'une source suisse (par exemple l'indice Job-Stress de Promotion Santé Suisse, année et URL) ou écrire « donnée non trouvée dans les sources consultées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L4-L41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Partie 2 › D4.4 › point 2</w:t>
            </w:r>
          </w:p>
        </w:tc>
        <w:tc>
          <w:tcPr>
            <w:tcW w:w="2600" w:type="dxa"/>
            <w:vAlign w:val="top"/>
          </w:tcPr>
          <w:p>
            <w:pPr>
              <w:spacing w:after="0"/>
            </w:pPr>
            <w:r>
              <w:rPr>
                <w:i/>
                <w:sz w:val="17"/>
                <w:szCs w:val="17"/>
              </w:rPr>
              <w:t xml:space="preserve">« pays où la carence en iode est historiquement éradiquée grâce à la fluoration et l'iodation du sel de cuisine »</w:t>
            </w:r>
          </w:p>
        </w:tc>
        <w:tc>
          <w:tcPr>
            <w:tcW w:w="3000" w:type="dxa"/>
            <w:vAlign w:val="top"/>
          </w:tcPr>
          <w:p>
            <w:pPr>
              <w:spacing w:after="40"/>
            </w:pPr>
            <w:r>
              <w:rPr>
                <w:sz w:val="17"/>
                <w:szCs w:val="17"/>
              </w:rPr>
              <w:t xml:space="preserve">La fluoration du sel prévient la carie et ne corrige pas la carence en iode ; seule l'iodation agit sur la thyroïde.</w:t>
            </w:r>
          </w:p>
          <w:p>
            <w:pPr>
              <w:spacing w:after="0"/>
            </w:pPr>
            <w:r>
              <w:rPr>
                <w:b/>
                <w:color w:val="145A32"/>
                <w:sz w:val="17"/>
                <w:szCs w:val="17"/>
              </w:rPr>
              <w:t xml:space="preserve">→ Écrire « grâce à l'iodation du sel de cuisine » et sourcer la prévalence et le ratio femme/homme 8:1.</w:t>
            </w:r>
          </w:p>
        </w:tc>
        <w:tc>
          <w:tcPr>
            <w:tcW w:w="1800" w:type="dxa"/>
            <w:vAlign w:val="top"/>
          </w:tcPr>
          <w:p>
            <w:pPr>
              <w:spacing w:after="0"/>
            </w:pPr>
            <w:r>
              <w:rPr>
                <w:sz w:val="17"/>
                <w:szCs w:val="17"/>
              </w:rPr>
              <w:t xml:space="preserve">Donnée non trouvée dans les sources consultées (prévalence et ratio à sourcer : OFSP ou SSED)</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L4-L42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Partie 2 › D4.4 › point 3</w:t>
            </w:r>
          </w:p>
        </w:tc>
        <w:tc>
          <w:tcPr>
            <w:tcW w:w="2600" w:type="dxa"/>
            <w:vAlign w:val="top"/>
          </w:tcPr>
          <w:p>
            <w:pPr>
              <w:spacing w:after="0"/>
            </w:pPr>
            <w:r>
              <w:rPr>
                <w:i/>
                <w:sz w:val="17"/>
                <w:szCs w:val="17"/>
              </w:rPr>
              <w:t xml:space="preserve">« réduit la transcription des pompes , diminue la thermogenèse mitochondriale »</w:t>
            </w:r>
          </w:p>
        </w:tc>
        <w:tc>
          <w:tcPr>
            <w:tcW w:w="3000" w:type="dxa"/>
            <w:vAlign w:val="top"/>
          </w:tcPr>
          <w:p>
            <w:pPr>
              <w:spacing w:after="40"/>
            </w:pPr>
            <w:r>
              <w:rPr>
                <w:sz w:val="17"/>
                <w:szCs w:val="17"/>
              </w:rPr>
              <w:t xml:space="preserve">Un mot a disparu après « pompes » : la phrase n'a plus de sens.</w:t>
            </w:r>
          </w:p>
          <w:p>
            <w:pPr>
              <w:spacing w:after="0"/>
            </w:pPr>
            <w:r>
              <w:rPr>
                <w:b/>
                <w:color w:val="145A32"/>
                <w:sz w:val="17"/>
                <w:szCs w:val="17"/>
              </w:rPr>
              <w:t xml:space="preserve">→ Écrire « réduit la transcription des pompes Na⁺/K⁺-ATPase ».</w:t>
            </w:r>
          </w:p>
        </w:tc>
        <w:tc>
          <w:tcPr>
            <w:tcW w:w="1800" w:type="dxa"/>
            <w:vAlign w:val="top"/>
          </w:tcPr>
          <w:p>
            <w:pPr>
              <w:spacing w:after="0"/>
            </w:pPr>
            <w:r>
              <w:rPr>
                <w:sz w:val="17"/>
                <w:szCs w:val="17"/>
              </w:rPr>
              <w:t xml:space="preserve">PROMPT_V6.md (prompt de base),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L4-L43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Partie 2 › D4.3 › point 11.B › CPAP</w:t>
            </w:r>
          </w:p>
        </w:tc>
        <w:tc>
          <w:tcPr>
            <w:tcW w:w="2600" w:type="dxa"/>
            <w:vAlign w:val="top"/>
          </w:tcPr>
          <w:p>
            <w:pPr>
              <w:spacing w:after="0"/>
            </w:pPr>
            <w:r>
              <w:rPr>
                <w:i/>
                <w:sz w:val="17"/>
                <w:szCs w:val="17"/>
              </w:rPr>
              <w:t xml:space="preserve">« (pression titrée entre 6 et 14 ). »</w:t>
            </w:r>
          </w:p>
        </w:tc>
        <w:tc>
          <w:tcPr>
            <w:tcW w:w="3000" w:type="dxa"/>
            <w:vAlign w:val="top"/>
          </w:tcPr>
          <w:p>
            <w:pPr>
              <w:spacing w:after="40"/>
            </w:pPr>
            <w:r>
              <w:rPr>
                <w:sz w:val="17"/>
                <w:szCs w:val="17"/>
              </w:rPr>
              <w:t xml:space="preserve">L'unité de pression a disparu.</w:t>
            </w:r>
          </w:p>
          <w:p>
            <w:pPr>
              <w:spacing w:after="0"/>
            </w:pPr>
            <w:r>
              <w:rPr>
                <w:b/>
                <w:color w:val="145A32"/>
                <w:sz w:val="17"/>
                <w:szCs w:val="17"/>
              </w:rPr>
              <w:t xml:space="preserve">→ Écrire « pression titrée entre 6 et 14 cmH₂O » et sourcer cette plage.</w:t>
            </w:r>
          </w:p>
        </w:tc>
        <w:tc>
          <w:tcPr>
            <w:tcW w:w="1800" w:type="dxa"/>
            <w:vAlign w:val="top"/>
          </w:tcPr>
          <w:p>
            <w:pPr>
              <w:spacing w:after="0"/>
            </w:pPr>
            <w:r>
              <w:rPr>
                <w:sz w:val="17"/>
                <w:szCs w:val="17"/>
              </w:rPr>
              <w:t xml:space="preserve">PROMPT_V6.md (prompt de base), § 6.7 et §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L4-L44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Partie 2 › D4.3 › point 11.B › moyens pharmacologiques</w:t>
            </w:r>
          </w:p>
        </w:tc>
        <w:tc>
          <w:tcPr>
            <w:tcW w:w="2600" w:type="dxa"/>
            <w:vAlign w:val="top"/>
          </w:tcPr>
          <w:p>
            <w:pPr>
              <w:spacing w:after="0"/>
            </w:pPr>
            <w:r>
              <w:rPr>
                <w:i/>
                <w:sz w:val="17"/>
                <w:szCs w:val="17"/>
              </w:rPr>
              <w:t xml:space="preserve">« Tirzépatide (Nom commercial suisse : Mounjaro® ) ou Sémaglutide ( Wegovy® ), permettant une réduction de l'IAH de 50 % »</w:t>
            </w:r>
          </w:p>
        </w:tc>
        <w:tc>
          <w:tcPr>
            <w:tcW w:w="3000" w:type="dxa"/>
            <w:vAlign w:val="top"/>
          </w:tcPr>
          <w:p>
            <w:pPr>
              <w:spacing w:after="40"/>
            </w:pPr>
            <w:r>
              <w:rPr>
                <w:sz w:val="17"/>
                <w:szCs w:val="17"/>
              </w:rPr>
              <w:t xml:space="preserve">Le chiffre de 50 % est attribué aux deux molécules sans source, et l'indication « SAOS » n'est pas vérifiée dans l'information professionnelle suisse.</w:t>
            </w:r>
          </w:p>
          <w:p>
            <w:pPr>
              <w:spacing w:after="0"/>
            </w:pPr>
            <w:r>
              <w:rPr>
                <w:b/>
                <w:color w:val="145A32"/>
                <w:sz w:val="17"/>
                <w:szCs w:val="17"/>
              </w:rPr>
              <w:t xml:space="preserve">→ Limiter l'affirmation à la molécule et à l'essai sources (numéro NCT), vérifier l'indication suisse dans AIPS et écrire sinon « hors indication en Suisse ».</w:t>
            </w:r>
          </w:p>
        </w:tc>
        <w:tc>
          <w:tcPr>
            <w:tcW w:w="1800" w:type="dxa"/>
            <w:vAlign w:val="top"/>
          </w:tcPr>
          <w:p>
            <w:pPr>
              <w:spacing w:after="0"/>
            </w:pPr>
            <w:r>
              <w:rPr>
                <w:sz w:val="17"/>
                <w:szCs w:val="17"/>
              </w:rPr>
              <w:t xml:space="preserve">Donnée non trouvée dans les sources consultées (indication à vérifier dans AIPS/compendium.ch)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L4-L45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Partie 2 › D4.3 › point 11.D (même défaut dans les 11.D des Parties 2 à 4)</w:t>
            </w:r>
          </w:p>
        </w:tc>
        <w:tc>
          <w:tcPr>
            <w:tcW w:w="2600" w:type="dxa"/>
            <w:vAlign w:val="top"/>
          </w:tcPr>
          <w:p>
            <w:pPr>
              <w:spacing w:after="0"/>
            </w:pPr>
            <w:r>
              <w:rPr>
                <w:i/>
                <w:sz w:val="17"/>
                <w:szCs w:val="17"/>
              </w:rPr>
              <w:t xml:space="preserve">« En 2026, la recherche valide le stimulateur implanté du nerf hypoglosse ( Inspire® ) pour les intolérants à la CPAP »</w:t>
            </w:r>
          </w:p>
        </w:tc>
        <w:tc>
          <w:tcPr>
            <w:tcW w:w="3000" w:type="dxa"/>
            <w:vAlign w:val="top"/>
          </w:tcPr>
          <w:p>
            <w:pPr>
              <w:spacing w:after="40"/>
            </w:pPr>
            <w:r>
              <w:rPr>
                <w:sz w:val="17"/>
                <w:szCs w:val="17"/>
              </w:rPr>
              <w:t xml:space="preserve">La rubrique « recherche 2026 » mêle des dispositifs déjà commercialisés et des essais sans numéro NCT, ce qui empêche toute vérification.</w:t>
            </w:r>
          </w:p>
          <w:p>
            <w:pPr>
              <w:spacing w:after="0"/>
            </w:pPr>
            <w:r>
              <w:rPr>
                <w:b/>
                <w:color w:val="145A32"/>
                <w:sz w:val="17"/>
                <w:szCs w:val="17"/>
              </w:rPr>
              <w:t xml:space="preserve">→ Distinguer « traitement disponible » et « essai en cours » ; donner pour chaque essai sa phase et son numéro NCT, ou écrire « donnée non trouvée dans les sources consultées ».</w:t>
            </w:r>
          </w:p>
        </w:tc>
        <w:tc>
          <w:tcPr>
            <w:tcW w:w="1800" w:type="dxa"/>
            <w:vAlign w:val="top"/>
          </w:tcPr>
          <w:p>
            <w:pPr>
              <w:spacing w:after="0"/>
            </w:pPr>
            <w:r>
              <w:rPr>
                <w:sz w:val="17"/>
                <w:szCs w:val="17"/>
              </w:rPr>
              <w:t xml:space="preserve">PROMPT_V6.md (prompt de base), § 5.11.D</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L4-L46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Partie 2 › D4.4 › point 11.D</w:t>
            </w:r>
          </w:p>
        </w:tc>
        <w:tc>
          <w:tcPr>
            <w:tcW w:w="2600" w:type="dxa"/>
            <w:vAlign w:val="top"/>
          </w:tcPr>
          <w:p>
            <w:pPr>
              <w:spacing w:after="0"/>
            </w:pPr>
            <w:r>
              <w:rPr>
                <w:i/>
                <w:sz w:val="17"/>
                <w:szCs w:val="17"/>
              </w:rPr>
              <w:t xml:space="preserve">« bithérapie combinant Lévothyroxine et Liothyronine à libération prolongée ( Novothyral® ). »</w:t>
            </w:r>
          </w:p>
        </w:tc>
        <w:tc>
          <w:tcPr>
            <w:tcW w:w="3000" w:type="dxa"/>
            <w:vAlign w:val="top"/>
          </w:tcPr>
          <w:p>
            <w:pPr>
              <w:spacing w:after="40"/>
            </w:pPr>
            <w:r>
              <w:rPr>
                <w:sz w:val="17"/>
                <w:szCs w:val="17"/>
              </w:rPr>
              <w:t xml:space="preserve">Le texte affirme sans source que le polymorphisme DIO2 « permet d'identifier » les patients répondeurs et qualifie Novothyral® de forme à libération prolongée ; sa disponibilité en Suisse n'est pas vérifiée.</w:t>
            </w:r>
          </w:p>
          <w:p>
            <w:pPr>
              <w:spacing w:after="0"/>
            </w:pPr>
            <w:r>
              <w:rPr>
                <w:b/>
                <w:color w:val="145A32"/>
                <w:sz w:val="17"/>
                <w:szCs w:val="17"/>
              </w:rPr>
              <w:t xml:space="preserve">→ Écrire que la combinaison LT4/LT3 reste un essai individuel réservé aux patients symptomatiques malgré une TSH normale, sans test DIO2 validé, et vérifier la spécialité dans AIPS.</w:t>
            </w:r>
          </w:p>
        </w:tc>
        <w:tc>
          <w:tcPr>
            <w:tcW w:w="1800" w:type="dxa"/>
            <w:vAlign w:val="top"/>
          </w:tcPr>
          <w:p>
            <w:pPr>
              <w:spacing w:after="0"/>
            </w:pPr>
            <w:r>
              <w:rPr>
                <w:sz w:val="17"/>
                <w:szCs w:val="17"/>
              </w:rPr>
              <w:t xml:space="preserve">Donnée non trouvée dans les sources consultées (recommandation ETA 2012 sur la combinaison LT4/LT3 à lire ; spécialité à vérifier dans compendium.ch)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L4-L47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Partie 2 › D4.5 › point 14</w:t>
            </w:r>
          </w:p>
        </w:tc>
        <w:tc>
          <w:tcPr>
            <w:tcW w:w="2600" w:type="dxa"/>
            <w:vAlign w:val="top"/>
          </w:tcPr>
          <w:p>
            <w:pPr>
              <w:spacing w:after="0"/>
            </w:pPr>
            <w:r>
              <w:rPr>
                <w:i/>
                <w:sz w:val="17"/>
                <w:szCs w:val="17"/>
              </w:rPr>
              <w:t xml:space="preserve">« cette erreur déclenche dans 90 % des cas un exanthème maculo-papuleux morbilliforme »</w:t>
            </w:r>
          </w:p>
        </w:tc>
        <w:tc>
          <w:tcPr>
            <w:tcW w:w="3000" w:type="dxa"/>
            <w:vAlign w:val="top"/>
          </w:tcPr>
          <w:p>
            <w:pPr>
              <w:spacing w:after="40"/>
            </w:pPr>
            <w:r>
              <w:rPr>
                <w:sz w:val="17"/>
                <w:szCs w:val="17"/>
              </w:rPr>
              <w:t xml:space="preserve">Le chiffre de 90 % provient d'anciennes séries sous ampicilline ; une étude rétrospective de 2013 trouve une incidence nettement plus faible sous amoxicilline.</w:t>
            </w:r>
          </w:p>
          <w:p>
            <w:pPr>
              <w:spacing w:after="0"/>
            </w:pPr>
            <w:r>
              <w:rPr>
                <w:b/>
                <w:color w:val="145A32"/>
                <w:sz w:val="17"/>
                <w:szCs w:val="17"/>
              </w:rPr>
              <w:t xml:space="preserve">→ Écrire : « cette erreur déclenche fréquemment un exanthème maculo-papuleux ; les séries anciennes sous ampicilline rapportaient 80 à 100 %, les séries récentes sous amoxicilline une fréquence nettement plus basse [Sn] ».</w:t>
            </w:r>
          </w:p>
        </w:tc>
        <w:tc>
          <w:tcPr>
            <w:tcW w:w="1800" w:type="dxa"/>
            <w:vAlign w:val="top"/>
          </w:tcPr>
          <w:p>
            <w:pPr>
              <w:spacing w:after="0"/>
            </w:pPr>
            <w:r>
              <w:rPr>
                <w:sz w:val="17"/>
                <w:szCs w:val="17"/>
              </w:rPr>
              <w:t xml:space="preserve">Chovel-Sella A et al., Pediatrics 2013;131(5):e1424-7, doi 10.1542/peds.2012-1575 ; résumé Healio 2013, https://www.healio.com/news/pediatrics/20130501/idc0413chovelsella_10_3928_1081_597x_20130401_04_1132857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L4-L48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Partie 3 › D4.6 › point 4</w:t>
            </w:r>
          </w:p>
        </w:tc>
        <w:tc>
          <w:tcPr>
            <w:tcW w:w="2600" w:type="dxa"/>
            <w:vAlign w:val="top"/>
          </w:tcPr>
          <w:p>
            <w:pPr>
              <w:spacing w:after="0"/>
            </w:pPr>
            <w:r>
              <w:rPr>
                <w:i/>
                <w:sz w:val="17"/>
                <w:szCs w:val="17"/>
              </w:rPr>
              <w:t xml:space="preserve">« il identifie son étiologie causale selon l'acronyme CHAMPIT »</w:t>
            </w:r>
          </w:p>
        </w:tc>
        <w:tc>
          <w:tcPr>
            <w:tcW w:w="3000" w:type="dxa"/>
            <w:vAlign w:val="top"/>
          </w:tcPr>
          <w:p>
            <w:pPr>
              <w:spacing w:after="40"/>
            </w:pPr>
            <w:r>
              <w:rPr>
                <w:sz w:val="17"/>
                <w:szCs w:val="17"/>
              </w:rPr>
              <w:t xml:space="preserve">CHAMPIT résume les facteurs déclenchants d'une décompensation aiguë, non les étiologies de l'insuffisance cardiaque chronique ; « étiologie causale » est en outre un pléonasme.</w:t>
            </w:r>
          </w:p>
          <w:p>
            <w:pPr>
              <w:spacing w:after="0"/>
            </w:pPr>
            <w:r>
              <w:rPr>
                <w:b/>
                <w:color w:val="145A32"/>
                <w:sz w:val="17"/>
                <w:szCs w:val="17"/>
              </w:rPr>
              <w:t xml:space="preserve">→ Écrire : « Il recherche l'étiologie (cardiopathie ischémique, HTA, valvulopathie, cardiomyopathie) ; en cas de décompensation, il cherche le facteur déclenchant selon CHAMPIT. »</w:t>
            </w:r>
          </w:p>
        </w:tc>
        <w:tc>
          <w:tcPr>
            <w:tcW w:w="1800" w:type="dxa"/>
            <w:vAlign w:val="top"/>
          </w:tcPr>
          <w:p>
            <w:pPr>
              <w:spacing w:after="0"/>
            </w:pPr>
            <w:r>
              <w:rPr>
                <w:sz w:val="17"/>
                <w:szCs w:val="17"/>
              </w:rPr>
              <w:t xml:space="preserve">Donnée non trouvée dans les sources consultées (ESC Heart Failure Guidelines 2021 à relire)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L4-L49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Partie 3 › D4.6 › point 6</w:t>
            </w:r>
          </w:p>
        </w:tc>
        <w:tc>
          <w:tcPr>
            <w:tcW w:w="2600" w:type="dxa"/>
            <w:vAlign w:val="top"/>
          </w:tcPr>
          <w:p>
            <w:pPr>
              <w:spacing w:after="0"/>
            </w:pPr>
            <w:r>
              <w:rPr>
                <w:i/>
                <w:sz w:val="17"/>
                <w:szCs w:val="17"/>
              </w:rPr>
              <w:t xml:space="preserve">« galop protodiastolique (bruit B3 pathognomonique d'une dysfonction systolique sévère) »</w:t>
            </w:r>
          </w:p>
        </w:tc>
        <w:tc>
          <w:tcPr>
            <w:tcW w:w="3000" w:type="dxa"/>
            <w:vAlign w:val="top"/>
          </w:tcPr>
          <w:p>
            <w:pPr>
              <w:spacing w:after="40"/>
            </w:pPr>
            <w:r>
              <w:rPr>
                <w:sz w:val="17"/>
                <w:szCs w:val="17"/>
              </w:rPr>
              <w:t xml:space="preserve">Un B3 n'est pathognomonique d'aucune maladie : il peut être physiologique chez le sujet jeune.</w:t>
            </w:r>
          </w:p>
          <w:p>
            <w:pPr>
              <w:spacing w:after="0"/>
            </w:pPr>
            <w:r>
              <w:rPr>
                <w:b/>
                <w:color w:val="145A32"/>
                <w:sz w:val="17"/>
                <w:szCs w:val="17"/>
              </w:rPr>
              <w:t xml:space="preserve">→ Écrire « un B3, physiologique chez le sujet jeune, évoque après 40 ans une élévation des pressions de remplissage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L4-L50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Partie 3 › D4.6 › point 11.C › surveillance clinique</w:t>
            </w:r>
          </w:p>
        </w:tc>
        <w:tc>
          <w:tcPr>
            <w:tcW w:w="2600" w:type="dxa"/>
            <w:vAlign w:val="top"/>
          </w:tcPr>
          <w:p>
            <w:pPr>
              <w:spacing w:after="0"/>
            </w:pPr>
            <w:r>
              <w:rPr>
                <w:i/>
                <w:sz w:val="17"/>
                <w:szCs w:val="17"/>
              </w:rPr>
              <w:t xml:space="preserve">« fréquence cardiaque (cible 50-60 bpm en rythme sinusal) »</w:t>
            </w:r>
          </w:p>
        </w:tc>
        <w:tc>
          <w:tcPr>
            <w:tcW w:w="3000" w:type="dxa"/>
            <w:vAlign w:val="top"/>
          </w:tcPr>
          <w:p>
            <w:pPr>
              <w:spacing w:after="40"/>
            </w:pPr>
            <w:r>
              <w:rPr>
                <w:sz w:val="17"/>
                <w:szCs w:val="17"/>
              </w:rPr>
              <w:t xml:space="preserve">La cible de 50–60 bpm n'est pas sourcée et paraît plus basse que les cibles usuelles de titration.</w:t>
            </w:r>
          </w:p>
          <w:p>
            <w:pPr>
              <w:spacing w:after="0"/>
            </w:pPr>
            <w:r>
              <w:rPr>
                <w:b/>
                <w:color w:val="145A32"/>
                <w:sz w:val="17"/>
                <w:szCs w:val="17"/>
              </w:rPr>
              <w:t xml:space="preserve">→ Sourcer la cible dans la recommandation ESC applicable ou supprimer la valeur.</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L4-L51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Partie 3 › D4.7 › point 9 › 1re intention</w:t>
            </w:r>
          </w:p>
        </w:tc>
        <w:tc>
          <w:tcPr>
            <w:tcW w:w="2600" w:type="dxa"/>
            <w:vAlign w:val="top"/>
          </w:tcPr>
          <w:p>
            <w:pPr>
              <w:spacing w:after="0"/>
            </w:pPr>
            <w:r>
              <w:rPr>
                <w:i/>
                <w:sz w:val="17"/>
                <w:szCs w:val="17"/>
              </w:rPr>
              <w:t xml:space="preserve">« Contre-indication absolue aux produits de contraste iodés non préparés »</w:t>
            </w:r>
          </w:p>
        </w:tc>
        <w:tc>
          <w:tcPr>
            <w:tcW w:w="3000" w:type="dxa"/>
            <w:vAlign w:val="top"/>
          </w:tcPr>
          <w:p>
            <w:pPr>
              <w:spacing w:after="40"/>
            </w:pPr>
            <w:r>
              <w:rPr>
                <w:sz w:val="17"/>
                <w:szCs w:val="17"/>
              </w:rPr>
              <w:t xml:space="preserve">La formule « contre-indication absolue » n'est pas sourcée ; les recommandations européennes parlent de prévention de la néphropathie, non d'interdiction absolue.</w:t>
            </w:r>
          </w:p>
          <w:p>
            <w:pPr>
              <w:spacing w:after="0"/>
            </w:pPr>
            <w:r>
              <w:rPr>
                <w:b/>
                <w:color w:val="145A32"/>
                <w:sz w:val="17"/>
                <w:szCs w:val="17"/>
              </w:rPr>
              <w:t xml:space="preserve">→ Écrire « Le médecin évalue le rapport bénéfice/risque d'un produit de contraste iodé et applique les mesures de prévention » et sourcer (ESUR).</w:t>
            </w:r>
          </w:p>
        </w:tc>
        <w:tc>
          <w:tcPr>
            <w:tcW w:w="1800" w:type="dxa"/>
            <w:vAlign w:val="top"/>
          </w:tcPr>
          <w:p>
            <w:pPr>
              <w:spacing w:after="0"/>
            </w:pPr>
            <w:r>
              <w:rPr>
                <w:sz w:val="17"/>
                <w:szCs w:val="17"/>
              </w:rPr>
              <w:t xml:space="preserve">Donnée non trouvée dans les sources consultées (ESUR Guidelines on Contrast Agents à lire)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L4-L52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Partie 4 › D4.8 › fenêtre 3.8 › critères CRAB</w:t>
            </w:r>
          </w:p>
        </w:tc>
        <w:tc>
          <w:tcPr>
            <w:tcW w:w="2600" w:type="dxa"/>
            <w:vAlign w:val="top"/>
          </w:tcPr>
          <w:p>
            <w:pPr>
              <w:spacing w:after="0"/>
            </w:pPr>
            <w:r>
              <w:rPr>
                <w:i/>
                <w:sz w:val="17"/>
                <w:szCs w:val="17"/>
              </w:rPr>
              <w:t xml:space="preserve">« Infiltration médullaire plasmocytaire clonale (≥ 10 %) ou ratio des chaînes légères libres sériques impliquées/non impliquées ≥ 100. »</w:t>
            </w:r>
          </w:p>
        </w:tc>
        <w:tc>
          <w:tcPr>
            <w:tcW w:w="3000" w:type="dxa"/>
            <w:vAlign w:val="top"/>
          </w:tcPr>
          <w:p>
            <w:pPr>
              <w:spacing w:after="40"/>
            </w:pPr>
            <w:r>
              <w:rPr>
                <w:sz w:val="17"/>
                <w:szCs w:val="17"/>
              </w:rPr>
              <w:t xml:space="preserve">Le tableau présente comme alternatives le critère obligatoire (≥ 10 % de plasmocytes clonaux) et un événement définissant le myélome (ratio ≥ 100) ; il omet les autres critères SLiM.</w:t>
            </w:r>
          </w:p>
          <w:p>
            <w:pPr>
              <w:spacing w:after="0"/>
            </w:pPr>
            <w:r>
              <w:rPr>
                <w:b/>
                <w:color w:val="145A32"/>
                <w:sz w:val="17"/>
                <w:szCs w:val="17"/>
              </w:rPr>
              <w:t xml:space="preserve">→ Écrire : « Le diagnostic exige ≥ 10 % de plasmocytes clonaux médullaires (ou un plasmocytome prouvé) ET au moins un critère CRAB ou SLiM (plasmocytes ≥ 60 %, ratio ≥ 100, &gt; 1 lésion focale en IRM). »</w:t>
            </w:r>
          </w:p>
        </w:tc>
        <w:tc>
          <w:tcPr>
            <w:tcW w:w="1800" w:type="dxa"/>
            <w:vAlign w:val="top"/>
          </w:tcPr>
          <w:p>
            <w:pPr>
              <w:spacing w:after="0"/>
            </w:pPr>
            <w:r>
              <w:rPr>
                <w:sz w:val="17"/>
                <w:szCs w:val="17"/>
              </w:rPr>
              <w:t xml:space="preserve">Donnée non trouvée dans les sources consultées (critères IMWG 2014, Rajkumar SV et al., Lancet Oncol 2014, à lire)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L4-L53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Partie 4 › D4.8 › point 11.D</w:t>
            </w:r>
          </w:p>
        </w:tc>
        <w:tc>
          <w:tcPr>
            <w:tcW w:w="2600" w:type="dxa"/>
            <w:vAlign w:val="top"/>
          </w:tcPr>
          <w:p>
            <w:pPr>
              <w:spacing w:after="0"/>
            </w:pPr>
            <w:r>
              <w:rPr>
                <w:i/>
                <w:sz w:val="17"/>
                <w:szCs w:val="17"/>
              </w:rPr>
              <w:t xml:space="preserve">« En 2026, l'oncologie suisse déploie en routine les cellules CAR-T précoces »</w:t>
            </w:r>
          </w:p>
        </w:tc>
        <w:tc>
          <w:tcPr>
            <w:tcW w:w="3000" w:type="dxa"/>
            <w:vAlign w:val="top"/>
          </w:tcPr>
          <w:p>
            <w:pPr>
              <w:spacing w:after="40"/>
            </w:pPr>
            <w:r>
              <w:rPr>
                <w:sz w:val="17"/>
                <w:szCs w:val="17"/>
              </w:rPr>
              <w:t xml:space="preserve">Le texte présente comme pratique de routine des vaccins ARNm personnalisés et des anticorps anti-GDF-15 encore en essai, sans numéro NCT.</w:t>
            </w:r>
          </w:p>
          <w:p>
            <w:pPr>
              <w:spacing w:after="0"/>
            </w:pPr>
            <w:r>
              <w:rPr>
                <w:b/>
                <w:color w:val="145A32"/>
                <w:sz w:val="17"/>
                <w:szCs w:val="17"/>
              </w:rPr>
              <w:t xml:space="preserve">→ Séparer les traitements autorisés par Swissmedic (par exemple trastuzumab déruxtécan) des essais, donner la phase et le numéro NCT de chacun, et retirer « en routine ».</w:t>
            </w:r>
          </w:p>
        </w:tc>
        <w:tc>
          <w:tcPr>
            <w:tcW w:w="1800" w:type="dxa"/>
            <w:vAlign w:val="top"/>
          </w:tcPr>
          <w:p>
            <w:pPr>
              <w:spacing w:after="0"/>
            </w:pPr>
            <w:r>
              <w:rPr>
                <w:sz w:val="17"/>
                <w:szCs w:val="17"/>
              </w:rPr>
              <w:t xml:space="preserve">PROMPT_V6.md (prompt de base), § 5.11.D</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L4-L56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Partie 4 › D4.9 › point 8</w:t>
            </w:r>
          </w:p>
        </w:tc>
        <w:tc>
          <w:tcPr>
            <w:tcW w:w="2600" w:type="dxa"/>
            <w:vAlign w:val="top"/>
          </w:tcPr>
          <w:p>
            <w:pPr>
              <w:spacing w:after="0"/>
            </w:pPr>
            <w:r>
              <w:rPr>
                <w:i/>
                <w:sz w:val="17"/>
                <w:szCs w:val="17"/>
              </w:rPr>
              <w:t xml:space="preserve">« Selon les critères consensuels de l' Institute of Medicine (IOM 2015) et du NICE (2021) adoptés en Suisse, le diagnostic positif exige »</w:t>
            </w:r>
          </w:p>
        </w:tc>
        <w:tc>
          <w:tcPr>
            <w:tcW w:w="3000" w:type="dxa"/>
            <w:vAlign w:val="top"/>
          </w:tcPr>
          <w:p>
            <w:pPr>
              <w:spacing w:after="40"/>
            </w:pPr>
            <w:r>
              <w:rPr>
                <w:sz w:val="17"/>
                <w:szCs w:val="17"/>
              </w:rPr>
              <w:t xml:space="preserve">Le texte fusionne deux référentiels distincts : NICE NG206 confirme le diagnostic après 3 mois chez l'adulte, alors que l'IOM 2015 exige 6 mois ; l'adoption « en Suisse » n'est pas sourcée.</w:t>
            </w:r>
          </w:p>
          <w:p>
            <w:pPr>
              <w:spacing w:after="0"/>
            </w:pPr>
            <w:r>
              <w:rPr>
                <w:b/>
                <w:color w:val="145A32"/>
                <w:sz w:val="17"/>
                <w:szCs w:val="17"/>
              </w:rPr>
              <w:t xml:space="preserve">→ Présenter les deux référentiels séparément dans une fenêtre (IOM 2015 : 6 mois ; NICE NG206 : suspicion après 6 semaines, diagnostic après 3 mois) et citer la source suisse ou écrire « donnée non trouvée ».</w:t>
            </w:r>
          </w:p>
        </w:tc>
        <w:tc>
          <w:tcPr>
            <w:tcW w:w="1800" w:type="dxa"/>
            <w:vAlign w:val="top"/>
          </w:tcPr>
          <w:p>
            <w:pPr>
              <w:spacing w:after="0"/>
            </w:pPr>
            <w:r>
              <w:rPr>
                <w:sz w:val="17"/>
                <w:szCs w:val="17"/>
              </w:rPr>
              <w:t xml:space="preserve">NICE NG206 (2021), résumé secondaire : https://www.learnsignal.com/blog/me-cfs-nice-ng206-care-staff-guide/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L4-L64</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Appel A › Bloc 1 › point 3</w:t>
            </w:r>
          </w:p>
        </w:tc>
        <w:tc>
          <w:tcPr>
            <w:tcW w:w="2600" w:type="dxa"/>
            <w:vAlign w:val="top"/>
          </w:tcPr>
          <w:p>
            <w:pPr>
              <w:spacing w:after="0"/>
            </w:pPr>
            <w:r>
              <w:rPr>
                <w:i/>
                <w:sz w:val="17"/>
                <w:szCs w:val="17"/>
              </w:rPr>
              <w:t xml:space="preserve">« L'épuisement cellulaire procède de déficits en substrats (hypoxie tissulaire par anémie, carence en ATP par hypothyroïdie), »</w:t>
            </w:r>
          </w:p>
        </w:tc>
        <w:tc>
          <w:tcPr>
            <w:tcW w:w="3000" w:type="dxa"/>
            <w:vAlign w:val="top"/>
          </w:tcPr>
          <w:p>
            <w:pPr>
              <w:spacing w:after="40"/>
            </w:pPr>
            <w:r>
              <w:rPr>
                <w:sz w:val="17"/>
                <w:szCs w:val="17"/>
              </w:rPr>
              <w:t xml:space="preserve">La phrase dépasse 50 mots et empile trois mécanismes entre parenthèses, ce qui viole la règle des phrases courtes.</w:t>
            </w:r>
          </w:p>
          <w:p>
            <w:pPr>
              <w:spacing w:after="0"/>
            </w:pPr>
            <w:r>
              <w:rPr>
                <w:b/>
                <w:color w:val="145A32"/>
                <w:sz w:val="17"/>
                <w:szCs w:val="17"/>
              </w:rPr>
              <w:t xml:space="preserve">→ Découper en trois phrases verbales (un mécanisme par phrase) et placer le détail dans une fenêtre &lt;details&gt;.</w:t>
            </w:r>
          </w:p>
        </w:tc>
        <w:tc>
          <w:tcPr>
            <w:tcW w:w="1800" w:type="dxa"/>
            <w:vAlign w:val="top"/>
          </w:tcPr>
          <w:p>
            <w:pPr>
              <w:spacing w:after="0"/>
            </w:pPr>
            <w:r>
              <w:rPr>
                <w:sz w:val="17"/>
                <w:szCs w:val="17"/>
              </w:rPr>
              <w:t xml:space="preserve">PROMPT_V6.md (prompt de base), § 6.2 et § 6.3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L4-L70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D4.6 › points 1, 4 et 11.D (contenu transposé d'un SSP « toux »)</w:t>
            </w:r>
          </w:p>
        </w:tc>
        <w:tc>
          <w:tcPr>
            <w:tcW w:w="2600" w:type="dxa"/>
            <w:vAlign w:val="top"/>
          </w:tcPr>
          <w:p>
            <w:pPr>
              <w:spacing w:after="0"/>
            </w:pPr>
            <w:r>
              <w:rPr>
                <w:i/>
                <w:sz w:val="17"/>
                <w:szCs w:val="17"/>
              </w:rPr>
              <w:t xml:space="preserve">« Une amélioration de la toux ne dispense pas du suivi cardiologique. »</w:t>
            </w:r>
          </w:p>
        </w:tc>
        <w:tc>
          <w:tcPr>
            <w:tcW w:w="3000" w:type="dxa"/>
            <w:vAlign w:val="top"/>
          </w:tcPr>
          <w:p>
            <w:pPr>
              <w:spacing w:after="40"/>
            </w:pPr>
            <w:r>
              <w:rPr>
                <w:sz w:val="17"/>
                <w:szCs w:val="17"/>
              </w:rPr>
              <w:t xml:space="preserve">La monographie « Insuffisance cardiaque » parle de toux et de toux sous IEC alors que le SSP traite de la fatigue.</w:t>
            </w:r>
          </w:p>
          <w:p>
            <w:pPr>
              <w:spacing w:after="0"/>
            </w:pPr>
            <w:r>
              <w:rPr>
                <w:b/>
                <w:color w:val="145A32"/>
                <w:sz w:val="17"/>
                <w:szCs w:val="17"/>
              </w:rPr>
              <w:t xml:space="preserve">→ Recentrer sur la fatigue d'effort par bas débit et la dyspnée, et supprimer les phrases sur la toux.</w:t>
            </w:r>
          </w:p>
        </w:tc>
        <w:tc>
          <w:tcPr>
            <w:tcW w:w="1800" w:type="dxa"/>
            <w:vAlign w:val="top"/>
          </w:tcPr>
          <w:p>
            <w:pPr>
              <w:spacing w:after="0"/>
            </w:pPr>
            <w:r>
              <w:rPr>
                <w:sz w:val="17"/>
                <w:szCs w:val="17"/>
              </w:rPr>
              <w:t xml:space="preserve">PROMPT_V6.md (prompt de base), § 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L4-L71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D4.1 › point 13 (même défaut dans les 11 monographies)</w:t>
            </w:r>
          </w:p>
        </w:tc>
        <w:tc>
          <w:tcPr>
            <w:tcW w:w="2600" w:type="dxa"/>
            <w:vAlign w:val="top"/>
          </w:tcPr>
          <w:p>
            <w:pPr>
              <w:spacing w:after="0"/>
            </w:pPr>
            <w:r>
              <w:rPr>
                <w:i/>
                <w:sz w:val="17"/>
                <w:szCs w:val="17"/>
              </w:rPr>
              <w:t xml:space="preserve">« 13. Points clés L'anémie ferriprive associe une hémoglobine basse selon le contexte à une carence en fer démontrée. »</w:t>
            </w:r>
          </w:p>
        </w:tc>
        <w:tc>
          <w:tcPr>
            <w:tcW w:w="3000" w:type="dxa"/>
            <w:vAlign w:val="top"/>
          </w:tcPr>
          <w:p>
            <w:pPr>
              <w:spacing w:after="40"/>
            </w:pPr>
            <w:r>
              <w:rPr>
                <w:sz w:val="17"/>
                <w:szCs w:val="17"/>
              </w:rPr>
              <w:t xml:space="preserve">Le point 13 recopie mot pour mot la première phrase des points 8, 11.B et 11.C ; il n'apporte aucun message nouveau.</w:t>
            </w:r>
          </w:p>
          <w:p>
            <w:pPr>
              <w:spacing w:after="0"/>
            </w:pPr>
            <w:r>
              <w:rPr>
                <w:b/>
                <w:color w:val="145A32"/>
                <w:sz w:val="17"/>
                <w:szCs w:val="17"/>
              </w:rPr>
              <w:t xml:space="preserve">→ Rédiger 3 à 6 phrases originales qui hiérarchisent les messages clés (seuil, piège, conduite).</w:t>
            </w:r>
          </w:p>
        </w:tc>
        <w:tc>
          <w:tcPr>
            <w:tcW w:w="1800" w:type="dxa"/>
            <w:vAlign w:val="top"/>
          </w:tcPr>
          <w:p>
            <w:pPr>
              <w:spacing w:after="0"/>
            </w:pPr>
            <w:r>
              <w:rPr>
                <w:sz w:val="17"/>
                <w:szCs w:val="17"/>
              </w:rPr>
              <w:t xml:space="preserve">PROMPT_V6.md (prompt de base), § 5.13 et § 6.4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L4-L72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SSP G4 › point 9 › fenêtre « Consulter la hiérarchie des examens » (même défaut dans les 11 monographies)</w:t>
            </w:r>
          </w:p>
        </w:tc>
        <w:tc>
          <w:tcPr>
            <w:tcW w:w="2600" w:type="dxa"/>
            <w:vAlign w:val="top"/>
          </w:tcPr>
          <w:p>
            <w:pPr>
              <w:spacing w:after="0"/>
            </w:pPr>
            <w:r>
              <w:rPr>
                <w:i/>
                <w:sz w:val="17"/>
                <w:szCs w:val="17"/>
              </w:rPr>
              <w:t xml:space="preserve">« Gold standard / référence : le test confirme une question précise Aucun test unique ne détermine la cause d'une fatigue. »</w:t>
            </w:r>
          </w:p>
        </w:tc>
        <w:tc>
          <w:tcPr>
            <w:tcW w:w="3000" w:type="dxa"/>
            <w:vAlign w:val="top"/>
          </w:tcPr>
          <w:p>
            <w:pPr>
              <w:spacing w:after="40"/>
            </w:pPr>
            <w:r>
              <w:rPr>
                <w:sz w:val="17"/>
                <w:szCs w:val="17"/>
              </w:rPr>
              <w:t xml:space="preserve">Le paragraphe « Gold standard » recopie le texte du point 9 au lieu de nommer l'examen de référence avec sensibilité, spécificité et seuil.</w:t>
            </w:r>
          </w:p>
          <w:p>
            <w:pPr>
              <w:spacing w:after="0"/>
            </w:pPr>
            <w:r>
              <w:rPr>
                <w:b/>
                <w:color w:val="145A32"/>
                <w:sz w:val="17"/>
                <w:szCs w:val="17"/>
              </w:rPr>
              <w:t xml:space="preserve">→ Nommer pour chaque DX l'examen de référence (par exemple polysomnographie pour le SAOS, test au Synacthène® pour l'Addison) avec ses performances sourcées.</w:t>
            </w:r>
          </w:p>
        </w:tc>
        <w:tc>
          <w:tcPr>
            <w:tcW w:w="1800" w:type="dxa"/>
            <w:vAlign w:val="top"/>
          </w:tcPr>
          <w:p>
            <w:pPr>
              <w:spacing w:after="0"/>
            </w:pPr>
            <w:r>
              <w:rPr>
                <w:sz w:val="17"/>
                <w:szCs w:val="17"/>
              </w:rPr>
              <w:t xml:space="preserve">PROMPT_V6.md (prompt de base), § 5.9.a</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L4-L73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D4.3 › point 2 (même formule dans les 11 points 2)</w:t>
            </w:r>
          </w:p>
        </w:tc>
        <w:tc>
          <w:tcPr>
            <w:tcW w:w="2600" w:type="dxa"/>
            <w:vAlign w:val="top"/>
          </w:tcPr>
          <w:p>
            <w:pPr>
              <w:spacing w:after="0"/>
            </w:pPr>
            <w:r>
              <w:rPr>
                <w:i/>
                <w:sz w:val="17"/>
                <w:szCs w:val="17"/>
              </w:rPr>
              <w:t xml:space="preserve">« Il peut aussi exister sans obésité et être sous-repéré chez la femme. »</w:t>
            </w:r>
          </w:p>
        </w:tc>
        <w:tc>
          <w:tcPr>
            <w:tcW w:w="3000" w:type="dxa"/>
            <w:vAlign w:val="top"/>
          </w:tcPr>
          <w:p>
            <w:pPr>
              <w:spacing w:after="40"/>
            </w:pPr>
            <w:r>
              <w:rPr>
                <w:sz w:val="17"/>
                <w:szCs w:val="17"/>
              </w:rPr>
              <w:t xml:space="preserve">Le V6 remplace toutes les données épidémiologiques par « donnée non trouvée », y compris celles qui existent en Suisse (cohorte lausannoise HypnoLaus pour le SAOS).</w:t>
            </w:r>
          </w:p>
          <w:p>
            <w:pPr>
              <w:spacing w:after="0"/>
            </w:pPr>
            <w:r>
              <w:rPr>
                <w:b/>
                <w:color w:val="145A32"/>
                <w:sz w:val="17"/>
                <w:szCs w:val="17"/>
              </w:rPr>
              <w:t xml:space="preserve">→ Rétablir les données suisses sourcées (par exemple HypnoLaus : Heinzer R et al., Lancet Respir Med 2015) après lecture de la source, et réserver « donnée non trouvée » aux vraies lacunes.</w:t>
            </w:r>
          </w:p>
        </w:tc>
        <w:tc>
          <w:tcPr>
            <w:tcW w:w="1800" w:type="dxa"/>
            <w:vAlign w:val="top"/>
          </w:tcPr>
          <w:p>
            <w:pPr>
              <w:spacing w:after="0"/>
            </w:pPr>
            <w:r>
              <w:rPr>
                <w:sz w:val="17"/>
                <w:szCs w:val="17"/>
              </w:rPr>
              <w:t xml:space="preserve">Donnée non trouvée dans les sources consultées (HypnoLaus à lire avant réinjection)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L4-M13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Bloc 2 › liste des 10 DX</w:t>
            </w:r>
          </w:p>
        </w:tc>
        <w:tc>
          <w:tcPr>
            <w:tcW w:w="2600" w:type="dxa"/>
            <w:vAlign w:val="top"/>
          </w:tcPr>
          <w:p>
            <w:pPr>
              <w:spacing w:after="0"/>
            </w:pPr>
            <w:r>
              <w:rPr>
                <w:i/>
                <w:sz w:val="17"/>
                <w:szCs w:val="17"/>
              </w:rPr>
              <w:t xml:space="preserve">« BLOC 2 : LISTE ORDONNÉE DES 10 DIAGNOSTICS DIFFÉRENTIELS (SSP G4) »</w:t>
            </w:r>
          </w:p>
        </w:tc>
        <w:tc>
          <w:tcPr>
            <w:tcW w:w="3000" w:type="dxa"/>
            <w:vAlign w:val="top"/>
          </w:tcPr>
          <w:p>
            <w:pPr>
              <w:spacing w:after="40"/>
            </w:pPr>
            <w:r>
              <w:rPr>
                <w:sz w:val="17"/>
                <w:szCs w:val="17"/>
              </w:rPr>
              <w:t xml:space="preserve">La liste et le point 4 omettent des causes fréquentes et réversibles de fatigue en soins primaires : iatrogénie médicamenteuse (bêtabloquants, benzodiazépines, antihistaminiques), diabète, hypercalcémie, grossesse, alcool et substances, insomnie, maladie cœliaque.</w:t>
            </w:r>
          </w:p>
          <w:p>
            <w:pPr>
              <w:spacing w:after="0"/>
            </w:pPr>
            <w:r>
              <w:rPr>
                <w:b/>
                <w:color w:val="145A32"/>
                <w:sz w:val="17"/>
                <w:szCs w:val="17"/>
              </w:rPr>
              <w:t xml:space="preserve">→ Ajouter ces causes au point 4 de l'Appel A (hypothèses fréquentes) et au tableau comparatif, et discuter le remplacement d'un DX rare par la fatigue iatrogène ; reporter la cohérence dans les Parties.</w:t>
            </w:r>
          </w:p>
        </w:tc>
        <w:tc>
          <w:tcPr>
            <w:tcW w:w="1800" w:type="dxa"/>
            <w:vAlign w:val="top"/>
          </w:tcPr>
          <w:p>
            <w:pPr>
              <w:spacing w:after="0"/>
            </w:pPr>
            <w:r>
              <w:rPr>
                <w:sz w:val="17"/>
                <w:szCs w:val="17"/>
              </w:rPr>
              <w:t xml:space="preserve">Stadje R et al., BMC Fam Pract 2016;17:147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L4-M14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Bloc 1 › point 5 › drapeaux rouges</w:t>
            </w:r>
          </w:p>
        </w:tc>
        <w:tc>
          <w:tcPr>
            <w:tcW w:w="2600" w:type="dxa"/>
            <w:vAlign w:val="top"/>
          </w:tcPr>
          <w:p>
            <w:pPr>
              <w:spacing w:after="0"/>
            </w:pPr>
            <w:r>
              <w:rPr>
                <w:i/>
                <w:sz w:val="17"/>
                <w:szCs w:val="17"/>
              </w:rPr>
              <w:t xml:space="preserve">« Les drapeaux rouges imposant un bilan lésionnel exhaustif sont la Perte de poids inexpliquée »</w:t>
            </w:r>
          </w:p>
        </w:tc>
        <w:tc>
          <w:tcPr>
            <w:tcW w:w="3000" w:type="dxa"/>
            <w:vAlign w:val="top"/>
          </w:tcPr>
          <w:p>
            <w:pPr>
              <w:spacing w:after="40"/>
            </w:pPr>
            <w:r>
              <w:rPr>
                <w:sz w:val="17"/>
                <w:szCs w:val="17"/>
              </w:rPr>
              <w:t xml:space="preserve">La liste des drapeaux rouges omet le risque suicidaire, le saignement, la dyspnée ou la douleur thoracique, le déficit neurologique et la somnolence au volant, qui imposent une conduite urgente.</w:t>
            </w:r>
          </w:p>
          <w:p>
            <w:pPr>
              <w:spacing w:after="0"/>
            </w:pPr>
            <w:r>
              <w:rPr>
                <w:b/>
                <w:color w:val="145A32"/>
                <w:sz w:val="17"/>
                <w:szCs w:val="17"/>
              </w:rPr>
              <w:t xml:space="preserve">→ Compléter : « idées suicidaires, saignement digestif ou gynécologique, dyspnée ou douleur thoracique, déficit neurologique focal, endormissement au volant ».</w:t>
            </w:r>
          </w:p>
        </w:tc>
        <w:tc>
          <w:tcPr>
            <w:tcW w:w="1800" w:type="dxa"/>
            <w:vAlign w:val="top"/>
          </w:tcPr>
          <w:p>
            <w:pPr>
              <w:spacing w:after="0"/>
            </w:pPr>
            <w:r>
              <w:rPr>
                <w:sz w:val="17"/>
                <w:szCs w:val="17"/>
              </w:rPr>
              <w:t xml:space="preserve">Stadje R et al., BMC Fam Pract 2016;17:147 ; NICE NG206, 2021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L4-M15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Bloc 1 › point 2 « Épidémiologie »</w:t>
            </w:r>
          </w:p>
        </w:tc>
        <w:tc>
          <w:tcPr>
            <w:tcW w:w="2600" w:type="dxa"/>
            <w:vAlign w:val="top"/>
          </w:tcPr>
          <w:p>
            <w:pPr>
              <w:spacing w:after="0"/>
            </w:pPr>
            <w:r>
              <w:rPr>
                <w:i/>
                <w:sz w:val="17"/>
                <w:szCs w:val="17"/>
              </w:rPr>
              <w:t xml:space="preserve">« La fatigue motive entre 10 % et 20 % de l'ensemble des consultations en médecine de premier recours en Suisse »</w:t>
            </w:r>
          </w:p>
        </w:tc>
        <w:tc>
          <w:tcPr>
            <w:tcW w:w="3000" w:type="dxa"/>
            <w:vAlign w:val="top"/>
          </w:tcPr>
          <w:p>
            <w:pPr>
              <w:spacing w:after="40"/>
            </w:pPr>
            <w:r>
              <w:rPr>
                <w:sz w:val="17"/>
                <w:szCs w:val="17"/>
              </w:rPr>
              <w:t xml:space="preserve">Le chiffre n'a ni auteur, ni année, ni URL, et le texte confond plainte rapportée et motif principal de consultation.</w:t>
            </w:r>
          </w:p>
          <w:p>
            <w:pPr>
              <w:spacing w:after="0"/>
            </w:pPr>
            <w:r>
              <w:rPr>
                <w:b/>
                <w:color w:val="145A32"/>
                <w:sz w:val="17"/>
                <w:szCs w:val="17"/>
              </w:rPr>
              <w:t xml:space="preserve">→ Citer une étude suisse ou européenne lue (auteur, année, URL) ou écrire « donnée non trouvée dans les sources consultées » et poser la question dans le HELP.</w:t>
            </w:r>
          </w:p>
        </w:tc>
        <w:tc>
          <w:tcPr>
            <w:tcW w:w="1800" w:type="dxa"/>
            <w:vAlign w:val="top"/>
          </w:tcPr>
          <w:p>
            <w:pPr>
              <w:spacing w:after="0"/>
            </w:pPr>
            <w:r>
              <w:rPr>
                <w:sz w:val="17"/>
                <w:szCs w:val="17"/>
              </w:rPr>
              <w:t xml:space="preserve">Donnée non trouvée dans les sources consultées ; PROMPT_V6, section 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L4-M16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Bloc 1 › point 9 › 1re intention</w:t>
            </w:r>
          </w:p>
        </w:tc>
        <w:tc>
          <w:tcPr>
            <w:tcW w:w="2600" w:type="dxa"/>
            <w:vAlign w:val="top"/>
          </w:tcPr>
          <w:p>
            <w:pPr>
              <w:spacing w:after="0"/>
            </w:pPr>
            <w:r>
              <w:rPr>
                <w:i/>
                <w:sz w:val="17"/>
                <w:szCs w:val="17"/>
              </w:rPr>
              <w:t xml:space="preserve">« Formule Sanguine Complète (FSC), dosage de la Ferritine sérique , TSH , CRP (élimine un syndrome inflammatoire), Glycémie à jeun et Créatininémie. »</w:t>
            </w:r>
          </w:p>
        </w:tc>
        <w:tc>
          <w:tcPr>
            <w:tcW w:w="3000" w:type="dxa"/>
            <w:vAlign w:val="top"/>
          </w:tcPr>
          <w:p>
            <w:pPr>
              <w:spacing w:after="40"/>
            </w:pPr>
            <w:r>
              <w:rPr>
                <w:sz w:val="17"/>
                <w:szCs w:val="17"/>
              </w:rPr>
              <w:t xml:space="preserve">Seuls l'hémoglobine, le VGM et la ferritine disposent d'un tableau d'interprétation ; la TSH, la CRP, la glycémie et la créatinine n'ont ni valeur normale SI, ni seuil, ni conduite.</w:t>
            </w:r>
          </w:p>
          <w:p>
            <w:pPr>
              <w:spacing w:after="0"/>
            </w:pPr>
            <w:r>
              <w:rPr>
                <w:b/>
                <w:color w:val="145A32"/>
                <w:sz w:val="17"/>
                <w:szCs w:val="17"/>
              </w:rPr>
              <w:t xml:space="preserve">→ Ajouter un tableau : TSH 0,4-4,0 mUI/L ; CRP &lt; 5 mg/L ; glycémie à jeun 3,9-5,5 mmol/L (diabète ≥ 7,0) ; créatinine avec DFGe CKD-EPI ≥ 60 mL/min/1,73 m², avec seuil et conduite pour chacun, selon les normes du laboratoire.</w:t>
            </w:r>
          </w:p>
        </w:tc>
        <w:tc>
          <w:tcPr>
            <w:tcW w:w="1800" w:type="dxa"/>
            <w:vAlign w:val="top"/>
          </w:tcPr>
          <w:p>
            <w:pPr>
              <w:spacing w:after="0"/>
            </w:pPr>
            <w:r>
              <w:rPr>
                <w:sz w:val="17"/>
                <w:szCs w:val="17"/>
              </w:rPr>
              <w:t xml:space="preserve">PROMPT_V6, section 5, point 9 ; KDIGO 2024 CKD Guideline, https://kdigo.org/guidelines/ckd-evaluation-and-management/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L4-M18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D4.1 › point 3 › fenêtre bio-mathématique 3.1 (Ganzoni)</w:t>
            </w:r>
          </w:p>
        </w:tc>
        <w:tc>
          <w:tcPr>
            <w:tcW w:w="2600" w:type="dxa"/>
            <w:vAlign w:val="top"/>
          </w:tcPr>
          <w:p>
            <w:pPr>
              <w:spacing w:after="0"/>
            </w:pPr>
            <w:r>
              <w:rPr>
                <w:i/>
                <w:sz w:val="17"/>
                <w:szCs w:val="17"/>
              </w:rPr>
              <w:t xml:space="preserve">« Déficit en fer (mg) = Poids (kg) × (Hb cible - Hb actuelle) × 2,4 + 500 mg »</w:t>
            </w:r>
          </w:p>
        </w:tc>
        <w:tc>
          <w:tcPr>
            <w:tcW w:w="3000" w:type="dxa"/>
            <w:vAlign w:val="top"/>
          </w:tcPr>
          <w:p>
            <w:pPr>
              <w:spacing w:after="40"/>
            </w:pPr>
            <w:r>
              <w:rPr>
                <w:sz w:val="17"/>
                <w:szCs w:val="17"/>
              </w:rPr>
              <w:t xml:space="preserve">La formule est exprimée en g/dL (unité non SI) et le texte n'indique ni la dose unique maximale de Ferinject®, ni le schéma posologique de l'information professionnelle, ni la surveillance (hypersensibilité, hypophosphatémie).</w:t>
            </w:r>
          </w:p>
          <w:p>
            <w:pPr>
              <w:spacing w:after="0"/>
            </w:pPr>
            <w:r>
              <w:rPr>
                <w:b/>
                <w:color w:val="145A32"/>
                <w:sz w:val="17"/>
                <w:szCs w:val="17"/>
              </w:rPr>
              <w:t xml:space="preserve">→ Exprimer l'hémoglobine en g/L (facteur 0,24), présenter la posologie de Ferinject® selon l'information professionnelle suisse (dose cumulée selon poids et Hb, dose unique maximale), ajouter l'observation de 30 minutes et le contrôle du phosphate.</w:t>
            </w:r>
          </w:p>
        </w:tc>
        <w:tc>
          <w:tcPr>
            <w:tcW w:w="1800" w:type="dxa"/>
            <w:vAlign w:val="top"/>
          </w:tcPr>
          <w:p>
            <w:pPr>
              <w:spacing w:after="0"/>
            </w:pPr>
            <w:r>
              <w:rPr>
                <w:sz w:val="17"/>
                <w:szCs w:val="17"/>
              </w:rPr>
              <w:t xml:space="preserve">Information professionnelle Ferinject® (AIPS, swissmedicinfo.ch) — donnée non relue dans cet audit, à vérifier avant correction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L4-M19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D4.1 › point 13 « Points clés »</w:t>
            </w:r>
          </w:p>
        </w:tc>
        <w:tc>
          <w:tcPr>
            <w:tcW w:w="2600" w:type="dxa"/>
            <w:vAlign w:val="top"/>
          </w:tcPr>
          <w:p>
            <w:pPr>
              <w:spacing w:after="0"/>
            </w:pPr>
            <w:r>
              <w:rPr>
                <w:i/>
                <w:sz w:val="17"/>
                <w:szCs w:val="17"/>
              </w:rPr>
              <w:t xml:space="preserve">« évitant le pic réactif d'hepcidine qui bloque les récepteurs entérocytaires durant 48 heures »</w:t>
            </w:r>
          </w:p>
        </w:tc>
        <w:tc>
          <w:tcPr>
            <w:tcW w:w="3000" w:type="dxa"/>
            <w:vAlign w:val="top"/>
          </w:tcPr>
          <w:p>
            <w:pPr>
              <w:spacing w:after="40"/>
            </w:pPr>
            <w:r>
              <w:rPr>
                <w:sz w:val="17"/>
                <w:szCs w:val="17"/>
              </w:rPr>
              <w:t xml:space="preserve">L'hepcidine ne bloque pas un récepteur entérocytaire : elle induit l'internalisation et la dégradation de la ferroportine ; l'élévation après une dose dure environ 24 heures.</w:t>
            </w:r>
          </w:p>
          <w:p>
            <w:pPr>
              <w:spacing w:after="0"/>
            </w:pPr>
            <w:r>
              <w:rPr>
                <w:b/>
                <w:color w:val="145A32"/>
                <w:sz w:val="17"/>
                <w:szCs w:val="17"/>
              </w:rPr>
              <w:t xml:space="preserve">→ Écrire : « Une dose de fer élève l'hepcidine pendant environ 24 heures ; l'hepcidine dégrade la ferroportine et réduit l'absorption de la dose suivante. »</w:t>
            </w:r>
          </w:p>
        </w:tc>
        <w:tc>
          <w:tcPr>
            <w:tcW w:w="1800" w:type="dxa"/>
            <w:vAlign w:val="top"/>
          </w:tcPr>
          <w:p>
            <w:pPr>
              <w:spacing w:after="0"/>
            </w:pPr>
            <w:r>
              <w:rPr>
                <w:sz w:val="17"/>
                <w:szCs w:val="17"/>
              </w:rPr>
              <w:t xml:space="preserve">Stoffel NU et al., Lancet Haematol 2017;4:e524-e533 (ETH Zurich), https://doi.org/10.1016/S2352-3026(17)30182-5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L4-M20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D4.1 › point 11.D « Recherche 2026 »</w:t>
            </w:r>
          </w:p>
        </w:tc>
        <w:tc>
          <w:tcPr>
            <w:tcW w:w="2600" w:type="dxa"/>
            <w:vAlign w:val="top"/>
          </w:tcPr>
          <w:p>
            <w:pPr>
              <w:spacing w:after="0"/>
            </w:pPr>
            <w:r>
              <w:rPr>
                <w:i/>
                <w:sz w:val="17"/>
                <w:szCs w:val="17"/>
              </w:rPr>
              <w:t xml:space="preserve">« La recherche en 2026 met au point des inhibiteurs directs de l'hepcidine pour traiter les carences martiales réfractaires »</w:t>
            </w:r>
          </w:p>
        </w:tc>
        <w:tc>
          <w:tcPr>
            <w:tcW w:w="3000" w:type="dxa"/>
            <w:vAlign w:val="top"/>
          </w:tcPr>
          <w:p>
            <w:pPr>
              <w:spacing w:after="40"/>
            </w:pPr>
            <w:r>
              <w:rPr>
                <w:sz w:val="17"/>
                <w:szCs w:val="17"/>
              </w:rPr>
              <w:t xml:space="preserve">L'hepcidine est déjà effondrée dans la carence martiale absolue ; ses inhibiteurs visent l'anémie inflammatoire, pas la carence martiale ordinaire.</w:t>
            </w:r>
          </w:p>
          <w:p>
            <w:pPr>
              <w:spacing w:after="0"/>
            </w:pPr>
            <w:r>
              <w:rPr>
                <w:b/>
                <w:color w:val="145A32"/>
                <w:sz w:val="17"/>
                <w:szCs w:val="17"/>
              </w:rPr>
              <w:t xml:space="preserve">→ Remplacer par une piste réellement étudiée avec son numéro NCT, ou écrire « donnée non trouvée dans les sources consultées » et poser la question dans le HELP.</w:t>
            </w:r>
          </w:p>
        </w:tc>
        <w:tc>
          <w:tcPr>
            <w:tcW w:w="1800" w:type="dxa"/>
            <w:vAlign w:val="top"/>
          </w:tcPr>
          <w:p>
            <w:pPr>
              <w:spacing w:after="0"/>
            </w:pPr>
            <w:r>
              <w:rPr>
                <w:sz w:val="17"/>
                <w:szCs w:val="17"/>
              </w:rPr>
              <w:t xml:space="preserve">Stoffel NU et al., Lancet Haematol 2017 ; donnée 2026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L4-M21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D4.1 › point 2 « Épidémiologie »</w:t>
            </w:r>
          </w:p>
        </w:tc>
        <w:tc>
          <w:tcPr>
            <w:tcW w:w="2600" w:type="dxa"/>
            <w:vAlign w:val="top"/>
          </w:tcPr>
          <w:p>
            <w:pPr>
              <w:spacing w:after="0"/>
            </w:pPr>
            <w:r>
              <w:rPr>
                <w:i/>
                <w:sz w:val="17"/>
                <w:szCs w:val="17"/>
              </w:rPr>
              <w:t xml:space="preserve">« touchant jusqu'à 20 % des femmes en âge de procréer (à cause des menstruations) et environ 5 % des hommes adultes »</w:t>
            </w:r>
          </w:p>
        </w:tc>
        <w:tc>
          <w:tcPr>
            <w:tcW w:w="3000" w:type="dxa"/>
            <w:vAlign w:val="top"/>
          </w:tcPr>
          <w:p>
            <w:pPr>
              <w:spacing w:after="40"/>
            </w:pPr>
            <w:r>
              <w:rPr>
                <w:sz w:val="17"/>
                <w:szCs w:val="17"/>
              </w:rPr>
              <w:t xml:space="preserve">Les deux pourcentages sont attribués à l'OFS sans publication identifiable et ne distinguent pas carence martiale et anémie ferriprive.</w:t>
            </w:r>
          </w:p>
          <w:p>
            <w:pPr>
              <w:spacing w:after="0"/>
            </w:pPr>
            <w:r>
              <w:rPr>
                <w:b/>
                <w:color w:val="145A32"/>
                <w:sz w:val="17"/>
                <w:szCs w:val="17"/>
              </w:rPr>
              <w:t xml:space="preserve">→ Citer une étude suisse lue (auteur, année, URL) en séparant carence sans anémie et anémie ferriprive, ou écrire « donnée non trouvée dans les sources consultées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L4-M23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D4.2 › point 2 « Épidémiologie »</w:t>
            </w:r>
          </w:p>
        </w:tc>
        <w:tc>
          <w:tcPr>
            <w:tcW w:w="2600" w:type="dxa"/>
            <w:vAlign w:val="top"/>
          </w:tcPr>
          <w:p>
            <w:pPr>
              <w:spacing w:after="0"/>
            </w:pPr>
            <w:r>
              <w:rPr>
                <w:i/>
                <w:sz w:val="17"/>
                <w:szCs w:val="17"/>
              </w:rPr>
              <w:t xml:space="preserve">« le burn-out fragilise environ 25 % des travailleurs suisses »</w:t>
            </w:r>
          </w:p>
        </w:tc>
        <w:tc>
          <w:tcPr>
            <w:tcW w:w="3000" w:type="dxa"/>
            <w:vAlign w:val="top"/>
          </w:tcPr>
          <w:p>
            <w:pPr>
              <w:spacing w:after="40"/>
            </w:pPr>
            <w:r>
              <w:rPr>
                <w:sz w:val="17"/>
                <w:szCs w:val="17"/>
              </w:rPr>
              <w:t xml:space="preserve">Le chiffre n'a pas de source et le burn-out n'est pas un diagnostic dont on peut mesurer une prévalence de cette manière.</w:t>
            </w:r>
          </w:p>
          <w:p>
            <w:pPr>
              <w:spacing w:after="0"/>
            </w:pPr>
            <w:r>
              <w:rPr>
                <w:b/>
                <w:color w:val="145A32"/>
                <w:sz w:val="17"/>
                <w:szCs w:val="17"/>
              </w:rPr>
              <w:t xml:space="preserve">→ Citer le Job-Stress-Index de Promotion Santé Suisse (année, URL, indicateur d'épuisement émotionnel) ou écrire « donnée non trouvée dans les sources consultées ».</w:t>
            </w:r>
          </w:p>
        </w:tc>
        <w:tc>
          <w:tcPr>
            <w:tcW w:w="1800" w:type="dxa"/>
            <w:vAlign w:val="top"/>
          </w:tcPr>
          <w:p>
            <w:pPr>
              <w:spacing w:after="0"/>
            </w:pPr>
            <w:r>
              <w:rPr>
                <w:sz w:val="17"/>
                <w:szCs w:val="17"/>
              </w:rPr>
              <w:t xml:space="preserve">Donnée non trouvée dans les sources consultées ; Promotion Santé Suisse, Job-Stress-Index (à lire)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L4-M24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D4.2 › point 11.D « Recherche 2026 »</w:t>
            </w:r>
          </w:p>
        </w:tc>
        <w:tc>
          <w:tcPr>
            <w:tcW w:w="2600" w:type="dxa"/>
            <w:vAlign w:val="top"/>
          </w:tcPr>
          <w:p>
            <w:pPr>
              <w:spacing w:after="0"/>
            </w:pPr>
            <w:r>
              <w:rPr>
                <w:i/>
                <w:sz w:val="17"/>
                <w:szCs w:val="17"/>
              </w:rPr>
              <w:t xml:space="preserve">« la recherche se concentre sur l'utilisation du micro-dosage de psilocybine »</w:t>
            </w:r>
          </w:p>
        </w:tc>
        <w:tc>
          <w:tcPr>
            <w:tcW w:w="3000" w:type="dxa"/>
            <w:vAlign w:val="top"/>
          </w:tcPr>
          <w:p>
            <w:pPr>
              <w:spacing w:after="40"/>
            </w:pPr>
            <w:r>
              <w:rPr>
                <w:sz w:val="17"/>
                <w:szCs w:val="17"/>
              </w:rPr>
              <w:t xml:space="preserve">Les essais avancés portent sur une dose unique élevée de psilocybine associée à une psychothérapie, non sur le micro-dosage, et aucun numéro NCT n'est donné.</w:t>
            </w:r>
          </w:p>
          <w:p>
            <w:pPr>
              <w:spacing w:after="0"/>
            </w:pPr>
            <w:r>
              <w:rPr>
                <w:b/>
                <w:color w:val="145A32"/>
                <w:sz w:val="17"/>
                <w:szCs w:val="17"/>
              </w:rPr>
              <w:t xml:space="preserve">→ Écrire « des essais de phase III évaluent la psilocybine à dose élevée encadrée par une psychothérapie dans la dépression résistante » avec le numéro NCT vérifié, sinon renvoyer au HELP.</w:t>
            </w:r>
          </w:p>
        </w:tc>
        <w:tc>
          <w:tcPr>
            <w:tcW w:w="1800" w:type="dxa"/>
            <w:vAlign w:val="top"/>
          </w:tcPr>
          <w:p>
            <w:pPr>
              <w:spacing w:after="0"/>
            </w:pPr>
            <w:r>
              <w:rPr>
                <w:sz w:val="17"/>
                <w:szCs w:val="17"/>
              </w:rPr>
              <w:t xml:space="preserve">Donnée non trouvée dans les sources consultées (numéro NCT à vérifier sur clinicaltrials.gov)</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L4-M25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D4.2 › point 11.B › pharmacologie 1re intention</w:t>
            </w:r>
          </w:p>
        </w:tc>
        <w:tc>
          <w:tcPr>
            <w:tcW w:w="2600" w:type="dxa"/>
            <w:vAlign w:val="top"/>
          </w:tcPr>
          <w:p>
            <w:pPr>
              <w:spacing w:after="0"/>
            </w:pPr>
            <w:r>
              <w:rPr>
                <w:i/>
                <w:sz w:val="17"/>
                <w:szCs w:val="17"/>
              </w:rPr>
              <w:t xml:space="preserve">« Molécule : Sertraline (Nom commercial suisse : Zoloft® ). Posologie : 50 mg par jour per os le matin. »</w:t>
            </w:r>
          </w:p>
        </w:tc>
        <w:tc>
          <w:tcPr>
            <w:tcW w:w="3000" w:type="dxa"/>
            <w:vAlign w:val="top"/>
          </w:tcPr>
          <w:p>
            <w:pPr>
              <w:spacing w:after="40"/>
            </w:pPr>
            <w:r>
              <w:rPr>
                <w:sz w:val="17"/>
                <w:szCs w:val="17"/>
              </w:rPr>
              <w:t xml:space="preserve">La rubrique omet les contre-indications et interactions majeures (IMAO, pimozide, allongement du QT, anticoagulants), l'adaptation hépatique et l'alerte suicidaire chez le sujet de moins de 25 ans.</w:t>
            </w:r>
          </w:p>
          <w:p>
            <w:pPr>
              <w:spacing w:after="0"/>
            </w:pPr>
            <w:r>
              <w:rPr>
                <w:b/>
                <w:color w:val="145A32"/>
                <w:sz w:val="17"/>
                <w:szCs w:val="17"/>
              </w:rPr>
              <w:t xml:space="preserve">→ Ajouter le point ⑥ : contre-indications, interactions sérotoninergiques et hémorragiques, prudence hépatique et surveillance renforcée du risque suicidaire chez l'adulte jeune, selon l'information professionnelle suisse de Zoloft®.</w:t>
            </w:r>
          </w:p>
        </w:tc>
        <w:tc>
          <w:tcPr>
            <w:tcW w:w="1800" w:type="dxa"/>
            <w:vAlign w:val="top"/>
          </w:tcPr>
          <w:p>
            <w:pPr>
              <w:spacing w:after="0"/>
            </w:pPr>
            <w:r>
              <w:rPr>
                <w:sz w:val="17"/>
                <w:szCs w:val="17"/>
              </w:rPr>
              <w:t xml:space="preserve">Information professionnelle Zoloft® (AIPS) — à vérifier ; PROMPT_V6, section 5, point 11.B ⑥</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L4-M29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D4.3 › point 11.B › pharmacologie</w:t>
            </w:r>
          </w:p>
        </w:tc>
        <w:tc>
          <w:tcPr>
            <w:tcW w:w="2600" w:type="dxa"/>
            <w:vAlign w:val="top"/>
          </w:tcPr>
          <w:p>
            <w:pPr>
              <w:spacing w:after="0"/>
            </w:pPr>
            <w:r>
              <w:rPr>
                <w:i/>
                <w:sz w:val="17"/>
                <w:szCs w:val="17"/>
              </w:rPr>
              <w:t xml:space="preserve">« permettant une réduction de l'IAH de 50 % par fonte du tissu adipeux parapharyngé »</w:t>
            </w:r>
          </w:p>
        </w:tc>
        <w:tc>
          <w:tcPr>
            <w:tcW w:w="3000" w:type="dxa"/>
            <w:vAlign w:val="top"/>
          </w:tcPr>
          <w:p>
            <w:pPr>
              <w:spacing w:after="40"/>
            </w:pPr>
            <w:r>
              <w:rPr>
                <w:sz w:val="17"/>
                <w:szCs w:val="17"/>
              </w:rPr>
              <w:t xml:space="preserve">Seul le tirzépatide a démontré une baisse de l'IAH (environ 25 à 29 événements/h, essai SURMOUNT-OSA) ; le sémaglutide n'a pas de donnée équivalente dans le SAOS et l'indication suisse n'est pas vérifiée.</w:t>
            </w:r>
          </w:p>
          <w:p>
            <w:pPr>
              <w:spacing w:after="0"/>
            </w:pPr>
            <w:r>
              <w:rPr>
                <w:b/>
                <w:color w:val="145A32"/>
                <w:sz w:val="17"/>
                <w:szCs w:val="17"/>
              </w:rPr>
              <w:t xml:space="preserve">→ Écrire : « Le tirzépatide réduit l'IAH d'environ 25 à 29 événements/h à 52 semaines chez l'obèse (SURMOUNT-OSA) ; l'indication et la limitation suisses doivent être vérifiées dans l'AIPS et la Liste des spécialités. »</w:t>
            </w:r>
          </w:p>
        </w:tc>
        <w:tc>
          <w:tcPr>
            <w:tcW w:w="1800" w:type="dxa"/>
            <w:vAlign w:val="top"/>
          </w:tcPr>
          <w:p>
            <w:pPr>
              <w:spacing w:after="0"/>
            </w:pPr>
            <w:r>
              <w:rPr>
                <w:sz w:val="17"/>
                <w:szCs w:val="17"/>
              </w:rPr>
              <w:t xml:space="preserve">Malhotra A et al., Tirzepatide for the treatment of obstructive sleep apnea and obesity, N Engl J Med 2024;391:1193-1205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L4-M30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D4.3 › point 11.D « Recherche 2026 »</w:t>
            </w:r>
          </w:p>
        </w:tc>
        <w:tc>
          <w:tcPr>
            <w:tcW w:w="2600" w:type="dxa"/>
            <w:vAlign w:val="top"/>
          </w:tcPr>
          <w:p>
            <w:pPr>
              <w:spacing w:after="0"/>
            </w:pPr>
            <w:r>
              <w:rPr>
                <w:i/>
                <w:sz w:val="17"/>
                <w:szCs w:val="17"/>
              </w:rPr>
              <w:t xml:space="preserve">« En 2026, la recherche valide le stimulateur implanté du nerf hypoglosse ( Inspire® ) pour les intolérants à la CPAP »</w:t>
            </w:r>
          </w:p>
        </w:tc>
        <w:tc>
          <w:tcPr>
            <w:tcW w:w="3000" w:type="dxa"/>
            <w:vAlign w:val="top"/>
          </w:tcPr>
          <w:p>
            <w:pPr>
              <w:spacing w:after="40"/>
            </w:pPr>
            <w:r>
              <w:rPr>
                <w:sz w:val="17"/>
                <w:szCs w:val="17"/>
              </w:rPr>
              <w:t xml:space="preserve">La stimulation du nerf hypoglosse est déjà une thérapie établie depuis plusieurs années, et l'essai de phase III atomoxétine-oxybutynine n'a pas de numéro NCT.</w:t>
            </w:r>
          </w:p>
          <w:p>
            <w:pPr>
              <w:spacing w:after="0"/>
            </w:pPr>
            <w:r>
              <w:rPr>
                <w:b/>
                <w:color w:val="145A32"/>
                <w:sz w:val="17"/>
                <w:szCs w:val="17"/>
              </w:rPr>
              <w:t xml:space="preserve">→ Présenter la stimulation hypoglosse comme une option établie chez les intolérants sélectionnés, et donner le numéro NCT vérifié de l'essai atomoxétine-aroxybutynine ou renvoyer au HELP.</w:t>
            </w:r>
          </w:p>
        </w:tc>
        <w:tc>
          <w:tcPr>
            <w:tcW w:w="1800" w:type="dxa"/>
            <w:vAlign w:val="top"/>
          </w:tcPr>
          <w:p>
            <w:pPr>
              <w:spacing w:after="0"/>
            </w:pPr>
            <w:r>
              <w:rPr>
                <w:sz w:val="17"/>
                <w:szCs w:val="17"/>
              </w:rPr>
              <w:t xml:space="preserve">Donnée non trouvée dans les sources consultées (numéro NCT à vérifier)</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L4-M31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D4.3 › point 5 › drapeau rouge médico-légal</w:t>
            </w:r>
          </w:p>
        </w:tc>
        <w:tc>
          <w:tcPr>
            <w:tcW w:w="2600" w:type="dxa"/>
            <w:vAlign w:val="top"/>
          </w:tcPr>
          <w:p>
            <w:pPr>
              <w:spacing w:after="0"/>
            </w:pPr>
            <w:r>
              <w:rPr>
                <w:i/>
                <w:sz w:val="17"/>
                <w:szCs w:val="17"/>
              </w:rPr>
              <w:t xml:space="preserve">« imposant une interdiction temporaire de conduire selon la Loi fédérale sur la circulation routière (LCR) »</w:t>
            </w:r>
          </w:p>
        </w:tc>
        <w:tc>
          <w:tcPr>
            <w:tcW w:w="3000" w:type="dxa"/>
            <w:vAlign w:val="top"/>
          </w:tcPr>
          <w:p>
            <w:pPr>
              <w:spacing w:after="40"/>
            </w:pPr>
            <w:r>
              <w:rPr>
                <w:sz w:val="17"/>
                <w:szCs w:val="17"/>
              </w:rPr>
              <w:t xml:space="preserve">Le texte invoque la LCR sans article ni alinéa ni état du texte, et le seuil Epworth ≥ 16 du tableau n'a pas de source.</w:t>
            </w:r>
          </w:p>
          <w:p>
            <w:pPr>
              <w:spacing w:after="0"/>
            </w:pPr>
            <w:r>
              <w:rPr>
                <w:b/>
                <w:color w:val="145A32"/>
                <w:sz w:val="17"/>
                <w:szCs w:val="17"/>
              </w:rPr>
              <w:t xml:space="preserve">→ Citer l'article et l'alinéa exacts de la LCR (Fedlex, date de l'état) et la recommandation suisse sur l'aptitude à la conduite en cas de SAOS, sinon écrire « donnée non trouvée ».</w:t>
            </w:r>
          </w:p>
        </w:tc>
        <w:tc>
          <w:tcPr>
            <w:tcW w:w="1800" w:type="dxa"/>
            <w:vAlign w:val="top"/>
          </w:tcPr>
          <w:p>
            <w:pPr>
              <w:spacing w:after="0"/>
            </w:pPr>
            <w:r>
              <w:rPr>
                <w:sz w:val="17"/>
                <w:szCs w:val="17"/>
              </w:rPr>
              <w:t xml:space="preserve">PROMPT_V6, section 3, point 4 ; Fedlex, RS 741.01 — donnée non relue dans cet audit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L4-M32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D4.4 › point 2 « Épidémiologie »</w:t>
            </w:r>
          </w:p>
        </w:tc>
        <w:tc>
          <w:tcPr>
            <w:tcW w:w="2600" w:type="dxa"/>
            <w:vAlign w:val="top"/>
          </w:tcPr>
          <w:p>
            <w:pPr>
              <w:spacing w:after="0"/>
            </w:pPr>
            <w:r>
              <w:rPr>
                <w:i/>
                <w:sz w:val="17"/>
                <w:szCs w:val="17"/>
              </w:rPr>
              <w:t xml:space="preserve">« la carence en iode est historiquement éradiquée grâce à la fluoration et l'iodation du sel de cuisine »</w:t>
            </w:r>
          </w:p>
        </w:tc>
        <w:tc>
          <w:tcPr>
            <w:tcW w:w="3000" w:type="dxa"/>
            <w:vAlign w:val="top"/>
          </w:tcPr>
          <w:p>
            <w:pPr>
              <w:spacing w:after="40"/>
            </w:pPr>
            <w:r>
              <w:rPr>
                <w:sz w:val="17"/>
                <w:szCs w:val="17"/>
              </w:rPr>
              <w:t xml:space="preserve">La fluoration ne corrige pas la carence en iode ; seule l'iodation du sel l'a fait reculer.</w:t>
            </w:r>
          </w:p>
          <w:p>
            <w:pPr>
              <w:spacing w:after="0"/>
            </w:pPr>
            <w:r>
              <w:rPr>
                <w:b/>
                <w:color w:val="145A32"/>
                <w:sz w:val="17"/>
                <w:szCs w:val="17"/>
              </w:rPr>
              <w:t xml:space="preserve">→ Écrire : « grâce à l'iodation du sel de cuisine ».</w:t>
            </w:r>
          </w:p>
        </w:tc>
        <w:tc>
          <w:tcPr>
            <w:tcW w:w="1800" w:type="dxa"/>
            <w:vAlign w:val="top"/>
          </w:tcPr>
          <w:p>
            <w:pPr>
              <w:spacing w:after="0"/>
            </w:pPr>
            <w:r>
              <w:rPr>
                <w:sz w:val="17"/>
                <w:szCs w:val="17"/>
              </w:rPr>
              <w:t xml:space="preserve">Office fédéral de la sécurité alimentaire et des affaires vétérinaires (OSAV), sel iodé — à citer avec URL</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L4-M34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D4.5 › point 14 « Pièges »</w:t>
            </w:r>
          </w:p>
        </w:tc>
        <w:tc>
          <w:tcPr>
            <w:tcW w:w="2600" w:type="dxa"/>
            <w:vAlign w:val="top"/>
          </w:tcPr>
          <w:p>
            <w:pPr>
              <w:spacing w:after="0"/>
            </w:pPr>
            <w:r>
              <w:rPr>
                <w:i/>
                <w:sz w:val="17"/>
                <w:szCs w:val="17"/>
              </w:rPr>
              <w:t xml:space="preserve">« cette erreur déclenche dans 90 % des cas un exanthème maculo-papuleux »</w:t>
            </w:r>
          </w:p>
        </w:tc>
        <w:tc>
          <w:tcPr>
            <w:tcW w:w="3000" w:type="dxa"/>
            <w:vAlign w:val="top"/>
          </w:tcPr>
          <w:p>
            <w:pPr>
              <w:spacing w:after="40"/>
            </w:pPr>
            <w:r>
              <w:rPr>
                <w:sz w:val="17"/>
                <w:szCs w:val="17"/>
              </w:rPr>
              <w:t xml:space="preserve">Le taux de 90 % provient de séries anciennes ; les données récentes rapportent environ 30 % d'exanthème sous amoxicilline pendant une mononucléose.</w:t>
            </w:r>
          </w:p>
          <w:p>
            <w:pPr>
              <w:spacing w:after="0"/>
            </w:pPr>
            <w:r>
              <w:rPr>
                <w:b/>
                <w:color w:val="145A32"/>
                <w:sz w:val="17"/>
                <w:szCs w:val="17"/>
              </w:rPr>
              <w:t xml:space="preserve">→ Écrire : « déclenche un exanthème maculo-papuleux chez environ 30 % des patients (jusqu'à 70-100 % dans les séries anciennes) ».</w:t>
            </w:r>
          </w:p>
        </w:tc>
        <w:tc>
          <w:tcPr>
            <w:tcW w:w="1800" w:type="dxa"/>
            <w:vAlign w:val="top"/>
          </w:tcPr>
          <w:p>
            <w:pPr>
              <w:spacing w:after="0"/>
            </w:pPr>
            <w:r>
              <w:rPr>
                <w:sz w:val="17"/>
                <w:szCs w:val="17"/>
              </w:rPr>
              <w:t xml:space="preserve">Chovel-Sella A et al., Incidence of rash after amoxicillin treatment in children with infectious mononucleosis, Pediatrics 2013;131:e1424-e1427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L4-M35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D4.5 › point 11.D « Recherche 2026 »</w:t>
            </w:r>
          </w:p>
        </w:tc>
        <w:tc>
          <w:tcPr>
            <w:tcW w:w="2600" w:type="dxa"/>
            <w:vAlign w:val="top"/>
          </w:tcPr>
          <w:p>
            <w:pPr>
              <w:spacing w:after="0"/>
            </w:pPr>
            <w:r>
              <w:rPr>
                <w:i/>
                <w:sz w:val="17"/>
                <w:szCs w:val="17"/>
              </w:rPr>
              <w:t xml:space="preserve">« des vaccins prophylactiques à ARNm ciblant les glycoprotéines gp350 et gH/gL de l'EBV (essais de phase II/III) »</w:t>
            </w:r>
          </w:p>
        </w:tc>
        <w:tc>
          <w:tcPr>
            <w:tcW w:w="3000" w:type="dxa"/>
            <w:vAlign w:val="top"/>
          </w:tcPr>
          <w:p>
            <w:pPr>
              <w:spacing w:after="40"/>
            </w:pPr>
            <w:r>
              <w:rPr>
                <w:sz w:val="17"/>
                <w:szCs w:val="17"/>
              </w:rPr>
              <w:t xml:space="preserve">Les vaccins ARNm contre l'EBV en sont à des essais précoces (phase I/II), et aucun numéro NCT n'étaye la phase II/III.</w:t>
            </w:r>
          </w:p>
          <w:p>
            <w:pPr>
              <w:spacing w:after="0"/>
            </w:pPr>
            <w:r>
              <w:rPr>
                <w:b/>
                <w:color w:val="145A32"/>
                <w:sz w:val="17"/>
                <w:szCs w:val="17"/>
              </w:rPr>
              <w:t xml:space="preserve">→ Écrire « essais de phase I/II » avec le numéro NCT vérifié, ou renvoyer au HELP.</w:t>
            </w:r>
          </w:p>
        </w:tc>
        <w:tc>
          <w:tcPr>
            <w:tcW w:w="1800" w:type="dxa"/>
            <w:vAlign w:val="top"/>
          </w:tcPr>
          <w:p>
            <w:pPr>
              <w:spacing w:after="0"/>
            </w:pPr>
            <w:r>
              <w:rPr>
                <w:sz w:val="17"/>
                <w:szCs w:val="17"/>
              </w:rPr>
              <w:t xml:space="preserve">Donnée non trouvée dans les sources consultées (clinicaltrials.gov à vérifier)</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L4-M36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D4.5 › point 8 « Diagnostic positif »</w:t>
            </w:r>
          </w:p>
        </w:tc>
        <w:tc>
          <w:tcPr>
            <w:tcW w:w="2600" w:type="dxa"/>
            <w:vAlign w:val="top"/>
          </w:tcPr>
          <w:p>
            <w:pPr>
              <w:spacing w:after="0"/>
            </w:pPr>
            <w:r>
              <w:rPr>
                <w:i/>
                <w:sz w:val="17"/>
                <w:szCs w:val="17"/>
              </w:rPr>
              <w:t xml:space="preserve">« Selon la Société Suisse d'Infectiologie (SSI), le diagnostic positif de mononucléose infectieuse à EBV repose sur les critères de Hoagland »</w:t>
            </w:r>
          </w:p>
        </w:tc>
        <w:tc>
          <w:tcPr>
            <w:tcW w:w="3000" w:type="dxa"/>
            <w:vAlign w:val="top"/>
          </w:tcPr>
          <w:p>
            <w:pPr>
              <w:spacing w:after="40"/>
            </w:pPr>
            <w:r>
              <w:rPr>
                <w:sz w:val="17"/>
                <w:szCs w:val="17"/>
              </w:rPr>
              <w:t xml:space="preserve">Aucune recommandation SSI sur les critères de Hoagland n'est citée ni identifiable ; l'attribution n'est pas vérifiable.</w:t>
            </w:r>
          </w:p>
          <w:p>
            <w:pPr>
              <w:spacing w:after="0"/>
            </w:pPr>
            <w:r>
              <w:rPr>
                <w:b/>
                <w:color w:val="145A32"/>
                <w:sz w:val="17"/>
                <w:szCs w:val="17"/>
              </w:rPr>
              <w:t xml:space="preserve">→ Supprimer l'attribution à la SSI ou citer le document exact (titre, année, URL) ; sinon écrire « critères de Hoagland (définition historique)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L4-M41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D4.6 › point 6 « Examen physique »</w:t>
            </w:r>
          </w:p>
        </w:tc>
        <w:tc>
          <w:tcPr>
            <w:tcW w:w="2600" w:type="dxa"/>
            <w:vAlign w:val="top"/>
          </w:tcPr>
          <w:p>
            <w:pPr>
              <w:spacing w:after="0"/>
            </w:pPr>
            <w:r>
              <w:rPr>
                <w:i/>
                <w:sz w:val="17"/>
                <w:szCs w:val="17"/>
              </w:rPr>
              <w:t xml:space="preserve">« galop protodiastolique (bruit B3 pathognomonique d'une dysfonction systolique sévère) »</w:t>
            </w:r>
          </w:p>
        </w:tc>
        <w:tc>
          <w:tcPr>
            <w:tcW w:w="3000" w:type="dxa"/>
            <w:vAlign w:val="top"/>
          </w:tcPr>
          <w:p>
            <w:pPr>
              <w:spacing w:after="40"/>
            </w:pPr>
            <w:r>
              <w:rPr>
                <w:sz w:val="17"/>
                <w:szCs w:val="17"/>
              </w:rPr>
              <w:t xml:space="preserve">Le B3 n'est pas pathognomonique : il est physiologique chez l'enfant et l'adulte jeune et se rencontre dans les états hyperkinétiques.</w:t>
            </w:r>
          </w:p>
          <w:p>
            <w:pPr>
              <w:spacing w:after="0"/>
            </w:pPr>
            <w:r>
              <w:rPr>
                <w:b/>
                <w:color w:val="145A32"/>
                <w:sz w:val="17"/>
                <w:szCs w:val="17"/>
              </w:rPr>
              <w:t xml:space="preserve">→ Écrire : « un galop B3, physiologique avant 40 ans, évoque après cet âge une élévation des pressions de remplissage ».</w:t>
            </w:r>
          </w:p>
        </w:tc>
        <w:tc>
          <w:tcPr>
            <w:tcW w:w="1800" w:type="dxa"/>
            <w:vAlign w:val="top"/>
          </w:tcPr>
          <w:p>
            <w:pPr>
              <w:spacing w:after="0"/>
            </w:pPr>
            <w:r>
              <w:rPr>
                <w:sz w:val="17"/>
                <w:szCs w:val="17"/>
              </w:rPr>
              <w:t xml:space="preserve">McDonagh TA et al., ESC 2021 Heart Failure Guidelines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L4-M42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D4.6 › point 4 « Démarche diagnostique »</w:t>
            </w:r>
          </w:p>
        </w:tc>
        <w:tc>
          <w:tcPr>
            <w:tcW w:w="2600" w:type="dxa"/>
            <w:vAlign w:val="top"/>
          </w:tcPr>
          <w:p>
            <w:pPr>
              <w:spacing w:after="0"/>
            </w:pPr>
            <w:r>
              <w:rPr>
                <w:i/>
                <w:sz w:val="17"/>
                <w:szCs w:val="17"/>
              </w:rPr>
              <w:t xml:space="preserve">« il identifie son étiologie causale selon l'acronyme CHAMPIT »</w:t>
            </w:r>
          </w:p>
        </w:tc>
        <w:tc>
          <w:tcPr>
            <w:tcW w:w="3000" w:type="dxa"/>
            <w:vAlign w:val="top"/>
          </w:tcPr>
          <w:p>
            <w:pPr>
              <w:spacing w:after="40"/>
            </w:pPr>
            <w:r>
              <w:rPr>
                <w:sz w:val="17"/>
                <w:szCs w:val="17"/>
              </w:rPr>
              <w:t xml:space="preserve">CHAMPIT énumère les facteurs déclenchants d'une décompensation aiguë, non les étiologies de l'insuffisance cardiaque chronique (ischémie, HTA, valvulopathie, cardiomyopathies, toxiques).</w:t>
            </w:r>
          </w:p>
          <w:p>
            <w:pPr>
              <w:spacing w:after="0"/>
            </w:pPr>
            <w:r>
              <w:rPr>
                <w:b/>
                <w:color w:val="145A32"/>
                <w:sz w:val="17"/>
                <w:szCs w:val="17"/>
              </w:rPr>
              <w:t xml:space="preserve">→ Écrire : « Il recherche l'étiologie (cardiopathie ischémique, HTA, valvulopathie, cardiomyopathie, toxiques) ; l'acronyme CHAMPIT sert aux facteurs déclenchants d'une décompensation aiguë. »</w:t>
            </w:r>
          </w:p>
        </w:tc>
        <w:tc>
          <w:tcPr>
            <w:tcW w:w="1800" w:type="dxa"/>
            <w:vAlign w:val="top"/>
          </w:tcPr>
          <w:p>
            <w:pPr>
              <w:spacing w:after="0"/>
            </w:pPr>
            <w:r>
              <w:rPr>
                <w:sz w:val="17"/>
                <w:szCs w:val="17"/>
              </w:rPr>
              <w:t xml:space="preserve">McDonagh TA et al., ESC 2021 Heart Failure Guidelines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L4-M43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D4.6 › fenêtre 3.6 › ligne NT-proBNP</w:t>
            </w:r>
          </w:p>
        </w:tc>
        <w:tc>
          <w:tcPr>
            <w:tcW w:w="2600" w:type="dxa"/>
            <w:vAlign w:val="top"/>
          </w:tcPr>
          <w:p>
            <w:pPr>
              <w:spacing w:after="0"/>
            </w:pPr>
            <w:r>
              <w:rPr>
                <w:i/>
                <w:sz w:val="17"/>
                <w:szCs w:val="17"/>
              </w:rPr>
              <w:t xml:space="preserve">« un NT-proBNP &lt; 125 ng/L exclut formellement l'ICC comme cause de fatigue »</w:t>
            </w:r>
          </w:p>
        </w:tc>
        <w:tc>
          <w:tcPr>
            <w:tcW w:w="3000" w:type="dxa"/>
            <w:vAlign w:val="top"/>
          </w:tcPr>
          <w:p>
            <w:pPr>
              <w:spacing w:after="40"/>
            </w:pPr>
            <w:r>
              <w:rPr>
                <w:sz w:val="17"/>
                <w:szCs w:val="17"/>
              </w:rPr>
              <w:t xml:space="preserve">Un NT-proBNP &lt; 125 ng/L rend l'insuffisance cardiaque improbable sans l'exclure formellement, notamment chez l'obèse.</w:t>
            </w:r>
          </w:p>
          <w:p>
            <w:pPr>
              <w:spacing w:after="0"/>
            </w:pPr>
            <w:r>
              <w:rPr>
                <w:b/>
                <w:color w:val="145A32"/>
                <w:sz w:val="17"/>
                <w:szCs w:val="17"/>
              </w:rPr>
              <w:t xml:space="preserve">→ Écrire : « rend l'insuffisance cardiaque improbable ; l'obésité abaisse les peptides natriurétiques ».</w:t>
            </w:r>
          </w:p>
        </w:tc>
        <w:tc>
          <w:tcPr>
            <w:tcW w:w="1800" w:type="dxa"/>
            <w:vAlign w:val="top"/>
          </w:tcPr>
          <w:p>
            <w:pPr>
              <w:spacing w:after="0"/>
            </w:pPr>
            <w:r>
              <w:rPr>
                <w:sz w:val="17"/>
                <w:szCs w:val="17"/>
              </w:rPr>
              <w:t xml:space="preserve">McDonagh TA et al., ESC 2021 Heart Failure Guidelines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L4-M44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D4.6 › point 11.C › surveillance clinique</w:t>
            </w:r>
          </w:p>
        </w:tc>
        <w:tc>
          <w:tcPr>
            <w:tcW w:w="2600" w:type="dxa"/>
            <w:vAlign w:val="top"/>
          </w:tcPr>
          <w:p>
            <w:pPr>
              <w:spacing w:after="0"/>
            </w:pPr>
            <w:r>
              <w:rPr>
                <w:i/>
                <w:sz w:val="17"/>
                <w:szCs w:val="17"/>
              </w:rPr>
              <w:t xml:space="preserve">« fréquence cardiaque (cible 50-60 bpm en rythme sinusal) »</w:t>
            </w:r>
          </w:p>
        </w:tc>
        <w:tc>
          <w:tcPr>
            <w:tcW w:w="3000" w:type="dxa"/>
            <w:vAlign w:val="top"/>
          </w:tcPr>
          <w:p>
            <w:pPr>
              <w:spacing w:after="40"/>
            </w:pPr>
            <w:r>
              <w:rPr>
                <w:sz w:val="17"/>
                <w:szCs w:val="17"/>
              </w:rPr>
              <w:t xml:space="preserve">L'ESC ne fixe pas de cible de 50-60 bpm : elle vise les doses cibles du bêtabloquant et retient 70 bpm comme seuil pour l'ivabradine.</w:t>
            </w:r>
          </w:p>
          <w:p>
            <w:pPr>
              <w:spacing w:after="0"/>
            </w:pPr>
            <w:r>
              <w:rPr>
                <w:b/>
                <w:color w:val="145A32"/>
                <w:sz w:val="17"/>
                <w:szCs w:val="17"/>
              </w:rPr>
              <w:t xml:space="preserve">→ Écrire : « titrer le bêtabloquant jusqu'à la dose cible tolérée ; discuter l'ivabradine si la fréquence reste ≥ 70 bpm en rythme sinusal et FEVG ≤ 35 % ».</w:t>
            </w:r>
          </w:p>
        </w:tc>
        <w:tc>
          <w:tcPr>
            <w:tcW w:w="1800" w:type="dxa"/>
            <w:vAlign w:val="top"/>
          </w:tcPr>
          <w:p>
            <w:pPr>
              <w:spacing w:after="0"/>
            </w:pPr>
            <w:r>
              <w:rPr>
                <w:sz w:val="17"/>
                <w:szCs w:val="17"/>
              </w:rPr>
              <w:t xml:space="preserve">McDonagh TA et al., ESC 2021 Heart Failure Guidelines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L4-M45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D4.6 › point 11.C › surveillance biologique</w:t>
            </w:r>
          </w:p>
        </w:tc>
        <w:tc>
          <w:tcPr>
            <w:tcW w:w="2600" w:type="dxa"/>
            <w:vAlign w:val="top"/>
          </w:tcPr>
          <w:p>
            <w:pPr>
              <w:spacing w:after="0"/>
            </w:pPr>
            <w:r>
              <w:rPr>
                <w:i/>
                <w:sz w:val="17"/>
                <w:szCs w:val="17"/>
              </w:rPr>
              <w:t xml:space="preserve">« tolérer une hausse de créatinine jusqu'à 30 % »</w:t>
            </w:r>
          </w:p>
        </w:tc>
        <w:tc>
          <w:tcPr>
            <w:tcW w:w="3000" w:type="dxa"/>
            <w:vAlign w:val="top"/>
          </w:tcPr>
          <w:p>
            <w:pPr>
              <w:spacing w:after="40"/>
            </w:pPr>
            <w:r>
              <w:rPr>
                <w:sz w:val="17"/>
                <w:szCs w:val="17"/>
              </w:rPr>
              <w:t xml:space="preserve">Les recommandations ESC tolèrent une hausse de créatinine jusqu'à 50 % (ou 266 µmol/L) sous bloqueurs du SRAA ; le seuil de 30 % provoque des arrêts injustifiés.</w:t>
            </w:r>
          </w:p>
          <w:p>
            <w:pPr>
              <w:spacing w:after="0"/>
            </w:pPr>
            <w:r>
              <w:rPr>
                <w:b/>
                <w:color w:val="145A32"/>
                <w:sz w:val="17"/>
                <w:szCs w:val="17"/>
              </w:rPr>
              <w:t xml:space="preserve">→ Écrire : « tolérer une hausse de créatinine jusqu'à 50 % ou jusqu'à 266 µmol/L ».</w:t>
            </w:r>
          </w:p>
        </w:tc>
        <w:tc>
          <w:tcPr>
            <w:tcW w:w="1800" w:type="dxa"/>
            <w:vAlign w:val="top"/>
          </w:tcPr>
          <w:p>
            <w:pPr>
              <w:spacing w:after="0"/>
            </w:pPr>
            <w:r>
              <w:rPr>
                <w:sz w:val="17"/>
                <w:szCs w:val="17"/>
              </w:rPr>
              <w:t xml:space="preserve">McDonagh TA et al., ESC 2021 Heart Failure Guidelines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L4-M46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D4.6 › point 13 « Points clés »</w:t>
            </w:r>
          </w:p>
        </w:tc>
        <w:tc>
          <w:tcPr>
            <w:tcW w:w="2600" w:type="dxa"/>
            <w:vAlign w:val="top"/>
          </w:tcPr>
          <w:p>
            <w:pPr>
              <w:spacing w:after="0"/>
            </w:pPr>
            <w:r>
              <w:rPr>
                <w:i/>
                <w:sz w:val="17"/>
                <w:szCs w:val="17"/>
              </w:rPr>
              <w:t xml:space="preserve">« constituent désormais le seul traitement modifiant le pronostic validé sur tout le spectre de la fraction d'éjection »</w:t>
            </w:r>
          </w:p>
        </w:tc>
        <w:tc>
          <w:tcPr>
            <w:tcW w:w="3000" w:type="dxa"/>
            <w:vAlign w:val="top"/>
          </w:tcPr>
          <w:p>
            <w:pPr>
              <w:spacing w:after="40"/>
            </w:pPr>
            <w:r>
              <w:rPr>
                <w:sz w:val="17"/>
                <w:szCs w:val="17"/>
              </w:rPr>
              <w:t xml:space="preserve">La finérénone a aussi réduit les événements dans la HFmrEF et la HFpEF (FINEARTS-HF, 2024) ; le terme « seul » est inexact.</w:t>
            </w:r>
          </w:p>
          <w:p>
            <w:pPr>
              <w:spacing w:after="0"/>
            </w:pPr>
            <w:r>
              <w:rPr>
                <w:b/>
                <w:color w:val="145A32"/>
                <w:sz w:val="17"/>
                <w:szCs w:val="17"/>
              </w:rPr>
              <w:t xml:space="preserve">→ Écrire : « constituent le traitement de fond validé sur tout le spectre de la FEVG ; la finérénone a montré un bénéfice dans la HFmrEF/HFpEF ».</w:t>
            </w:r>
          </w:p>
        </w:tc>
        <w:tc>
          <w:tcPr>
            <w:tcW w:w="1800" w:type="dxa"/>
            <w:vAlign w:val="top"/>
          </w:tcPr>
          <w:p>
            <w:pPr>
              <w:spacing w:after="0"/>
            </w:pPr>
            <w:r>
              <w:rPr>
                <w:sz w:val="17"/>
                <w:szCs w:val="17"/>
              </w:rPr>
              <w:t xml:space="preserve">Solomon SD et al., Finerenone in heart failure with mildly reduced or preserved ejection fraction, N Engl J Med 2024;391:1475-1485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L4-M52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D4.7 › point 11.D « Recherche 2026 »</w:t>
            </w:r>
          </w:p>
        </w:tc>
        <w:tc>
          <w:tcPr>
            <w:tcW w:w="2600" w:type="dxa"/>
            <w:vAlign w:val="top"/>
          </w:tcPr>
          <w:p>
            <w:pPr>
              <w:spacing w:after="0"/>
            </w:pPr>
            <w:r>
              <w:rPr>
                <w:i/>
                <w:sz w:val="17"/>
                <w:szCs w:val="17"/>
              </w:rPr>
              <w:t xml:space="preserve">« comme le Roxadustat , Evrenzo® per os »</w:t>
            </w:r>
          </w:p>
        </w:tc>
        <w:tc>
          <w:tcPr>
            <w:tcW w:w="3000" w:type="dxa"/>
            <w:vAlign w:val="top"/>
          </w:tcPr>
          <w:p>
            <w:pPr>
              <w:spacing w:after="40"/>
            </w:pPr>
            <w:r>
              <w:rPr>
                <w:sz w:val="17"/>
                <w:szCs w:val="17"/>
              </w:rPr>
              <w:t xml:space="preserve">Evrenzo® est autorisé par l'EMA depuis 2021, mais son autorisation par Swissmedic n'est pas démontrée ; il est présenté comme une spécialité disponible.</w:t>
            </w:r>
          </w:p>
          <w:p>
            <w:pPr>
              <w:spacing w:after="0"/>
            </w:pPr>
            <w:r>
              <w:rPr>
                <w:b/>
                <w:color w:val="145A32"/>
                <w:sz w:val="17"/>
                <w:szCs w:val="17"/>
              </w:rPr>
              <w:t xml:space="preserve">→ Préciser « autorisé dans l'Union européenne (EMA, 2021) ; statut Swissmedic à vérifier dans l'AIPS ».</w:t>
            </w:r>
          </w:p>
        </w:tc>
        <w:tc>
          <w:tcPr>
            <w:tcW w:w="1800" w:type="dxa"/>
            <w:vAlign w:val="top"/>
          </w:tcPr>
          <w:p>
            <w:pPr>
              <w:spacing w:after="0"/>
            </w:pPr>
            <w:r>
              <w:rPr>
                <w:sz w:val="17"/>
                <w:szCs w:val="17"/>
              </w:rPr>
              <w:t xml:space="preserve">EMA, Evrenzo EPAR, https://www.ema.europa.eu/en/documents/assessment-report/evrenzo-epar-public-assessment-report_en.pdf</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L4-M54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D4.6 › points 3, 8 et 11.C (valeurs perdues, 3 occurrences)</w:t>
            </w:r>
          </w:p>
        </w:tc>
        <w:tc>
          <w:tcPr>
            <w:tcW w:w="2600" w:type="dxa"/>
            <w:vAlign w:val="top"/>
          </w:tcPr>
          <w:p>
            <w:pPr>
              <w:spacing w:after="0"/>
            </w:pPr>
            <w:r>
              <w:rPr>
                <w:i/>
                <w:sz w:val="17"/>
                <w:szCs w:val="17"/>
              </w:rPr>
              <w:t xml:space="preserve">« la baisse du débit cardiaque ( ) active de manière délétère »</w:t>
            </w:r>
          </w:p>
        </w:tc>
        <w:tc>
          <w:tcPr>
            <w:tcW w:w="3000" w:type="dxa"/>
            <w:vAlign w:val="top"/>
          </w:tcPr>
          <w:p>
            <w:pPr>
              <w:spacing w:after="40"/>
            </w:pPr>
            <w:r>
              <w:rPr>
                <w:sz w:val="17"/>
                <w:szCs w:val="17"/>
              </w:rPr>
              <w:t xml:space="preserve">La conversion a effacé des sigles et des seuils (DC, rapport E/e', seuil ARM), ce qui rend les phrases incomplètes.</w:t>
            </w:r>
          </w:p>
          <w:p>
            <w:pPr>
              <w:spacing w:after="0"/>
            </w:pPr>
            <w:r>
              <w:rPr>
                <w:b/>
                <w:color w:val="145A32"/>
                <w:sz w:val="17"/>
                <w:szCs w:val="17"/>
              </w:rPr>
              <w:t xml:space="preserve">→ Restaurer « (DC = VES × FC) » et « rapport E/e' ≥ 9 » ainsi que les autres valeurs supprimées.</w:t>
            </w:r>
          </w:p>
        </w:tc>
        <w:tc>
          <w:tcPr>
            <w:tcW w:w="1800" w:type="dxa"/>
            <w:vAlign w:val="top"/>
          </w:tcPr>
          <w:p>
            <w:pPr>
              <w:spacing w:after="0"/>
            </w:pPr>
            <w:r>
              <w:rPr>
                <w:sz w:val="17"/>
                <w:szCs w:val="17"/>
              </w:rPr>
              <w:t xml:space="preserve">McDonagh TA et al., ESC 2021 Heart Failure Guidelines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L4-M60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D4.10 › fenêtre 3.10 et D4.9 › fenêtre 3.9 (valeurs perdues, ≥ 6 occurrences)</w:t>
            </w:r>
          </w:p>
        </w:tc>
        <w:tc>
          <w:tcPr>
            <w:tcW w:w="2600" w:type="dxa"/>
            <w:vAlign w:val="top"/>
          </w:tcPr>
          <w:p>
            <w:pPr>
              <w:spacing w:after="0"/>
            </w:pPr>
            <w:r>
              <w:rPr>
                <w:i/>
                <w:sz w:val="17"/>
                <w:szCs w:val="17"/>
              </w:rPr>
              <w:t xml:space="preserve">« Couchée : , . À 6 minutes debout : et . »</w:t>
            </w:r>
          </w:p>
        </w:tc>
        <w:tc>
          <w:tcPr>
            <w:tcW w:w="3000" w:type="dxa"/>
            <w:vAlign w:val="top"/>
          </w:tcPr>
          <w:p>
            <w:pPr>
              <w:spacing w:after="40"/>
            </w:pPr>
            <w:r>
              <w:rPr>
                <w:sz w:val="17"/>
                <w:szCs w:val="17"/>
              </w:rPr>
              <w:t xml:space="preserve">La conversion a effacé les valeurs des exemples résolus (FC, PA, ionogramme, temps de prélèvement), ce qui rend les calculs invérifiables.</w:t>
            </w:r>
          </w:p>
          <w:p>
            <w:pPr>
              <w:spacing w:after="0"/>
            </w:pPr>
            <w:r>
              <w:rPr>
                <w:b/>
                <w:color w:val="145A32"/>
                <w:sz w:val="17"/>
                <w:szCs w:val="17"/>
              </w:rPr>
              <w:t xml:space="preserve">→ Restaurer les valeurs : « Couchée : FC 68 bpm, PA 112/70 mmHg. À 6 minutes debout : FC 112 bpm et PA 108/72 mmHg » (calcul dérivé) ; idem pour Na+, K+, Cl-, HCO3- et les temps T0, T30, T60.</w:t>
            </w:r>
          </w:p>
        </w:tc>
        <w:tc>
          <w:tcPr>
            <w:tcW w:w="1800" w:type="dxa"/>
            <w:vAlign w:val="top"/>
          </w:tcPr>
          <w:p>
            <w:pPr>
              <w:spacing w:after="0"/>
            </w:pPr>
            <w:r>
              <w:rPr>
                <w:sz w:val="17"/>
                <w:szCs w:val="17"/>
              </w:rPr>
              <w:t xml:space="preserve">PROMPT_V6, section 7 (exemple résolu recalculé)</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L4-M61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D4.8 › fenêtre 3.8 › ligne Critères CRAB</w:t>
            </w:r>
          </w:p>
        </w:tc>
        <w:tc>
          <w:tcPr>
            <w:tcW w:w="2600" w:type="dxa"/>
            <w:vAlign w:val="top"/>
          </w:tcPr>
          <w:p>
            <w:pPr>
              <w:spacing w:after="0"/>
            </w:pPr>
            <w:r>
              <w:rPr>
                <w:i/>
                <w:sz w:val="17"/>
                <w:szCs w:val="17"/>
              </w:rPr>
              <w:t xml:space="preserve">« Infiltration médullaire plasmocytaire clonale (≥ 10 %) ou ratio des chaînes légères libres sériques impliquées/non impliquées ≥ 100. »</w:t>
            </w:r>
          </w:p>
        </w:tc>
        <w:tc>
          <w:tcPr>
            <w:tcW w:w="3000" w:type="dxa"/>
            <w:vAlign w:val="top"/>
          </w:tcPr>
          <w:p>
            <w:pPr>
              <w:spacing w:after="40"/>
            </w:pPr>
            <w:r>
              <w:rPr>
                <w:sz w:val="17"/>
                <w:szCs w:val="17"/>
              </w:rPr>
              <w:t xml:space="preserve">Le myélome exige ≥ 10 % de plasmocytes clonaux ET au moins un critère CRAB ou SLiM ; le ratio ≥ 100 est un critère SLiM, comme ≥ 60 % de plasmocytes et plus d'une lésion focale à l'IRM.</w:t>
            </w:r>
          </w:p>
          <w:p>
            <w:pPr>
              <w:spacing w:after="0"/>
            </w:pPr>
            <w:r>
              <w:rPr>
                <w:b/>
                <w:color w:val="145A32"/>
                <w:sz w:val="17"/>
                <w:szCs w:val="17"/>
              </w:rPr>
              <w:t xml:space="preserve">→ Écrire : « Plasmocytes clonaux ≥ 10 % (ou plasmocytome prouvé) + ≥ 1 événement CRAB ou SLiM (plasmocytes ≥ 60 %, ratio CLL ≥ 100, &gt; 1 lésion focale IRM ≥ 5 mm). »</w:t>
            </w:r>
          </w:p>
        </w:tc>
        <w:tc>
          <w:tcPr>
            <w:tcW w:w="1800" w:type="dxa"/>
            <w:vAlign w:val="top"/>
          </w:tcPr>
          <w:p>
            <w:pPr>
              <w:spacing w:after="0"/>
            </w:pPr>
            <w:r>
              <w:rPr>
                <w:sz w:val="17"/>
                <w:szCs w:val="17"/>
              </w:rPr>
              <w:t xml:space="preserve">Rajkumar SV et al., IMWG updated criteria, Lancet Oncol 2014;15:e538-e548 ; Dimopoulos MA et al., ESMO Multiple myeloma guidelines, Ann Oncol 2021;32:309-322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L4-M62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D4.8 › point 11.B › fatigue oncologique</w:t>
            </w:r>
          </w:p>
        </w:tc>
        <w:tc>
          <w:tcPr>
            <w:tcW w:w="2600" w:type="dxa"/>
            <w:vAlign w:val="top"/>
          </w:tcPr>
          <w:p>
            <w:pPr>
              <w:spacing w:after="0"/>
            </w:pPr>
            <w:r>
              <w:rPr>
                <w:i/>
                <w:sz w:val="17"/>
                <w:szCs w:val="17"/>
              </w:rPr>
              <w:t xml:space="preserve">« Dexaméthasone ( Fortecortin® 4 mg/jour per os le matin pendant 7 à 14 jours maximum »</w:t>
            </w:r>
          </w:p>
        </w:tc>
        <w:tc>
          <w:tcPr>
            <w:tcW w:w="3000" w:type="dxa"/>
            <w:vAlign w:val="top"/>
          </w:tcPr>
          <w:p>
            <w:pPr>
              <w:spacing w:after="40"/>
            </w:pPr>
            <w:r>
              <w:rPr>
                <w:sz w:val="17"/>
                <w:szCs w:val="17"/>
              </w:rPr>
              <w:t xml:space="preserve">La dose diffère du schéma étudié (4 mg deux fois par jour pendant 14 jours) et le méthylphénidate est prescrit hors indication suisse sans le signaler.</w:t>
            </w:r>
          </w:p>
          <w:p>
            <w:pPr>
              <w:spacing w:after="0"/>
            </w:pPr>
            <w:r>
              <w:rPr>
                <w:b/>
                <w:color w:val="145A32"/>
                <w:sz w:val="17"/>
                <w:szCs w:val="17"/>
              </w:rPr>
              <w:t xml:space="preserve">→ Écrire : « dexaméthasone 4 mg 2x/j pendant 14 jours au maximum en phase avancée ; méthylphénidate (Ritaline®) hors indication suisse, à discuter au cas par cas ».</w:t>
            </w:r>
          </w:p>
        </w:tc>
        <w:tc>
          <w:tcPr>
            <w:tcW w:w="1800" w:type="dxa"/>
            <w:vAlign w:val="top"/>
          </w:tcPr>
          <w:p>
            <w:pPr>
              <w:spacing w:after="0"/>
            </w:pPr>
            <w:r>
              <w:rPr>
                <w:sz w:val="17"/>
                <w:szCs w:val="17"/>
              </w:rPr>
              <w:t xml:space="preserve">Fabi A et al., Cancer-related fatigue: ESMO Clinical Practice Guidelines, Ann Oncol 2020;31:713-723 ; Yennurajalingam S et al., J Clin Oncol 2013;31:3076-3082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L4-M64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D4.8 › point 2 « Épidémiologie »</w:t>
            </w:r>
          </w:p>
        </w:tc>
        <w:tc>
          <w:tcPr>
            <w:tcW w:w="2600" w:type="dxa"/>
            <w:vAlign w:val="top"/>
          </w:tcPr>
          <w:p>
            <w:pPr>
              <w:spacing w:after="0"/>
            </w:pPr>
            <w:r>
              <w:rPr>
                <w:i/>
                <w:sz w:val="17"/>
                <w:szCs w:val="17"/>
              </w:rPr>
              <w:t xml:space="preserve">« ne soit que de 1 à 3 %, ce taux grimpe à plus de 15 % »</w:t>
            </w:r>
          </w:p>
        </w:tc>
        <w:tc>
          <w:tcPr>
            <w:tcW w:w="3000" w:type="dxa"/>
            <w:vAlign w:val="top"/>
          </w:tcPr>
          <w:p>
            <w:pPr>
              <w:spacing w:after="40"/>
            </w:pPr>
            <w:r>
              <w:rPr>
                <w:sz w:val="17"/>
                <w:szCs w:val="17"/>
              </w:rPr>
              <w:t xml:space="preserve">Les deux pourcentages n'ont aucune source identifiable.</w:t>
            </w:r>
          </w:p>
          <w:p>
            <w:pPr>
              <w:spacing w:after="0"/>
            </w:pPr>
            <w:r>
              <w:rPr>
                <w:b/>
                <w:color w:val="145A32"/>
                <w:sz w:val="17"/>
                <w:szCs w:val="17"/>
              </w:rPr>
              <w:t xml:space="preserve">→ Citer l'étude lue (auteur, année, URL) ou écrire « donnée non trouvée dans les sources consultées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L4-M66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D4.9 › point 8 « Diagnostic positif »</w:t>
            </w:r>
          </w:p>
        </w:tc>
        <w:tc>
          <w:tcPr>
            <w:tcW w:w="2600" w:type="dxa"/>
            <w:vAlign w:val="top"/>
          </w:tcPr>
          <w:p>
            <w:pPr>
              <w:spacing w:after="0"/>
            </w:pPr>
            <w:r>
              <w:rPr>
                <w:i/>
                <w:sz w:val="17"/>
                <w:szCs w:val="17"/>
              </w:rPr>
              <w:t xml:space="preserve">« Selon les critères consensuels de l' Institute of Medicine (IOM 2015) et du NICE (2021) adoptés en Suisse »</w:t>
            </w:r>
          </w:p>
        </w:tc>
        <w:tc>
          <w:tcPr>
            <w:tcW w:w="3000" w:type="dxa"/>
            <w:vAlign w:val="top"/>
          </w:tcPr>
          <w:p>
            <w:pPr>
              <w:spacing w:after="40"/>
            </w:pPr>
            <w:r>
              <w:rPr>
                <w:sz w:val="17"/>
                <w:szCs w:val="17"/>
              </w:rPr>
              <w:t xml:space="preserve">Le texte fusionne deux référentiels différents (IOM : 6 mois ; NICE NG206 : 3 mois et critères propres) et affirme sans source leur adoption en Suisse.</w:t>
            </w:r>
          </w:p>
          <w:p>
            <w:pPr>
              <w:spacing w:after="0"/>
            </w:pPr>
            <w:r>
              <w:rPr>
                <w:b/>
                <w:color w:val="145A32"/>
                <w:sz w:val="17"/>
                <w:szCs w:val="17"/>
              </w:rPr>
              <w:t xml:space="preserve">→ Présenter séparément les critères NICE NG206 (2021, 3 mois chez l'adulte) et IOM 2015 (6 mois), et supprimer « adoptés en Suisse » sauf source suisse lue.</w:t>
            </w:r>
          </w:p>
        </w:tc>
        <w:tc>
          <w:tcPr>
            <w:tcW w:w="1800" w:type="dxa"/>
            <w:vAlign w:val="top"/>
          </w:tcPr>
          <w:p>
            <w:pPr>
              <w:spacing w:after="0"/>
            </w:pPr>
            <w:r>
              <w:rPr>
                <w:sz w:val="17"/>
                <w:szCs w:val="17"/>
              </w:rPr>
              <w:t xml:space="preserve">NICE NG206, 2021, https://www.nice.org.uk/guidance/ng206/chapter/recommendations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L4-M67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D4.9 › point 2 « Épidémiologie »</w:t>
            </w:r>
          </w:p>
        </w:tc>
        <w:tc>
          <w:tcPr>
            <w:tcW w:w="2600" w:type="dxa"/>
            <w:vAlign w:val="top"/>
          </w:tcPr>
          <w:p>
            <w:pPr>
              <w:spacing w:after="0"/>
            </w:pPr>
            <w:r>
              <w:rPr>
                <w:i/>
                <w:sz w:val="17"/>
                <w:szCs w:val="17"/>
              </w:rPr>
              <w:t xml:space="preserve">« environ 30 000 à 60 000 personnes »</w:t>
            </w:r>
          </w:p>
        </w:tc>
        <w:tc>
          <w:tcPr>
            <w:tcW w:w="3000" w:type="dxa"/>
            <w:vAlign w:val="top"/>
          </w:tcPr>
          <w:p>
            <w:pPr>
              <w:spacing w:after="40"/>
            </w:pPr>
            <w:r>
              <w:rPr>
                <w:sz w:val="17"/>
                <w:szCs w:val="17"/>
              </w:rPr>
              <w:t xml:space="preserve">Le nombre ne correspond pas aux pourcentages annoncés : 0,3 à 0,8 % de 9 millions d'habitants donne environ 27 000 à 72 000 personnes (calcul dérivé) ; l'attribution à l'OFSP n'est pas vérifiée.</w:t>
            </w:r>
          </w:p>
          <w:p>
            <w:pPr>
              <w:spacing w:after="0"/>
            </w:pPr>
            <w:r>
              <w:rPr>
                <w:b/>
                <w:color w:val="145A32"/>
                <w:sz w:val="17"/>
                <w:szCs w:val="17"/>
              </w:rPr>
              <w:t xml:space="preserve">→ Corriger le calcul (mention « calcul dérivé ») et citer la source suisse lue, sinon écrire « donnée non trouvée ».</w:t>
            </w:r>
          </w:p>
        </w:tc>
        <w:tc>
          <w:tcPr>
            <w:tcW w:w="1800" w:type="dxa"/>
            <w:vAlign w:val="top"/>
          </w:tcPr>
          <w:p>
            <w:pPr>
              <w:spacing w:after="0"/>
            </w:pPr>
            <w:r>
              <w:rPr>
                <w:sz w:val="17"/>
                <w:szCs w:val="17"/>
              </w:rPr>
              <w:t xml:space="preserve">PROMPT_V6, section 3, point 6 ; donnée OFSP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L4-M68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D4.9 › point 11.D « Recherche 2026 »</w:t>
            </w:r>
          </w:p>
        </w:tc>
        <w:tc>
          <w:tcPr>
            <w:tcW w:w="2600" w:type="dxa"/>
            <w:vAlign w:val="top"/>
          </w:tcPr>
          <w:p>
            <w:pPr>
              <w:spacing w:after="0"/>
            </w:pPr>
            <w:r>
              <w:rPr>
                <w:i/>
                <w:sz w:val="17"/>
                <w:szCs w:val="17"/>
              </w:rPr>
              <w:t xml:space="preserve">« l'aptamère neutralisant BC007 »</w:t>
            </w:r>
          </w:p>
        </w:tc>
        <w:tc>
          <w:tcPr>
            <w:tcW w:w="3000" w:type="dxa"/>
            <w:vAlign w:val="top"/>
          </w:tcPr>
          <w:p>
            <w:pPr>
              <w:spacing w:after="40"/>
            </w:pPr>
            <w:r>
              <w:rPr>
                <w:sz w:val="17"/>
                <w:szCs w:val="17"/>
              </w:rPr>
              <w:t xml:space="preserve">Le BC007 n'est pas en phase II/III dans l'EM/SFC : l'essai de phase II du promoteur n'a pas montré de supériorité sur le placebo dans le syndrome post-COVID.</w:t>
            </w:r>
          </w:p>
          <w:p>
            <w:pPr>
              <w:spacing w:after="0"/>
            </w:pPr>
            <w:r>
              <w:rPr>
                <w:b/>
                <w:color w:val="145A32"/>
                <w:sz w:val="17"/>
                <w:szCs w:val="17"/>
              </w:rPr>
              <w:t xml:space="preserve">→ Écrire : « Le BC007 n'a pas montré d'efficacité supérieure au placebo dans un essai de phase II post-COVID ; l'immunoadsorption reste expérimentale. »</w:t>
            </w:r>
          </w:p>
        </w:tc>
        <w:tc>
          <w:tcPr>
            <w:tcW w:w="1800" w:type="dxa"/>
            <w:vAlign w:val="top"/>
          </w:tcPr>
          <w:p>
            <w:pPr>
              <w:spacing w:after="0"/>
            </w:pPr>
            <w:r>
              <w:rPr>
                <w:sz w:val="17"/>
                <w:szCs w:val="17"/>
              </w:rPr>
              <w:t xml:space="preserve">Hohberger B et al., reCOVer phase IIa, medRxiv 2024, https://www.medrxiv.org/content/10.1101/2024.12.13.24318856 ; communiqué Berlin Cures (résultats de phase II)</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L4-M69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D4.9 › point 11.B › POTS</w:t>
            </w:r>
          </w:p>
        </w:tc>
        <w:tc>
          <w:tcPr>
            <w:tcW w:w="2600" w:type="dxa"/>
            <w:vAlign w:val="top"/>
          </w:tcPr>
          <w:p>
            <w:pPr>
              <w:spacing w:after="0"/>
            </w:pPr>
            <w:r>
              <w:rPr>
                <w:i/>
                <w:sz w:val="17"/>
                <w:szCs w:val="17"/>
              </w:rPr>
              <w:t xml:space="preserve">« agoniste alpha-1 Midodrine ( Gutron® 2,5 à 5 mg 3x/j) »</w:t>
            </w:r>
          </w:p>
        </w:tc>
        <w:tc>
          <w:tcPr>
            <w:tcW w:w="3000" w:type="dxa"/>
            <w:vAlign w:val="top"/>
          </w:tcPr>
          <w:p>
            <w:pPr>
              <w:spacing w:after="40"/>
            </w:pPr>
            <w:r>
              <w:rPr>
                <w:sz w:val="17"/>
                <w:szCs w:val="17"/>
              </w:rPr>
              <w:t xml:space="preserve">L'ivabradine, le propranolol et la midodrine sont employés hors indication dans le POTS sans que le texte le signale, et les contre-indications de la midodrine (HTA en décubitus, rétention urinaire) manquent.</w:t>
            </w:r>
          </w:p>
          <w:p>
            <w:pPr>
              <w:spacing w:after="0"/>
            </w:pPr>
            <w:r>
              <w:rPr>
                <w:b/>
                <w:color w:val="145A32"/>
                <w:sz w:val="17"/>
                <w:szCs w:val="17"/>
              </w:rPr>
              <w:t xml:space="preserve">→ Ajouter « hors indication suisse » et le point ⑥ : midodrine contre-indiquée en cas d'HTA de décubitus, de rétention urinaire ou de cardiopathie sévère, dernière prise avant 18 h.</w:t>
            </w:r>
          </w:p>
        </w:tc>
        <w:tc>
          <w:tcPr>
            <w:tcW w:w="1800" w:type="dxa"/>
            <w:vAlign w:val="top"/>
          </w:tcPr>
          <w:p>
            <w:pPr>
              <w:spacing w:after="0"/>
            </w:pPr>
            <w:r>
              <w:rPr>
                <w:sz w:val="17"/>
                <w:szCs w:val="17"/>
              </w:rPr>
              <w:t xml:space="preserve">Information professionnelle Gutron® (AIPS) — à vérifier ; PROMPT_V6, section 3, point 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L4-M71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D4.10 › point 11.B et 11.D (spécialités et recherche)</w:t>
            </w:r>
          </w:p>
        </w:tc>
        <w:tc>
          <w:tcPr>
            <w:tcW w:w="2600" w:type="dxa"/>
            <w:vAlign w:val="top"/>
          </w:tcPr>
          <w:p>
            <w:pPr>
              <w:spacing w:after="0"/>
            </w:pPr>
            <w:r>
              <w:rPr>
                <w:i/>
                <w:sz w:val="17"/>
                <w:szCs w:val="17"/>
              </w:rPr>
              <w:t xml:space="preserve">« Alternative en 1 prise quotidienne à libération modifiée : Plenadren® (20 mg le matin à jeun). »</w:t>
            </w:r>
          </w:p>
        </w:tc>
        <w:tc>
          <w:tcPr>
            <w:tcW w:w="3000" w:type="dxa"/>
            <w:vAlign w:val="top"/>
          </w:tcPr>
          <w:p>
            <w:pPr>
              <w:spacing w:after="40"/>
            </w:pPr>
            <w:r>
              <w:rPr>
                <w:sz w:val="17"/>
                <w:szCs w:val="17"/>
              </w:rPr>
              <w:t xml:space="preserve">L'autorisation suisse de Plenadren®, Alkindi® et Efmody® n'est pas vérifiée, et le texte affirme sans source que l'Efmody® et les pompes « améliorent considérablement » la fatigue.</w:t>
            </w:r>
          </w:p>
          <w:p>
            <w:pPr>
              <w:spacing w:after="0"/>
            </w:pPr>
            <w:r>
              <w:rPr>
                <w:b/>
                <w:color w:val="145A32"/>
                <w:sz w:val="17"/>
                <w:szCs w:val="17"/>
              </w:rPr>
              <w:t xml:space="preserve">→ Vérifier chaque spécialité dans l'AIPS et signaler une absence d'autorisation (importation) ; remplacer « améliorent considérablement » par le résultat chiffré d'un essai cité.</w:t>
            </w:r>
          </w:p>
        </w:tc>
        <w:tc>
          <w:tcPr>
            <w:tcW w:w="1800" w:type="dxa"/>
            <w:vAlign w:val="top"/>
          </w:tcPr>
          <w:p>
            <w:pPr>
              <w:spacing w:after="0"/>
            </w:pPr>
            <w:r>
              <w:rPr>
                <w:sz w:val="17"/>
                <w:szCs w:val="17"/>
              </w:rPr>
              <w:t xml:space="preserve">PROMPT_V6, section 3, point 3 ; AIPS swissmedicinfo.ch — donnée non relue dans cet audit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L4-M75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Point 2 de chaque monographie (11 occurrences de « donnée non trouvée »)</w:t>
            </w:r>
          </w:p>
        </w:tc>
        <w:tc>
          <w:tcPr>
            <w:tcW w:w="2600" w:type="dxa"/>
            <w:vAlign w:val="top"/>
          </w:tcPr>
          <w:p>
            <w:pPr>
              <w:spacing w:after="0"/>
            </w:pPr>
            <w:r>
              <w:rPr>
                <w:i/>
                <w:sz w:val="17"/>
                <w:szCs w:val="17"/>
              </w:rPr>
              <w:t xml:space="preserve">« La fatigue est fréquente et souvent multifactorielle. »</w:t>
            </w:r>
          </w:p>
        </w:tc>
        <w:tc>
          <w:tcPr>
            <w:tcW w:w="3000" w:type="dxa"/>
            <w:vAlign w:val="top"/>
          </w:tcPr>
          <w:p>
            <w:pPr>
              <w:spacing w:after="40"/>
            </w:pPr>
            <w:r>
              <w:rPr>
                <w:sz w:val="17"/>
                <w:szCs w:val="17"/>
              </w:rPr>
              <w:t xml:space="preserve">Le V6 déclare toutes les épidémiologies introuvables alors que des données suisses existent, par exemple HypnoLaus pour le SAOS.</w:t>
            </w:r>
          </w:p>
          <w:p>
            <w:pPr>
              <w:spacing w:after="0"/>
            </w:pPr>
            <w:r>
              <w:rPr>
                <w:b/>
                <w:color w:val="145A32"/>
                <w:sz w:val="17"/>
                <w:szCs w:val="17"/>
              </w:rPr>
              <w:t xml:space="preserve">→ Restaurer les données sourcées, par exemple : « SAOS modéré à sévère (IAH ≥ 15/h) chez 49,7 % des hommes et 23,4 % des femmes de 40 à 85 ans à Lausanne (HypnoLaus). »</w:t>
            </w:r>
          </w:p>
        </w:tc>
        <w:tc>
          <w:tcPr>
            <w:tcW w:w="1800" w:type="dxa"/>
            <w:vAlign w:val="top"/>
          </w:tcPr>
          <w:p>
            <w:pPr>
              <w:spacing w:after="0"/>
            </w:pPr>
            <w:r>
              <w:rPr>
                <w:sz w:val="17"/>
                <w:szCs w:val="17"/>
              </w:rPr>
              <w:t xml:space="preserve">Heinzer R et al., Prevalence of sleep-disordered breathing in the general population: the HypnoLaus study, Lancet Respir Med 2015;3:310-318</w:t>
            </w:r>
          </w:p>
        </w:tc>
      </w:tr>
    </w:tbl>
    <w:p>
      <w:pPr>
        <w:spacing w:after="120"/>
      </w:pPr>
    </w:p>
    <w:p>
      <w:pPr>
        <w:pStyle w:val="Titre1"/>
        <w:keepNext/>
      </w:pPr>
      <w:r>
        <w:rPr>
          <w:b/>
          <w:color w:val="1F618D"/>
          <w:sz w:val="26"/>
          <w:szCs w:val="26"/>
        </w:rPr>
        <w:t xml:space="preserve">Léger — 24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1F618D"/>
            <w:vAlign w:val="top"/>
          </w:tcPr>
          <w:p>
            <w:pPr>
              <w:spacing w:after="0"/>
            </w:pPr>
            <w:r>
              <w:rPr>
                <w:b/>
                <w:color w:val="FFFFFF"/>
                <w:sz w:val="17"/>
                <w:szCs w:val="17"/>
              </w:rPr>
              <w:t xml:space="preserve">Fait</w:t>
            </w:r>
          </w:p>
        </w:tc>
        <w:tc>
          <w:tcPr>
            <w:tcW w:w="900" w:type="dxa"/>
            <w:shd w:val="clear" w:color="auto" w:fill="1F618D"/>
            <w:vAlign w:val="top"/>
          </w:tcPr>
          <w:p>
            <w:pPr>
              <w:spacing w:after="0"/>
            </w:pPr>
            <w:r>
              <w:rPr>
                <w:b/>
                <w:color w:val="FFFFFF"/>
                <w:sz w:val="17"/>
                <w:szCs w:val="17"/>
              </w:rPr>
              <w:t xml:space="preserve">N°</w:t>
            </w:r>
          </w:p>
        </w:tc>
        <w:tc>
          <w:tcPr>
            <w:tcW w:w="1250" w:type="dxa"/>
            <w:shd w:val="clear" w:color="auto" w:fill="1F618D"/>
            <w:vAlign w:val="top"/>
          </w:tcPr>
          <w:p>
            <w:pPr>
              <w:spacing w:after="0"/>
            </w:pPr>
            <w:r>
              <w:rPr>
                <w:b/>
                <w:color w:val="FFFFFF"/>
                <w:sz w:val="17"/>
                <w:szCs w:val="17"/>
              </w:rPr>
              <w:t xml:space="preserve">Domaine</w:t>
            </w:r>
          </w:p>
        </w:tc>
        <w:tc>
          <w:tcPr>
            <w:tcW w:w="1900" w:type="dxa"/>
            <w:shd w:val="clear" w:color="auto" w:fill="1F618D"/>
            <w:vAlign w:val="top"/>
          </w:tcPr>
          <w:p>
            <w:pPr>
              <w:spacing w:after="0"/>
            </w:pPr>
            <w:r>
              <w:rPr>
                <w:b/>
                <w:color w:val="FFFFFF"/>
                <w:sz w:val="17"/>
                <w:szCs w:val="17"/>
              </w:rPr>
              <w:t xml:space="preserve">Fichier</w:t>
            </w:r>
          </w:p>
        </w:tc>
        <w:tc>
          <w:tcPr>
            <w:tcW w:w="2350" w:type="dxa"/>
            <w:shd w:val="clear" w:color="auto" w:fill="1F618D"/>
            <w:vAlign w:val="top"/>
          </w:tcPr>
          <w:p>
            <w:pPr>
              <w:spacing w:after="0"/>
            </w:pPr>
            <w:r>
              <w:rPr>
                <w:b/>
                <w:color w:val="FFFFFF"/>
                <w:sz w:val="17"/>
                <w:szCs w:val="17"/>
              </w:rPr>
              <w:t xml:space="preserve">Emplacement</w:t>
            </w:r>
          </w:p>
        </w:tc>
        <w:tc>
          <w:tcPr>
            <w:tcW w:w="2600" w:type="dxa"/>
            <w:shd w:val="clear" w:color="auto" w:fill="1F618D"/>
            <w:vAlign w:val="top"/>
          </w:tcPr>
          <w:p>
            <w:pPr>
              <w:spacing w:after="0"/>
            </w:pPr>
            <w:r>
              <w:rPr>
                <w:b/>
                <w:color w:val="FFFFFF"/>
                <w:sz w:val="17"/>
                <w:szCs w:val="17"/>
              </w:rPr>
              <w:t xml:space="preserve">Extrait exact</w:t>
            </w:r>
          </w:p>
        </w:tc>
        <w:tc>
          <w:tcPr>
            <w:tcW w:w="3000" w:type="dxa"/>
            <w:shd w:val="clear" w:color="auto" w:fill="1F618D"/>
            <w:vAlign w:val="top"/>
          </w:tcPr>
          <w:p>
            <w:pPr>
              <w:spacing w:after="0"/>
            </w:pPr>
            <w:r>
              <w:rPr>
                <w:b/>
                <w:color w:val="FFFFFF"/>
                <w:sz w:val="17"/>
                <w:szCs w:val="17"/>
              </w:rPr>
              <w:t xml:space="preserve">Problème → correction</w:t>
            </w:r>
          </w:p>
        </w:tc>
        <w:tc>
          <w:tcPr>
            <w:tcW w:w="1800" w:type="dxa"/>
            <w:shd w:val="clear" w:color="auto" w:fill="1F618D"/>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L4-L09</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En-tête du fichier</w:t>
            </w:r>
          </w:p>
        </w:tc>
        <w:tc>
          <w:tcPr>
            <w:tcW w:w="2600" w:type="dxa"/>
            <w:vAlign w:val="top"/>
          </w:tcPr>
          <w:p>
            <w:pPr>
              <w:spacing w:after="0"/>
            </w:pPr>
            <w:r>
              <w:rPr>
                <w:i/>
                <w:sz w:val="17"/>
                <w:szCs w:val="17"/>
              </w:rPr>
              <w:t xml:space="preserve">« LOT 4 · V6 · ENRICHI ++++++++ »</w:t>
            </w:r>
          </w:p>
        </w:tc>
        <w:tc>
          <w:tcPr>
            <w:tcW w:w="3000" w:type="dxa"/>
            <w:vAlign w:val="top"/>
          </w:tcPr>
          <w:p>
            <w:pPr>
              <w:spacing w:after="40"/>
            </w:pPr>
            <w:r>
              <w:rPr>
                <w:sz w:val="17"/>
                <w:szCs w:val="17"/>
              </w:rPr>
              <w:t xml:space="preserve">L'en-tête affiche une mention technique interne (« ENRICHI ++++++++ ») au lieu du titre canonique avec le code PROFILES.</w:t>
            </w:r>
          </w:p>
          <w:p>
            <w:pPr>
              <w:spacing w:after="0"/>
            </w:pPr>
            <w:r>
              <w:rPr>
                <w:b/>
                <w:color w:val="145A32"/>
                <w:sz w:val="17"/>
                <w:szCs w:val="17"/>
              </w:rPr>
              <w:t xml:space="preserve">→ Remplacer par : « LOT 4 : Fatigue, épuisement (SSP G4) » et le sous-titre « Appel A — Plan et liste » ou « Appel B – Partie Y/4 ».</w:t>
            </w:r>
          </w:p>
        </w:tc>
        <w:tc>
          <w:tcPr>
            <w:tcW w:w="1800" w:type="dxa"/>
            <w:vAlign w:val="top"/>
          </w:tcPr>
          <w:p>
            <w:pPr>
              <w:spacing w:after="0"/>
            </w:pPr>
            <w:r>
              <w:rPr>
                <w:sz w:val="17"/>
                <w:szCs w:val="17"/>
              </w:rPr>
              <w:t xml:space="preserve">PROMPT_V6.md (prompt de base), § 2 et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L4-L25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Partie 3 › D4.7 › fenêtre 3.7 › variables (et Partie 4 : 6 autres occurrences)</w:t>
            </w:r>
          </w:p>
        </w:tc>
        <w:tc>
          <w:tcPr>
            <w:tcW w:w="2600" w:type="dxa"/>
            <w:vAlign w:val="top"/>
          </w:tcPr>
          <w:p>
            <w:pPr>
              <w:spacing w:after="0"/>
            </w:pPr>
            <w:r>
              <w:rPr>
                <w:i/>
                <w:sz w:val="17"/>
                <w:szCs w:val="17"/>
              </w:rPr>
              <w:t xml:space="preserve">« à partir de la créatininémie (en $\mu\text{mol/L}$) »</w:t>
            </w:r>
          </w:p>
        </w:tc>
        <w:tc>
          <w:tcPr>
            <w:tcW w:w="3000" w:type="dxa"/>
            <w:vAlign w:val="top"/>
          </w:tcPr>
          <w:p>
            <w:pPr>
              <w:spacing w:after="40"/>
            </w:pPr>
            <w:r>
              <w:rPr>
                <w:sz w:val="17"/>
                <w:szCs w:val="17"/>
              </w:rPr>
              <w:t xml:space="preserve">Des fragments de code LaTeX bruts s'affichent dans le texte à la place des unités.</w:t>
            </w:r>
          </w:p>
          <w:p>
            <w:pPr>
              <w:spacing w:after="0"/>
            </w:pPr>
            <w:r>
              <w:rPr>
                <w:b/>
                <w:color w:val="145A32"/>
                <w:sz w:val="17"/>
                <w:szCs w:val="17"/>
              </w:rPr>
              <w:t xml:space="preserve">→ Remplacer par « µmol/L », « 250 µg », « NaCl 0,9 % », « ¹⁸F-FDG », « ΔFC = FC debout max − FC₀ ».</w:t>
            </w:r>
          </w:p>
        </w:tc>
        <w:tc>
          <w:tcPr>
            <w:tcW w:w="1800" w:type="dxa"/>
            <w:vAlign w:val="top"/>
          </w:tcPr>
          <w:p>
            <w:pPr>
              <w:spacing w:after="0"/>
            </w:pPr>
            <w:r>
              <w:rPr>
                <w:sz w:val="17"/>
                <w:szCs w:val="17"/>
              </w:rPr>
              <w:t xml:space="preserve">PROMPT_V6.md (prompt de base),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L4-L33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Partie 1 › D4.1 › fenêtre 3.1 (Ganzoni)</w:t>
            </w:r>
          </w:p>
        </w:tc>
        <w:tc>
          <w:tcPr>
            <w:tcW w:w="2600" w:type="dxa"/>
            <w:vAlign w:val="top"/>
          </w:tcPr>
          <w:p>
            <w:pPr>
              <w:spacing w:after="0"/>
            </w:pPr>
            <w:r>
              <w:rPr>
                <w:i/>
                <w:sz w:val="17"/>
                <w:szCs w:val="17"/>
              </w:rPr>
              <w:t xml:space="preserve">« Variables : Poids en kg, Hémoglobine (Hb) en g/dL. »</w:t>
            </w:r>
          </w:p>
        </w:tc>
        <w:tc>
          <w:tcPr>
            <w:tcW w:w="3000" w:type="dxa"/>
            <w:vAlign w:val="top"/>
          </w:tcPr>
          <w:p>
            <w:pPr>
              <w:spacing w:after="40"/>
            </w:pPr>
            <w:r>
              <w:rPr>
                <w:sz w:val="17"/>
                <w:szCs w:val="17"/>
              </w:rPr>
              <w:t xml:space="preserve">La formule utilise des g/dL alors que tout le reste du lot utilise les g/L du système SI suisse, ce qui invite à une erreur d'un facteur 10.</w:t>
            </w:r>
          </w:p>
          <w:p>
            <w:pPr>
              <w:spacing w:after="0"/>
            </w:pPr>
            <w:r>
              <w:rPr>
                <w:b/>
                <w:color w:val="145A32"/>
                <w:sz w:val="17"/>
                <w:szCs w:val="17"/>
              </w:rPr>
              <w:t xml:space="preserve">→ Écrire la formule en g/L : « Déficit (mg) = poids (kg) × (Hb cible − Hb actuelle) (g/L) × 0,24 + 500 » et recalculer l'exemple (60 × 60 × 0,24 + 500 = 1364 mg).</w:t>
            </w:r>
          </w:p>
        </w:tc>
        <w:tc>
          <w:tcPr>
            <w:tcW w:w="1800" w:type="dxa"/>
            <w:vAlign w:val="top"/>
          </w:tcPr>
          <w:p>
            <w:pPr>
              <w:spacing w:after="0"/>
            </w:pPr>
            <w:r>
              <w:rPr>
                <w:sz w:val="17"/>
                <w:szCs w:val="17"/>
              </w:rPr>
              <w:t xml:space="preserve">PROMPT_V6.md (prompt de base), § 6.8 et §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L4-L37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Partie 1 › D4.2 › point 10</w:t>
            </w:r>
          </w:p>
        </w:tc>
        <w:tc>
          <w:tcPr>
            <w:tcW w:w="2600" w:type="dxa"/>
            <w:vAlign w:val="top"/>
          </w:tcPr>
          <w:p>
            <w:pPr>
              <w:spacing w:after="0"/>
            </w:pPr>
            <w:r>
              <w:rPr>
                <w:i/>
                <w:sz w:val="17"/>
                <w:szCs w:val="17"/>
              </w:rPr>
              <w:t xml:space="preserve">« le médecin organise une hospitalisation immédiate (PLAFA si nécessaire). »</w:t>
            </w:r>
          </w:p>
        </w:tc>
        <w:tc>
          <w:tcPr>
            <w:tcW w:w="3000" w:type="dxa"/>
            <w:vAlign w:val="top"/>
          </w:tcPr>
          <w:p>
            <w:pPr>
              <w:spacing w:after="40"/>
            </w:pPr>
            <w:r>
              <w:rPr>
                <w:sz w:val="17"/>
                <w:szCs w:val="17"/>
              </w:rPr>
              <w:t xml:space="preserve">L'abréviation PLAFA n'est pas développée et l'article de loi n'est pas cité.</w:t>
            </w:r>
          </w:p>
          <w:p>
            <w:pPr>
              <w:spacing w:after="0"/>
            </w:pPr>
            <w:r>
              <w:rPr>
                <w:b/>
                <w:color w:val="145A32"/>
                <w:sz w:val="17"/>
                <w:szCs w:val="17"/>
              </w:rPr>
              <w:t xml:space="preserve">→ Écrire « placement à des fins d'assistance (PAFA, art. 426 CC) » avec une fenêtre juridique sourcée sur Fedlex.</w:t>
            </w:r>
          </w:p>
        </w:tc>
        <w:tc>
          <w:tcPr>
            <w:tcW w:w="1800" w:type="dxa"/>
            <w:vAlign w:val="top"/>
          </w:tcPr>
          <w:p>
            <w:pPr>
              <w:spacing w:after="0"/>
            </w:pPr>
            <w:r>
              <w:rPr>
                <w:sz w:val="17"/>
                <w:szCs w:val="17"/>
              </w:rPr>
              <w:t xml:space="preserve">PROMPT_V6.md (prompt de base), § 3.4 et § 6.5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L4-L40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Appel A › Bloc 1 › point 9 › 1re intention</w:t>
            </w:r>
          </w:p>
        </w:tc>
        <w:tc>
          <w:tcPr>
            <w:tcW w:w="2600" w:type="dxa"/>
            <w:vAlign w:val="top"/>
          </w:tcPr>
          <w:p>
            <w:pPr>
              <w:spacing w:after="0"/>
            </w:pPr>
            <w:r>
              <w:rPr>
                <w:i/>
                <w:sz w:val="17"/>
                <w:szCs w:val="17"/>
              </w:rPr>
              <w:t xml:space="preserve">« CRP (élimine un syndrome inflammatoire) »</w:t>
            </w:r>
          </w:p>
        </w:tc>
        <w:tc>
          <w:tcPr>
            <w:tcW w:w="3000" w:type="dxa"/>
            <w:vAlign w:val="top"/>
          </w:tcPr>
          <w:p>
            <w:pPr>
              <w:spacing w:after="40"/>
            </w:pPr>
            <w:r>
              <w:rPr>
                <w:sz w:val="17"/>
                <w:szCs w:val="17"/>
              </w:rPr>
              <w:t xml:space="preserve">La CRP ne « élimine » pas un syndrome inflammatoire : elle le recherche ou le documente.</w:t>
            </w:r>
          </w:p>
          <w:p>
            <w:pPr>
              <w:spacing w:after="0"/>
            </w:pPr>
            <w:r>
              <w:rPr>
                <w:b/>
                <w:color w:val="145A32"/>
                <w:sz w:val="17"/>
                <w:szCs w:val="17"/>
              </w:rPr>
              <w:t xml:space="preserve">→ Écrire « CRP (recherche d'un syndrome inflammatoire, valeur normale &lt; 5 mg/L selon le laboratoire) ».</w:t>
            </w:r>
          </w:p>
        </w:tc>
        <w:tc>
          <w:tcPr>
            <w:tcW w:w="1800" w:type="dxa"/>
            <w:vAlign w:val="top"/>
          </w:tcPr>
          <w:p>
            <w:pPr>
              <w:spacing w:after="0"/>
            </w:pPr>
            <w:r>
              <w:rPr>
                <w:sz w:val="17"/>
                <w:szCs w:val="17"/>
              </w:rPr>
              <w:t xml:space="preserve">PROMPT_V6.md (prompt de base), § 6.7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L4-L54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Partie 4 › D4.8 › point 6</w:t>
            </w:r>
          </w:p>
        </w:tc>
        <w:tc>
          <w:tcPr>
            <w:tcW w:w="2600" w:type="dxa"/>
            <w:vAlign w:val="top"/>
          </w:tcPr>
          <w:p>
            <w:pPr>
              <w:spacing w:after="0"/>
            </w:pPr>
            <w:r>
              <w:rPr>
                <w:i/>
                <w:sz w:val="17"/>
                <w:szCs w:val="17"/>
              </w:rPr>
              <w:t xml:space="preserve">« ganglion sus-claviculaire gauche de Troisier-Virchow pathognomonique d'un cancer digestif ou pelvien »</w:t>
            </w:r>
          </w:p>
        </w:tc>
        <w:tc>
          <w:tcPr>
            <w:tcW w:w="3000" w:type="dxa"/>
            <w:vAlign w:val="top"/>
          </w:tcPr>
          <w:p>
            <w:pPr>
              <w:spacing w:after="40"/>
            </w:pPr>
            <w:r>
              <w:rPr>
                <w:sz w:val="17"/>
                <w:szCs w:val="17"/>
              </w:rPr>
              <w:t xml:space="preserve">Le ganglion de Troisier oriente vers un cancer abdominal ou pelvien mais n'en est pas pathognomonique.</w:t>
            </w:r>
          </w:p>
          <w:p>
            <w:pPr>
              <w:spacing w:after="0"/>
            </w:pPr>
            <w:r>
              <w:rPr>
                <w:b/>
                <w:color w:val="145A32"/>
                <w:sz w:val="17"/>
                <w:szCs w:val="17"/>
              </w:rPr>
              <w:t xml:space="preserve">→ Remplacer « pathognomonique » par « évocateur ».</w:t>
            </w:r>
          </w:p>
        </w:tc>
        <w:tc>
          <w:tcPr>
            <w:tcW w:w="1800" w:type="dxa"/>
            <w:vAlign w:val="top"/>
          </w:tcPr>
          <w:p>
            <w:pPr>
              <w:spacing w:after="0"/>
            </w:pPr>
            <w:r>
              <w:rPr>
                <w:sz w:val="17"/>
                <w:szCs w:val="17"/>
              </w:rPr>
              <w:t xml:space="preserve">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L4-L55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Partie 4 › D4.8 › fenêtre 3.8 › score ECOG</w:t>
            </w:r>
          </w:p>
        </w:tc>
        <w:tc>
          <w:tcPr>
            <w:tcW w:w="2600" w:type="dxa"/>
            <w:vAlign w:val="top"/>
          </w:tcPr>
          <w:p>
            <w:pPr>
              <w:spacing w:after="0"/>
            </w:pPr>
            <w:r>
              <w:rPr>
                <w:i/>
                <w:sz w:val="17"/>
                <w:szCs w:val="17"/>
              </w:rPr>
              <w:t xml:space="preserve">« Grade 3 : Alité &gt; 50 % de la journée »</w:t>
            </w:r>
          </w:p>
        </w:tc>
        <w:tc>
          <w:tcPr>
            <w:tcW w:w="3000" w:type="dxa"/>
            <w:vAlign w:val="top"/>
          </w:tcPr>
          <w:p>
            <w:pPr>
              <w:spacing w:after="40"/>
            </w:pPr>
            <w:r>
              <w:rPr>
                <w:sz w:val="17"/>
                <w:szCs w:val="17"/>
              </w:rPr>
              <w:t xml:space="preserve">Le tableau ECOG s'arrête au grade 3 et omet les grades 4 (grabataire) et 5 (décès).</w:t>
            </w:r>
          </w:p>
          <w:p>
            <w:pPr>
              <w:spacing w:after="0"/>
            </w:pPr>
            <w:r>
              <w:rPr>
                <w:b/>
                <w:color w:val="145A32"/>
                <w:sz w:val="17"/>
                <w:szCs w:val="17"/>
              </w:rPr>
              <w:t xml:space="preserve">→ Ajouter « Grade 4 : le patient reste totalement alité et dépendant » et « Grade 5 : décès ».</w:t>
            </w:r>
          </w:p>
        </w:tc>
        <w:tc>
          <w:tcPr>
            <w:tcW w:w="1800" w:type="dxa"/>
            <w:vAlign w:val="top"/>
          </w:tcPr>
          <w:p>
            <w:pPr>
              <w:spacing w:after="0"/>
            </w:pPr>
            <w:r>
              <w:rPr>
                <w:sz w:val="17"/>
                <w:szCs w:val="17"/>
              </w:rPr>
              <w:t xml:space="preserve">Donnée non trouvée dans les sources consultées (échelle ECOG/OMS originale à citer)</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L4-L57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Partie 4 › D4.9 › point 2</w:t>
            </w:r>
          </w:p>
        </w:tc>
        <w:tc>
          <w:tcPr>
            <w:tcW w:w="2600" w:type="dxa"/>
            <w:vAlign w:val="top"/>
          </w:tcPr>
          <w:p>
            <w:pPr>
              <w:spacing w:after="0"/>
            </w:pPr>
            <w:r>
              <w:rPr>
                <w:i/>
                <w:sz w:val="17"/>
                <w:szCs w:val="17"/>
              </w:rPr>
              <w:t xml:space="preserve">« estimée entre 0,3 et 0,8 % de la population (environ 30 000 à 60 000 personnes »</w:t>
            </w:r>
          </w:p>
        </w:tc>
        <w:tc>
          <w:tcPr>
            <w:tcW w:w="3000" w:type="dxa"/>
            <w:vAlign w:val="top"/>
          </w:tcPr>
          <w:p>
            <w:pPr>
              <w:spacing w:after="40"/>
            </w:pPr>
            <w:r>
              <w:rPr>
                <w:sz w:val="17"/>
                <w:szCs w:val="17"/>
              </w:rPr>
              <w:t xml:space="preserve">Les effectifs ne correspondent pas aux pourcentages : 0,3 à 0,8 % de 9 millions d'habitants donnent environ 27 000 à 72 000 personnes (calcul dérivé) ; la source OFSP n'est pas précisée.</w:t>
            </w:r>
          </w:p>
          <w:p>
            <w:pPr>
              <w:spacing w:after="0"/>
            </w:pPr>
            <w:r>
              <w:rPr>
                <w:b/>
                <w:color w:val="145A32"/>
                <w:sz w:val="17"/>
                <w:szCs w:val="17"/>
              </w:rPr>
              <w:t xml:space="preserve">→ Corriger les effectifs avec la mention « calcul dérivé » et citer la source OFSP exacte (titre, année, URL).</w:t>
            </w:r>
          </w:p>
        </w:tc>
        <w:tc>
          <w:tcPr>
            <w:tcW w:w="1800" w:type="dxa"/>
            <w:vAlign w:val="top"/>
          </w:tcPr>
          <w:p>
            <w:pPr>
              <w:spacing w:after="0"/>
            </w:pPr>
            <w:r>
              <w:rPr>
                <w:sz w:val="17"/>
                <w:szCs w:val="17"/>
              </w:rPr>
              <w:t xml:space="preserve">PROMPT_V6.md (prompt de base), § 3.6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L4-L58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Partie 4 › D4.10 › point 5</w:t>
            </w:r>
          </w:p>
        </w:tc>
        <w:tc>
          <w:tcPr>
            <w:tcW w:w="2600" w:type="dxa"/>
            <w:vAlign w:val="top"/>
          </w:tcPr>
          <w:p>
            <w:pPr>
              <w:spacing w:after="0"/>
            </w:pPr>
            <w:r>
              <w:rPr>
                <w:i/>
                <w:sz w:val="17"/>
                <w:szCs w:val="17"/>
              </w:rPr>
              <w:t xml:space="preserve">« collapsus cardiovasculaire réfractaire auxamines. »</w:t>
            </w:r>
          </w:p>
        </w:tc>
        <w:tc>
          <w:tcPr>
            <w:tcW w:w="3000" w:type="dxa"/>
            <w:vAlign w:val="top"/>
          </w:tcPr>
          <w:p>
            <w:pPr>
              <w:spacing w:after="40"/>
            </w:pPr>
            <w:r>
              <w:rPr>
                <w:sz w:val="17"/>
                <w:szCs w:val="17"/>
              </w:rPr>
              <w:t xml:space="preserve">Le mot « auxamines » résulte d'une perte de texte et ne veut rien dire.</w:t>
            </w:r>
          </w:p>
          <w:p>
            <w:pPr>
              <w:spacing w:after="0"/>
            </w:pPr>
            <w:r>
              <w:rPr>
                <w:b/>
                <w:color w:val="145A32"/>
                <w:sz w:val="17"/>
                <w:szCs w:val="17"/>
              </w:rPr>
              <w:t xml:space="preserve">→ Écrire « réfractaire aux amines vasopressives ».</w:t>
            </w:r>
          </w:p>
        </w:tc>
        <w:tc>
          <w:tcPr>
            <w:tcW w:w="1800" w:type="dxa"/>
            <w:vAlign w:val="top"/>
          </w:tcPr>
          <w:p>
            <w:pPr>
              <w:spacing w:after="0"/>
            </w:pPr>
            <w:r>
              <w:rPr>
                <w:sz w:val="17"/>
                <w:szCs w:val="17"/>
              </w:rPr>
              <w:t xml:space="preserve">PROMPT_V6.md (prompt de base),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L4-L59</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Partie 1 › D4.1 › point 9 (même défaut dans les 5 fichiers V5 : ≈ 30 occurrences)</w:t>
            </w:r>
          </w:p>
        </w:tc>
        <w:tc>
          <w:tcPr>
            <w:tcW w:w="2600" w:type="dxa"/>
            <w:vAlign w:val="top"/>
          </w:tcPr>
          <w:p>
            <w:pPr>
              <w:spacing w:after="0"/>
            </w:pPr>
            <w:r>
              <w:rPr>
                <w:i/>
                <w:sz w:val="17"/>
                <w:szCs w:val="17"/>
              </w:rPr>
              <w:t xml:space="preserve">« - 1ère intention : Formule Sanguine Complète (FSC), Réticulocytes »</w:t>
            </w:r>
          </w:p>
        </w:tc>
        <w:tc>
          <w:tcPr>
            <w:tcW w:w="3000" w:type="dxa"/>
            <w:vAlign w:val="top"/>
          </w:tcPr>
          <w:p>
            <w:pPr>
              <w:spacing w:after="40"/>
            </w:pPr>
            <w:r>
              <w:rPr>
                <w:sz w:val="17"/>
                <w:szCs w:val="17"/>
              </w:rPr>
              <w:t xml:space="preserve">Les abréviations ordinales « 1ère », « 2ème », « 3ème », « 4ème » ne respectent pas la typographie française.</w:t>
            </w:r>
          </w:p>
          <w:p>
            <w:pPr>
              <w:spacing w:after="0"/>
            </w:pPr>
            <w:r>
              <w:rPr>
                <w:b/>
                <w:color w:val="145A32"/>
                <w:sz w:val="17"/>
                <w:szCs w:val="17"/>
              </w:rPr>
              <w:t xml:space="preserve">→ Remplacer par « 1re », « 2e », « 3e », « 4e » dans tout le lot.</w:t>
            </w:r>
          </w:p>
        </w:tc>
        <w:tc>
          <w:tcPr>
            <w:tcW w:w="1800" w:type="dxa"/>
            <w:vAlign w:val="top"/>
          </w:tcPr>
          <w:p>
            <w:pPr>
              <w:spacing w:after="0"/>
            </w:pPr>
            <w:r>
              <w:rPr>
                <w:sz w:val="17"/>
                <w:szCs w:val="17"/>
              </w:rPr>
              <w:t xml:space="preserve">Lexique des règles typographiques en usage à l'Imprimerie nationale (règle des abréviations ordinales)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L4-L60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Partie 1 › D4.1 › point 9 (« Gold Standard » : ≈ 15 occurrences dans le lot V5)</w:t>
            </w:r>
          </w:p>
        </w:tc>
        <w:tc>
          <w:tcPr>
            <w:tcW w:w="2600" w:type="dxa"/>
            <w:vAlign w:val="top"/>
          </w:tcPr>
          <w:p>
            <w:pPr>
              <w:spacing w:after="0"/>
            </w:pPr>
            <w:r>
              <w:rPr>
                <w:i/>
                <w:sz w:val="17"/>
                <w:szCs w:val="17"/>
              </w:rPr>
              <w:t xml:space="preserve">« - Gold Standard diagnostique : La coloration de Perls »</w:t>
            </w:r>
          </w:p>
        </w:tc>
        <w:tc>
          <w:tcPr>
            <w:tcW w:w="3000" w:type="dxa"/>
            <w:vAlign w:val="top"/>
          </w:tcPr>
          <w:p>
            <w:pPr>
              <w:spacing w:after="40"/>
            </w:pPr>
            <w:r>
              <w:rPr>
                <w:sz w:val="17"/>
                <w:szCs w:val="17"/>
              </w:rPr>
              <w:t xml:space="preserve">Les anglicismes « Gold Standard », « compliance », « alternate day », « Forward/Backward Failure », « crash », « Handgrip strength test » et « salt craving » restent non traduits.</w:t>
            </w:r>
          </w:p>
          <w:p>
            <w:pPr>
              <w:spacing w:after="0"/>
            </w:pPr>
            <w:r>
              <w:rPr>
                <w:b/>
                <w:color w:val="145A32"/>
                <w:sz w:val="17"/>
                <w:szCs w:val="17"/>
              </w:rPr>
              <w:t xml:space="preserve">→ Écrire « examen de référence », « observance », « un jour sur deux », « insuffisance antérograde/rétrograde », « effondrement », « mesure de la force de préhension », « appétence pour le sel ».</w:t>
            </w:r>
          </w:p>
        </w:tc>
        <w:tc>
          <w:tcPr>
            <w:tcW w:w="1800" w:type="dxa"/>
            <w:vAlign w:val="top"/>
          </w:tcPr>
          <w:p>
            <w:pPr>
              <w:spacing w:after="0"/>
            </w:pPr>
            <w:r>
              <w:rPr>
                <w:sz w:val="17"/>
                <w:szCs w:val="17"/>
              </w:rPr>
              <w:t xml:space="preserve">PROMPT_V6.md (prompt de base),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L4-L61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Partie 1 › D4.1 › point 10</w:t>
            </w:r>
          </w:p>
        </w:tc>
        <w:tc>
          <w:tcPr>
            <w:tcW w:w="2600" w:type="dxa"/>
            <w:vAlign w:val="top"/>
          </w:tcPr>
          <w:p>
            <w:pPr>
              <w:spacing w:after="0"/>
            </w:pPr>
            <w:r>
              <w:rPr>
                <w:i/>
                <w:sz w:val="17"/>
                <w:szCs w:val="17"/>
              </w:rPr>
              <w:t xml:space="preserve">« Face à une anémie microcytaire hypocrome, le praticien dose la ferritine. »</w:t>
            </w:r>
          </w:p>
        </w:tc>
        <w:tc>
          <w:tcPr>
            <w:tcW w:w="3000" w:type="dxa"/>
            <w:vAlign w:val="top"/>
          </w:tcPr>
          <w:p>
            <w:pPr>
              <w:spacing w:after="40"/>
            </w:pPr>
            <w:r>
              <w:rPr>
                <w:sz w:val="17"/>
                <w:szCs w:val="17"/>
              </w:rPr>
              <w:t xml:space="preserve">« Hypocrome » est mal orthographié.</w:t>
            </w:r>
          </w:p>
          <w:p>
            <w:pPr>
              <w:spacing w:after="0"/>
            </w:pPr>
            <w:r>
              <w:rPr>
                <w:b/>
                <w:color w:val="145A32"/>
                <w:sz w:val="17"/>
                <w:szCs w:val="17"/>
              </w:rPr>
              <w:t xml:space="preserve">→ Écrire « hypochrome ».</w:t>
            </w:r>
          </w:p>
        </w:tc>
        <w:tc>
          <w:tcPr>
            <w:tcW w:w="1800" w:type="dxa"/>
            <w:vAlign w:val="top"/>
          </w:tcPr>
          <w:p>
            <w:pPr>
              <w:spacing w:after="0"/>
            </w:pPr>
            <w:r>
              <w:rPr>
                <w:sz w:val="17"/>
                <w:szCs w:val="17"/>
              </w:rPr>
              <w:t xml:space="preserve">Dictionnaire médical de l'Académie de médecine (entrée « hypochromie »)</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L4-L62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Partie 1 › D4.2 › point 13</w:t>
            </w:r>
          </w:p>
        </w:tc>
        <w:tc>
          <w:tcPr>
            <w:tcW w:w="2600" w:type="dxa"/>
            <w:vAlign w:val="top"/>
          </w:tcPr>
          <w:p>
            <w:pPr>
              <w:spacing w:after="0"/>
            </w:pPr>
            <w:r>
              <w:rPr>
                <w:i/>
                <w:sz w:val="17"/>
                <w:szCs w:val="17"/>
              </w:rPr>
              <w:t xml:space="preserve">« nécessitant une communication transparente avec le patient pour assurer la compliance médicamenteuse. »</w:t>
            </w:r>
          </w:p>
        </w:tc>
        <w:tc>
          <w:tcPr>
            <w:tcW w:w="3000" w:type="dxa"/>
            <w:vAlign w:val="top"/>
          </w:tcPr>
          <w:p>
            <w:pPr>
              <w:spacing w:after="40"/>
            </w:pPr>
            <w:r>
              <w:rPr>
                <w:sz w:val="17"/>
                <w:szCs w:val="17"/>
              </w:rPr>
              <w:t xml:space="preserve">« Compliance » est un anglicisme et la phrase est longue et participiale.</w:t>
            </w:r>
          </w:p>
          <w:p>
            <w:pPr>
              <w:spacing w:after="0"/>
            </w:pPr>
            <w:r>
              <w:rPr>
                <w:b/>
                <w:color w:val="145A32"/>
                <w:sz w:val="17"/>
                <w:szCs w:val="17"/>
              </w:rPr>
              <w:t xml:space="preserve">→ Écrire : « Les antidépresseurs agissent après 2 à 4 semaines. Le médecin l'explique au patient pour favoriser l'observance. »</w:t>
            </w:r>
          </w:p>
        </w:tc>
        <w:tc>
          <w:tcPr>
            <w:tcW w:w="1800" w:type="dxa"/>
            <w:vAlign w:val="top"/>
          </w:tcPr>
          <w:p>
            <w:pPr>
              <w:spacing w:after="0"/>
            </w:pPr>
            <w:r>
              <w:rPr>
                <w:sz w:val="17"/>
                <w:szCs w:val="17"/>
              </w:rPr>
              <w:t xml:space="preserve">PROMPT_V6.md (prompt de base), § 6.1 et § 6.2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L4-L63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LOT_4_Appel_A_V5_Ultra_Pedagogique_Plan_et_Liste__export_GoogleDoc.html</w:t>
            </w:r>
          </w:p>
        </w:tc>
        <w:tc>
          <w:tcPr>
            <w:tcW w:w="2350" w:type="dxa"/>
            <w:vAlign w:val="top"/>
          </w:tcPr>
          <w:p>
            <w:pPr>
              <w:spacing w:after="0"/>
            </w:pPr>
            <w:r>
              <w:rPr>
                <w:sz w:val="17"/>
                <w:szCs w:val="17"/>
              </w:rPr>
              <w:t xml:space="preserve">Appel A › Bloc 1 › point 1</w:t>
            </w:r>
          </w:p>
        </w:tc>
        <w:tc>
          <w:tcPr>
            <w:tcW w:w="2600" w:type="dxa"/>
            <w:vAlign w:val="top"/>
          </w:tcPr>
          <w:p>
            <w:pPr>
              <w:spacing w:after="0"/>
            </w:pPr>
            <w:r>
              <w:rPr>
                <w:i/>
                <w:sz w:val="17"/>
                <w:szCs w:val="17"/>
              </w:rPr>
              <w:t xml:space="preserve">« La Fatigue (Asthénie) désigne un épuisement global »</w:t>
            </w:r>
          </w:p>
        </w:tc>
        <w:tc>
          <w:tcPr>
            <w:tcW w:w="3000" w:type="dxa"/>
            <w:vAlign w:val="top"/>
          </w:tcPr>
          <w:p>
            <w:pPr>
              <w:spacing w:after="40"/>
            </w:pPr>
            <w:r>
              <w:rPr>
                <w:sz w:val="17"/>
                <w:szCs w:val="17"/>
              </w:rPr>
              <w:t xml:space="preserve">Des noms communs portent une majuscule fautive (« Fatigue », « Asthénie », « Ferritine », « Perte de poids », « Pâleur »), et la définition provient d'aucune société savante citée.</w:t>
            </w:r>
          </w:p>
          <w:p>
            <w:pPr>
              <w:spacing w:after="0"/>
            </w:pPr>
            <w:r>
              <w:rPr>
                <w:b/>
                <w:color w:val="145A32"/>
                <w:sz w:val="17"/>
                <w:szCs w:val="17"/>
              </w:rPr>
              <w:t xml:space="preserve">→ Écrire « La fatigue (asthénie) désigne… » et ajouter la source médicale de la définition [Sn].</w:t>
            </w:r>
          </w:p>
        </w:tc>
        <w:tc>
          <w:tcPr>
            <w:tcW w:w="1800" w:type="dxa"/>
            <w:vAlign w:val="top"/>
          </w:tcPr>
          <w:p>
            <w:pPr>
              <w:spacing w:after="0"/>
            </w:pPr>
            <w:r>
              <w:rPr>
                <w:sz w:val="17"/>
                <w:szCs w:val="17"/>
              </w:rPr>
              <w:t xml:space="preserve">PROMPT_V6.md (prompt de base), § 5.1 et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L4-L76</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Code source › ligne unique du corps</w:t>
            </w:r>
          </w:p>
        </w:tc>
        <w:tc>
          <w:tcPr>
            <w:tcW w:w="2600" w:type="dxa"/>
            <w:vAlign w:val="top"/>
          </w:tcPr>
          <w:p>
            <w:pPr>
              <w:spacing w:after="0"/>
            </w:pPr>
            <w:r>
              <w:rPr>
                <w:i/>
                <w:sz w:val="17"/>
                <w:szCs w:val="17"/>
              </w:rPr>
              <w:t xml:space="preserve">« Revenir au sommaire D4.2 »</w:t>
            </w:r>
          </w:p>
        </w:tc>
        <w:tc>
          <w:tcPr>
            <w:tcW w:w="3000" w:type="dxa"/>
            <w:vAlign w:val="top"/>
          </w:tcPr>
          <w:p>
            <w:pPr>
              <w:spacing w:after="40"/>
            </w:pPr>
            <w:r>
              <w:rPr>
                <w:sz w:val="17"/>
                <w:szCs w:val="17"/>
              </w:rPr>
              <w:t xml:space="preserve">Le corps du fichier tient sur une ligne de 79 469 caractères, alors que le prompt limite chaque ligne à 3 000 caractères.</w:t>
            </w:r>
          </w:p>
          <w:p>
            <w:pPr>
              <w:spacing w:after="0"/>
            </w:pPr>
            <w:r>
              <w:rPr>
                <w:b/>
                <w:color w:val="145A32"/>
                <w:sz w:val="17"/>
                <w:szCs w:val="17"/>
              </w:rPr>
              <w:t xml:space="preserve">→ Reformater le HTML avec un retour à la ligne par bloc (section, paragraphe, details).</w:t>
            </w:r>
          </w:p>
        </w:tc>
        <w:tc>
          <w:tcPr>
            <w:tcW w:w="1800" w:type="dxa"/>
            <w:vAlign w:val="top"/>
          </w:tcPr>
          <w:p>
            <w:pPr>
              <w:spacing w:after="0"/>
            </w:pPr>
            <w:r>
              <w:rPr>
                <w:sz w:val="17"/>
                <w:szCs w:val="17"/>
              </w:rPr>
              <w:t xml:space="preserve">PROMPT_V6.md (prompt de base), § 9 (règles techniques)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L4-L77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D4.1 › point 5</w:t>
            </w:r>
          </w:p>
        </w:tc>
        <w:tc>
          <w:tcPr>
            <w:tcW w:w="2600" w:type="dxa"/>
            <w:vAlign w:val="top"/>
          </w:tcPr>
          <w:p>
            <w:pPr>
              <w:spacing w:after="0"/>
            </w:pPr>
            <w:r>
              <w:rPr>
                <w:i/>
                <w:sz w:val="17"/>
                <w:szCs w:val="17"/>
              </w:rPr>
              <w:t xml:space="preserve">« Une mauvaise tolérance, un saignement actif ou des signes digestifs d'alarme accélère l'évaluation. »</w:t>
            </w:r>
          </w:p>
        </w:tc>
        <w:tc>
          <w:tcPr>
            <w:tcW w:w="3000" w:type="dxa"/>
            <w:vAlign w:val="top"/>
          </w:tcPr>
          <w:p>
            <w:pPr>
              <w:spacing w:after="40"/>
            </w:pPr>
            <w:r>
              <w:rPr>
                <w:sz w:val="17"/>
                <w:szCs w:val="17"/>
              </w:rPr>
              <w:t xml:space="preserve">Le verbe reste au singulier alors que le dernier sujet coordonné est au pluriel.</w:t>
            </w:r>
          </w:p>
          <w:p>
            <w:pPr>
              <w:spacing w:after="0"/>
            </w:pPr>
            <w:r>
              <w:rPr>
                <w:b/>
                <w:color w:val="145A32"/>
                <w:sz w:val="17"/>
                <w:szCs w:val="17"/>
              </w:rPr>
              <w:t xml:space="preserve">→ Écrire « … ou des signes digestifs d'alarme accélèrent l'évaluation ».</w:t>
            </w:r>
          </w:p>
        </w:tc>
        <w:tc>
          <w:tcPr>
            <w:tcW w:w="1800" w:type="dxa"/>
            <w:vAlign w:val="top"/>
          </w:tcPr>
          <w:p>
            <w:pPr>
              <w:spacing w:after="0"/>
            </w:pPr>
            <w:r>
              <w:rPr>
                <w:sz w:val="17"/>
                <w:szCs w:val="17"/>
              </w:rPr>
              <w:t xml:space="preserve">Grevisse, Le Bon Usage, accord du verbe avec des sujets coordonnés par « ou »</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L4-L78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D4.2 › point 11.B</w:t>
            </w:r>
          </w:p>
        </w:tc>
        <w:tc>
          <w:tcPr>
            <w:tcW w:w="2600" w:type="dxa"/>
            <w:vAlign w:val="top"/>
          </w:tcPr>
          <w:p>
            <w:pPr>
              <w:spacing w:after="0"/>
            </w:pPr>
            <w:r>
              <w:rPr>
                <w:i/>
                <w:sz w:val="17"/>
                <w:szCs w:val="17"/>
              </w:rPr>
              <w:t xml:space="preserve">« 11.B. Moyens Le traitement associe un accompagnement psychothérapeutique et social, une adaptation des contraintes et, lorsque indiqué »</w:t>
            </w:r>
          </w:p>
        </w:tc>
        <w:tc>
          <w:tcPr>
            <w:tcW w:w="3000" w:type="dxa"/>
            <w:vAlign w:val="top"/>
          </w:tcPr>
          <w:p>
            <w:pPr>
              <w:spacing w:after="40"/>
            </w:pPr>
            <w:r>
              <w:rPr>
                <w:sz w:val="17"/>
                <w:szCs w:val="17"/>
              </w:rPr>
              <w:t xml:space="preserve">La tournure « lorsque indiqué » omet le sujet et le verbe et ne fait pas l'élision.</w:t>
            </w:r>
          </w:p>
          <w:p>
            <w:pPr>
              <w:spacing w:after="0"/>
            </w:pPr>
            <w:r>
              <w:rPr>
                <w:b/>
                <w:color w:val="145A32"/>
                <w:sz w:val="17"/>
                <w:szCs w:val="17"/>
              </w:rPr>
              <w:t xml:space="preserve">→ Écrire « et, lorsqu'il est indiqué, un médicament de fond ».</w:t>
            </w:r>
          </w:p>
        </w:tc>
        <w:tc>
          <w:tcPr>
            <w:tcW w:w="1800" w:type="dxa"/>
            <w:vAlign w:val="top"/>
          </w:tcPr>
          <w:p>
            <w:pPr>
              <w:spacing w:after="0"/>
            </w:pPr>
            <w:r>
              <w:rPr>
                <w:sz w:val="17"/>
                <w:szCs w:val="17"/>
              </w:rPr>
              <w:t xml:space="preserve">PROMPT_V6.md (prompt de base), § 6.1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L4-L79</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SSP G4 › point 11.A (même tournure en D4.6 et D4.7)</w:t>
            </w:r>
          </w:p>
        </w:tc>
        <w:tc>
          <w:tcPr>
            <w:tcW w:w="2600" w:type="dxa"/>
            <w:vAlign w:val="top"/>
          </w:tcPr>
          <w:p>
            <w:pPr>
              <w:spacing w:after="0"/>
            </w:pPr>
            <w:r>
              <w:rPr>
                <w:i/>
                <w:sz w:val="17"/>
                <w:szCs w:val="17"/>
              </w:rPr>
              <w:t xml:space="preserve">« Le traitement vise à identifier les facteurs traitables et améliorer les capacités quotidiennes. »</w:t>
            </w:r>
          </w:p>
        </w:tc>
        <w:tc>
          <w:tcPr>
            <w:tcW w:w="3000" w:type="dxa"/>
            <w:vAlign w:val="top"/>
          </w:tcPr>
          <w:p>
            <w:pPr>
              <w:spacing w:after="40"/>
            </w:pPr>
            <w:r>
              <w:rPr>
                <w:sz w:val="17"/>
                <w:szCs w:val="17"/>
              </w:rPr>
              <w:t xml:space="preserve">La préposition « à » n'est pas répétée devant le second infinitif coordonné.</w:t>
            </w:r>
          </w:p>
          <w:p>
            <w:pPr>
              <w:spacing w:after="0"/>
            </w:pPr>
            <w:r>
              <w:rPr>
                <w:b/>
                <w:color w:val="145A32"/>
                <w:sz w:val="17"/>
                <w:szCs w:val="17"/>
              </w:rPr>
              <w:t xml:space="preserve">→ Écrire « vise à identifier les facteurs traitables et à améliorer les capacités quotidiennes ».</w:t>
            </w:r>
          </w:p>
        </w:tc>
        <w:tc>
          <w:tcPr>
            <w:tcW w:w="1800" w:type="dxa"/>
            <w:vAlign w:val="top"/>
          </w:tcPr>
          <w:p>
            <w:pPr>
              <w:spacing w:after="0"/>
            </w:pPr>
            <w:r>
              <w:rPr>
                <w:sz w:val="17"/>
                <w:szCs w:val="17"/>
              </w:rPr>
              <w:t xml:space="preserve">Grevisse, Le Bon Usage, répétition des prépositions devant des compléments coordonnés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L4-L80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LOT_4_V6_Enrichi_8plus_Partie_1_Integral.html</w:t>
            </w:r>
          </w:p>
        </w:tc>
        <w:tc>
          <w:tcPr>
            <w:tcW w:w="2350" w:type="dxa"/>
            <w:vAlign w:val="top"/>
          </w:tcPr>
          <w:p>
            <w:pPr>
              <w:spacing w:after="0"/>
            </w:pPr>
            <w:r>
              <w:rPr>
                <w:sz w:val="17"/>
                <w:szCs w:val="17"/>
              </w:rPr>
              <w:t xml:space="preserve">D4.7 › point 11.A</w:t>
            </w:r>
          </w:p>
        </w:tc>
        <w:tc>
          <w:tcPr>
            <w:tcW w:w="2600" w:type="dxa"/>
            <w:vAlign w:val="top"/>
          </w:tcPr>
          <w:p>
            <w:pPr>
              <w:spacing w:after="0"/>
            </w:pPr>
            <w:r>
              <w:rPr>
                <w:i/>
                <w:sz w:val="17"/>
                <w:szCs w:val="17"/>
              </w:rPr>
              <w:t xml:space="preserve">« Le traitement vise à ralentir la progression rénale et traiter les complications de la fatigue. »</w:t>
            </w:r>
          </w:p>
        </w:tc>
        <w:tc>
          <w:tcPr>
            <w:tcW w:w="3000" w:type="dxa"/>
            <w:vAlign w:val="top"/>
          </w:tcPr>
          <w:p>
            <w:pPr>
              <w:spacing w:after="40"/>
            </w:pPr>
            <w:r>
              <w:rPr>
                <w:sz w:val="17"/>
                <w:szCs w:val="17"/>
              </w:rPr>
              <w:t xml:space="preserve">La fatigue n'a pas de « complications » : le texte inverse la relation de cause.</w:t>
            </w:r>
          </w:p>
          <w:p>
            <w:pPr>
              <w:spacing w:after="0"/>
            </w:pPr>
            <w:r>
              <w:rPr>
                <w:b/>
                <w:color w:val="145A32"/>
                <w:sz w:val="17"/>
                <w:szCs w:val="17"/>
              </w:rPr>
              <w:t xml:space="preserve">→ Écrire « vise à ralentir la progression rénale et à traiter les complications responsables de la fatigue (anémie, acidose, urémie) ».</w:t>
            </w:r>
          </w:p>
        </w:tc>
        <w:tc>
          <w:tcPr>
            <w:tcW w:w="1800" w:type="dxa"/>
            <w:vAlign w:val="top"/>
          </w:tcPr>
          <w:p>
            <w:pPr>
              <w:spacing w:after="0"/>
            </w:pPr>
            <w:r>
              <w:rPr>
                <w:sz w:val="17"/>
                <w:szCs w:val="17"/>
              </w:rPr>
              <w:t xml:space="preserve">PROMPT_V6.md (prompt de base),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L4-M26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LOT_4_Appel_B_V5_Ultra_Pedagogique_Partie_1_DX.1_a_DX.2__export_GoogleDoc.html</w:t>
            </w:r>
          </w:p>
        </w:tc>
        <w:tc>
          <w:tcPr>
            <w:tcW w:w="2350" w:type="dxa"/>
            <w:vAlign w:val="top"/>
          </w:tcPr>
          <w:p>
            <w:pPr>
              <w:spacing w:after="0"/>
            </w:pPr>
            <w:r>
              <w:rPr>
                <w:sz w:val="17"/>
                <w:szCs w:val="17"/>
              </w:rPr>
              <w:t xml:space="preserve">D4.2 › point 9 › gold standard</w:t>
            </w:r>
          </w:p>
        </w:tc>
        <w:tc>
          <w:tcPr>
            <w:tcW w:w="2600" w:type="dxa"/>
            <w:vAlign w:val="top"/>
          </w:tcPr>
          <w:p>
            <w:pPr>
              <w:spacing w:after="0"/>
            </w:pPr>
            <w:r>
              <w:rPr>
                <w:i/>
                <w:sz w:val="17"/>
                <w:szCs w:val="17"/>
              </w:rPr>
              <w:t xml:space="preserve">« L'évaluation clinique psychiatrique standardisée au moyen d'échelles formelles (MADRS ou MINI). »</w:t>
            </w:r>
          </w:p>
        </w:tc>
        <w:tc>
          <w:tcPr>
            <w:tcW w:w="3000" w:type="dxa"/>
            <w:vAlign w:val="top"/>
          </w:tcPr>
          <w:p>
            <w:pPr>
              <w:spacing w:after="40"/>
            </w:pPr>
            <w:r>
              <w:rPr>
                <w:sz w:val="17"/>
                <w:szCs w:val="17"/>
              </w:rPr>
              <w:t xml:space="preserve">La MADRS mesure la sévérité et ne pose pas le diagnostic ; seul le MINI est un entretien diagnostique structuré.</w:t>
            </w:r>
          </w:p>
          <w:p>
            <w:pPr>
              <w:spacing w:after="0"/>
            </w:pPr>
            <w:r>
              <w:rPr>
                <w:b/>
                <w:color w:val="145A32"/>
                <w:sz w:val="17"/>
                <w:szCs w:val="17"/>
              </w:rPr>
              <w:t xml:space="preserve">→ Écrire : « L'entretien clinique selon la CIM, éventuellement structuré (MINI), pose le diagnostic ; la MADRS ou le PHQ-9 mesurent la sévérité. »</w:t>
            </w:r>
          </w:p>
        </w:tc>
        <w:tc>
          <w:tcPr>
            <w:tcW w:w="1800" w:type="dxa"/>
            <w:vAlign w:val="top"/>
          </w:tcPr>
          <w:p>
            <w:pPr>
              <w:spacing w:after="0"/>
            </w:pPr>
            <w:r>
              <w:rPr>
                <w:sz w:val="17"/>
                <w:szCs w:val="17"/>
              </w:rPr>
              <w:t xml:space="preserve">Holsboer-Trachsler E et al., Swiss Medical Forum 2016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L4-M37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LOT_4_Appel_B_V5_Ultra_Pedagogique_Partie_2_DX.3_a_DX.5__export_GoogleDoc.html</w:t>
            </w:r>
          </w:p>
        </w:tc>
        <w:tc>
          <w:tcPr>
            <w:tcW w:w="2350" w:type="dxa"/>
            <w:vAlign w:val="top"/>
          </w:tcPr>
          <w:p>
            <w:pPr>
              <w:spacing w:after="0"/>
            </w:pPr>
            <w:r>
              <w:rPr>
                <w:sz w:val="17"/>
                <w:szCs w:val="17"/>
              </w:rPr>
              <w:t xml:space="preserve">D4.3 › point 11.B et D4.4 › point 3 (valeurs ou mots perdus, 2 occurrences)</w:t>
            </w:r>
          </w:p>
        </w:tc>
        <w:tc>
          <w:tcPr>
            <w:tcW w:w="2600" w:type="dxa"/>
            <w:vAlign w:val="top"/>
          </w:tcPr>
          <w:p>
            <w:pPr>
              <w:spacing w:after="0"/>
            </w:pPr>
            <w:r>
              <w:rPr>
                <w:i/>
                <w:sz w:val="17"/>
                <w:szCs w:val="17"/>
              </w:rPr>
              <w:t xml:space="preserve">« pression titrée entre 6 et 14 ) »</w:t>
            </w:r>
          </w:p>
        </w:tc>
        <w:tc>
          <w:tcPr>
            <w:tcW w:w="3000" w:type="dxa"/>
            <w:vAlign w:val="top"/>
          </w:tcPr>
          <w:p>
            <w:pPr>
              <w:spacing w:after="40"/>
            </w:pPr>
            <w:r>
              <w:rPr>
                <w:sz w:val="17"/>
                <w:szCs w:val="17"/>
              </w:rPr>
              <w:t xml:space="preserve">La conversion a supprimé l'unité de pression (et, en D4.4, le nom des pompes Na+/K+-ATPase), ce qui rend la phrase incomplète.</w:t>
            </w:r>
          </w:p>
          <w:p>
            <w:pPr>
              <w:spacing w:after="0"/>
            </w:pPr>
            <w:r>
              <w:rPr>
                <w:b/>
                <w:color w:val="145A32"/>
                <w:sz w:val="17"/>
                <w:szCs w:val="17"/>
              </w:rPr>
              <w:t xml:space="preserve">→ Écrire « pression titrée entre 6 et 14 cmH2O » et « réduit la transcription des pompes Na+/K+-ATPase ».</w:t>
            </w:r>
          </w:p>
        </w:tc>
        <w:tc>
          <w:tcPr>
            <w:tcW w:w="1800" w:type="dxa"/>
            <w:vAlign w:val="top"/>
          </w:tcPr>
          <w:p>
            <w:pPr>
              <w:spacing w:after="0"/>
            </w:pPr>
            <w:r>
              <w:rPr>
                <w:sz w:val="17"/>
                <w:szCs w:val="17"/>
              </w:rPr>
              <w:t xml:space="preserve">PROMPT_V6, section 6, point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L4-M53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LOT_4_Appel_B_V5_Ultra_Pedagogique_Partie_3_DX.6_a_DX.7__export_GoogleDoc.html</w:t>
            </w:r>
          </w:p>
        </w:tc>
        <w:tc>
          <w:tcPr>
            <w:tcW w:w="2350" w:type="dxa"/>
            <w:vAlign w:val="top"/>
          </w:tcPr>
          <w:p>
            <w:pPr>
              <w:spacing w:after="0"/>
            </w:pPr>
            <w:r>
              <w:rPr>
                <w:sz w:val="17"/>
                <w:szCs w:val="17"/>
              </w:rPr>
              <w:t xml:space="preserve">D4.7 › point 9 › gold standard</w:t>
            </w:r>
          </w:p>
        </w:tc>
        <w:tc>
          <w:tcPr>
            <w:tcW w:w="2600" w:type="dxa"/>
            <w:vAlign w:val="top"/>
          </w:tcPr>
          <w:p>
            <w:pPr>
              <w:spacing w:after="0"/>
            </w:pPr>
            <w:r>
              <w:rPr>
                <w:i/>
                <w:sz w:val="17"/>
                <w:szCs w:val="17"/>
              </w:rPr>
              <w:t xml:space="preserve">« n'est utilisée qu'en recherche »</w:t>
            </w:r>
          </w:p>
        </w:tc>
        <w:tc>
          <w:tcPr>
            <w:tcW w:w="3000" w:type="dxa"/>
            <w:vAlign w:val="top"/>
          </w:tcPr>
          <w:p>
            <w:pPr>
              <w:spacing w:after="40"/>
            </w:pPr>
            <w:r>
              <w:rPr>
                <w:sz w:val="17"/>
                <w:szCs w:val="17"/>
              </w:rPr>
              <w:t xml:space="preserve">La clairance de l'iohexol est aussi employée en clinique (donneur vivant, valeurs discordantes) et non seulement en recherche.</w:t>
            </w:r>
          </w:p>
          <w:p>
            <w:pPr>
              <w:spacing w:after="0"/>
            </w:pPr>
            <w:r>
              <w:rPr>
                <w:b/>
                <w:color w:val="145A32"/>
                <w:sz w:val="17"/>
                <w:szCs w:val="17"/>
              </w:rPr>
              <w:t xml:space="preserve">→ Écrire : « est réservée aux situations où l'estimation n'est pas fiable (donneur vivant, sarcopénie extrême) ».</w:t>
            </w:r>
          </w:p>
        </w:tc>
        <w:tc>
          <w:tcPr>
            <w:tcW w:w="1800" w:type="dxa"/>
            <w:vAlign w:val="top"/>
          </w:tcPr>
          <w:p>
            <w:pPr>
              <w:spacing w:after="0"/>
            </w:pPr>
            <w:r>
              <w:rPr>
                <w:sz w:val="17"/>
                <w:szCs w:val="17"/>
              </w:rPr>
              <w:t xml:space="preserve">KDIGO 2024 CKD Guideline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L4-M65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D4.8 › point 6 « Examen physique »</w:t>
            </w:r>
          </w:p>
        </w:tc>
        <w:tc>
          <w:tcPr>
            <w:tcW w:w="2600" w:type="dxa"/>
            <w:vAlign w:val="top"/>
          </w:tcPr>
          <w:p>
            <w:pPr>
              <w:spacing w:after="0"/>
            </w:pPr>
            <w:r>
              <w:rPr>
                <w:i/>
                <w:sz w:val="17"/>
                <w:szCs w:val="17"/>
              </w:rPr>
              <w:t xml:space="preserve">« Troisier-Virchow pathognomonique d'un cancer digestif ou pelvien »</w:t>
            </w:r>
          </w:p>
        </w:tc>
        <w:tc>
          <w:tcPr>
            <w:tcW w:w="3000" w:type="dxa"/>
            <w:vAlign w:val="top"/>
          </w:tcPr>
          <w:p>
            <w:pPr>
              <w:spacing w:after="40"/>
            </w:pPr>
            <w:r>
              <w:rPr>
                <w:sz w:val="17"/>
                <w:szCs w:val="17"/>
              </w:rPr>
              <w:t xml:space="preserve">Le ganglion de Troisier évoque fortement un cancer abdominal, mais il n'est pas pathognomonique (lymphome, cancer bronchique ou testiculaire).</w:t>
            </w:r>
          </w:p>
          <w:p>
            <w:pPr>
              <w:spacing w:after="0"/>
            </w:pPr>
            <w:r>
              <w:rPr>
                <w:b/>
                <w:color w:val="145A32"/>
                <w:sz w:val="17"/>
                <w:szCs w:val="17"/>
              </w:rPr>
              <w:t xml:space="preserve">→ Écrire « très évocateur d'un cancer abdomino-pelvien ».</w:t>
            </w:r>
          </w:p>
        </w:tc>
        <w:tc>
          <w:tcPr>
            <w:tcW w:w="1800" w:type="dxa"/>
            <w:vAlign w:val="top"/>
          </w:tcPr>
          <w:p>
            <w:pPr>
              <w:spacing w:after="0"/>
            </w:pPr>
            <w:r>
              <w:rPr>
                <w:sz w:val="17"/>
                <w:szCs w:val="17"/>
              </w:rPr>
              <w:t xml:space="preserve">Donnée non relue dans cet audit ; formulation de prudence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L4-M70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LOT_4_Appel_B_V5_Ultra_Pedagogique_Partie_4_DX.8_a_DX.10__export_GoogleDoc.html</w:t>
            </w:r>
          </w:p>
        </w:tc>
        <w:tc>
          <w:tcPr>
            <w:tcW w:w="2350" w:type="dxa"/>
            <w:vAlign w:val="top"/>
          </w:tcPr>
          <w:p>
            <w:pPr>
              <w:spacing w:after="0"/>
            </w:pPr>
            <w:r>
              <w:rPr>
                <w:sz w:val="17"/>
                <w:szCs w:val="17"/>
              </w:rPr>
              <w:t xml:space="preserve">D4.9 › fenêtre 3.9 › ligne POTS</w:t>
            </w:r>
          </w:p>
        </w:tc>
        <w:tc>
          <w:tcPr>
            <w:tcW w:w="2600" w:type="dxa"/>
            <w:vAlign w:val="top"/>
          </w:tcPr>
          <w:p>
            <w:pPr>
              <w:spacing w:after="0"/>
            </w:pPr>
            <w:r>
              <w:rPr>
                <w:i/>
                <w:sz w:val="17"/>
                <w:szCs w:val="17"/>
              </w:rPr>
              <w:t xml:space="preserve">« ou FC debout ≥ 120 bpm, sans hypotension orthostatique »</w:t>
            </w:r>
          </w:p>
        </w:tc>
        <w:tc>
          <w:tcPr>
            <w:tcW w:w="3000" w:type="dxa"/>
            <w:vAlign w:val="top"/>
          </w:tcPr>
          <w:p>
            <w:pPr>
              <w:spacing w:after="40"/>
            </w:pPr>
            <w:r>
              <w:rPr>
                <w:sz w:val="17"/>
                <w:szCs w:val="17"/>
              </w:rPr>
              <w:t xml:space="preserve">Le critère consensuel du POTS repose sur une hausse ≥ 30 bpm en 10 minutes ; la FC debout ≥ 120 bpm n'en fait pas partie.</w:t>
            </w:r>
          </w:p>
          <w:p>
            <w:pPr>
              <w:spacing w:after="0"/>
            </w:pPr>
            <w:r>
              <w:rPr>
                <w:b/>
                <w:color w:val="145A32"/>
                <w:sz w:val="17"/>
                <w:szCs w:val="17"/>
              </w:rPr>
              <w:t xml:space="preserve">→ Supprimer « ou FC debout ≥ 120 bpm ».</w:t>
            </w:r>
          </w:p>
        </w:tc>
        <w:tc>
          <w:tcPr>
            <w:tcW w:w="1800" w:type="dxa"/>
            <w:vAlign w:val="top"/>
          </w:tcPr>
          <w:p>
            <w:pPr>
              <w:spacing w:after="0"/>
            </w:pPr>
            <w:r>
              <w:rPr>
                <w:sz w:val="17"/>
                <w:szCs w:val="17"/>
              </w:rPr>
              <w:t xml:space="preserve">Freeman R et al., Consensus statement on orthostatic hypotension, neurally mediated syncope and POTS, Clin Auton Res 2011;21:69-72</w:t>
            </w:r>
          </w:p>
        </w:tc>
      </w:tr>
    </w:tbl>
    <w:p>
      <w:pPr>
        <w:spacing w:after="120"/>
      </w:pPr>
    </w:p>
    <w:p>
      <w:pPr>
        <w:pStyle w:val="Titre1"/>
        <w:keepNext/>
      </w:pPr>
      <w:r>
        <w:rPr>
          <w:b/>
          <w:color w:val="1A5276"/>
          <w:sz w:val="26"/>
          <w:szCs w:val="26"/>
        </w:rPr>
        <w:t xml:space="preserve">Rapport d'audit médical</w:t>
      </w:r>
    </w:p>
    <w:p>
      <w:pPr>
        <w:spacing w:after="100"/>
        <w:jc w:val="both"/>
      </w:pPr>
      <w:r>
        <w:rPr>
          <w:sz w:val="19"/>
          <w:szCs w:val="19"/>
        </w:rPr>
        <w:t xml:space="preserve">Cet audit médical porte sur les six fichiers du LOT_4 (SSP G4, fatigue et épuisement) : l'Appel A V5, les quatre Parties V5 de l'Appel B et l'édition V6 « Partie_1_Integral ». Les cinq fichiers V5 existent seulement sous forme de Google Docs exportés, ce qui viole la règle bloquante de format. Le V6 réunit le SSP et les dix DX dans un seul fichier et forme ainsi un doublon concurrent des Parties.</w:t>
      </w:r>
    </w:p>
    <w:p>
      <w:pPr>
        <w:spacing w:after="100"/>
        <w:jc w:val="both"/>
      </w:pPr>
      <w:r>
        <w:rPr>
          <w:sz w:val="19"/>
          <w:szCs w:val="19"/>
        </w:rPr>
        <w:t xml:space="preserve">L'auditeur a extrait le texte visible de chaque fichier, a relu chaque monographie contre le plan en quatorze points et a vérifié les affirmations contestées dans des sources européennes ou suisses (ESC 2021, KDIGO 2024, NICE NG206, consensus européen sur l'insuffisance surrénalienne, EMA, compendium.ch). Comme le V6 a retiré presque tout le contenu quantitatif, les Parties V5 restent les seules versions détaillées ; elles ont donc été auditées sur le fond avec le V6. Chaque extrait a été contrôlé par script pour qu'il apparaisse une seule fois dans le texte.</w:t>
      </w:r>
    </w:p>
    <w:p>
      <w:pPr>
        <w:spacing w:after="100"/>
        <w:jc w:val="both"/>
      </w:pPr>
      <w:r>
        <w:rPr>
          <w:sz w:val="19"/>
          <w:szCs w:val="19"/>
        </w:rPr>
        <w:t xml:space="preserve">Les Parties V5 respectent globalement le plan monographique. Elles offrent des fenêtres bio-mathématiques justes (IAH, FEVG, Payne, trou anionique, perte pondérale), des posologies souvent conformes et des pièges d'examen pertinents. Le V6 corrige plusieurs excès des V5 : il supprime les pourcentages non sourcés, signale le malaise post-effort et refuse les programmes d'exercice à paliers fixes dans l'EM/SFC.</w:t>
      </w:r>
    </w:p>
    <w:p>
      <w:pPr>
        <w:spacing w:after="100"/>
        <w:jc w:val="both"/>
      </w:pPr>
      <w:r>
        <w:rPr>
          <w:sz w:val="19"/>
          <w:szCs w:val="19"/>
        </w:rPr>
        <w:t xml:space="preserve">Les faiblesses majeures portent sur la traçabilité et la conversion. Aucun fichier V5 n'a de section Sources numérotée ; les badges de fréquence de l'Appel A sont inventés ; des références américaines (AASM, Endocrine Society, critère Medicare présenté comme LAMal) servent de fondement. La conversion Google Docs a effacé des dizaines de seuils et de doses, surtout dans les Parties 3 et 4. Le V6 est vide de tableaux et de doses, et deux monographies (insuffisance cardiaque, néoplasie) sont recopiées d'autres SSP (toux, fièvre).</w:t>
      </w:r>
    </w:p>
    <w:p>
      <w:pPr>
        <w:spacing w:after="100"/>
        <w:jc w:val="both"/>
      </w:pPr>
      <w:r>
        <w:rPr>
          <w:sz w:val="19"/>
          <w:szCs w:val="19"/>
        </w:rPr>
        <w:t xml:space="preserve">Le risque pour le patient se concentre sur les doses perdues de l'insuffisance surrénalienne (crise, kit d'urgence, chirurgie), sur l'arrêt de l'antagoniste minéralocorticoïde sans seuil de kaliémie et sur l'absence de la fenêtre de 36 heures entre IEC et sacubitril/valsartan. Pour l'étudiant, les erreurs sur le PHQ-9, la spécialité Maltofer®, le B3, la contre-indication « absolue » aux produits iodés et les recherches 2026 présentées comme acquises (omecamtiv mecarbil, vaccins ARNm, BC007, génotypage DIO2) faussent des réponses d'examen.</w:t>
      </w:r>
    </w:p>
    <w:p>
      <w:pPr>
        <w:spacing w:after="100"/>
        <w:jc w:val="both"/>
      </w:pPr>
      <w:r>
        <w:rPr>
          <w:sz w:val="19"/>
          <w:szCs w:val="19"/>
        </w:rPr>
        <w:t xml:space="preserve">Les priorités de correction suivent cet ordre : restaurer les doses et seuils vitaux (constats Critiques), puis régénérer les cinq fichiers en HTML5 avec sources numérotées et mention de non-validation, remplacer les références américaines par les recommandations européennes et suisses, corriger les erreurs factuelles, et enfin fusionner le V6 et les V5 en cinq fichiers canoniques qui gardent la prudence du V6 et la précision corrigée des V5.</w:t>
      </w:r>
    </w:p>
    <w:p>
      <w:pPr>
        <w:pStyle w:val="Titre1"/>
        <w:keepNext/>
      </w:pPr>
      <w:r>
        <w:rPr>
          <w:b/>
          <w:color w:val="1A5276"/>
          <w:sz w:val="26"/>
          <w:szCs w:val="26"/>
        </w:rPr>
        <w:t xml:space="preserve">Rapport d'audit linguistique</w:t>
      </w:r>
    </w:p>
    <w:p>
      <w:pPr>
        <w:spacing w:after="100"/>
        <w:jc w:val="both"/>
      </w:pPr>
      <w:r>
        <w:rPr>
          <w:sz w:val="19"/>
          <w:szCs w:val="19"/>
        </w:rPr>
        <w:t xml:space="preserve">Le présent audit couvre les six fichiers du LOT_4 (SSP G4, Fatigue, épuisement) clonés depuis Drive : cinq Google Docs V5 exportés (Appel A et Parties 1 à 4) et un fichier HTML V6 intitulé « Partie_1_Integral », qui regroupe à lui seul l'Appel A et les dix diagnostics. Aucun document vide n'existe, mais deux générations concurrentes du même contenu coexistent dans le dossier.</w:t>
      </w:r>
    </w:p>
    <w:p>
      <w:pPr>
        <w:spacing w:after="100"/>
        <w:jc w:val="both"/>
      </w:pPr>
      <w:r>
        <w:rPr>
          <w:sz w:val="19"/>
          <w:szCs w:val="19"/>
        </w:rPr>
        <w:t xml:space="preserve">La méthode a extrait le texte visible de chaque fichier, puis a confronté chaque monographie au prompt de base V6 (format, 14 points, fenêtres, tableaux, sources) et aux règles de langue. Les affirmations médicales contestées ont été vérifiées dans Compendium.ch, Swissmedic, l'OMS, la Deutsche Gesellschaft für Endokrinologie et des résumés de NICE NG206 ; chaque extrait cité a été contrôlé par script sur le texte normalisé.</w:t>
      </w:r>
    </w:p>
    <w:p>
      <w:pPr>
        <w:spacing w:after="100"/>
        <w:jc w:val="both"/>
      </w:pPr>
      <w:r>
        <w:rPr>
          <w:sz w:val="19"/>
          <w:szCs w:val="19"/>
        </w:rPr>
        <w:t xml:space="preserve">Le lot présente des forces réelles. Les fichiers V5 suivent le plan en 14 points avec les sous-parties 11.A–D, proposent des exemples chiffrés recalculés (Ganzoni, IAH, FEVG, Payne) et un contenu clinique riche. Le V6 rédige presque partout des phrases verbales courtes, corrige plusieurs excès du V5 (pourcentages non sourcés, exercice gradué dans l'EM/SFC) et signale honnêtement ses lacunes par « donnée non trouvée ».</w:t>
      </w:r>
    </w:p>
    <w:p>
      <w:pPr>
        <w:spacing w:after="100"/>
        <w:jc w:val="both"/>
      </w:pPr>
      <w:r>
        <w:rPr>
          <w:sz w:val="19"/>
          <w:szCs w:val="19"/>
        </w:rPr>
        <w:t xml:space="preserve">Les faiblesses majeures sont structurelles. Les cinq fichiers V5 violent la règle 0 : la conversion Google Docs a supprimé toutes les fenêtres &lt;details&gt;, les sources, la mention de non-validation et la balise FIN_FICHIER, et elle a effacé les formules, ce qui laisse des seuils et des doses vides dans les Parties 3 et 4. Le V6 n'a pas la cadence 2-3-2-3, ne contient ni tableau ni valeur chiffrée, utilise title= sur 33 fenêtres, n'a pas de Bloc 2 dans l'Appel A et recopie des paragraphes transposés d'autres SSP (fièvre, toux).</w:t>
      </w:r>
    </w:p>
    <w:p>
      <w:pPr>
        <w:spacing w:after="100"/>
        <w:jc w:val="both"/>
      </w:pPr>
      <w:r>
        <w:rPr>
          <w:sz w:val="19"/>
          <w:szCs w:val="19"/>
        </w:rPr>
        <w:t xml:space="preserve">Le risque pour le patient se concentre dans la Partie 4 V5 : les doses d'hydrocortisone de la crise surrénalienne, du kit d'auto-injection et de la couverture périopératoire ont disparu, de même que les seuils d'arrêt de l'ARM, de la metformine et de la finérénone et les seuils de dialyse urgente dans la Partie 3. L'attribution de Maltofer® au sulfate ferreux, le seuil de ferritine attribué à tort à l'OMS et le tableau PHQ-9 erroné peuvent aussi tromper l'étudiant à l'examen.</w:t>
      </w:r>
    </w:p>
    <w:p>
      <w:pPr>
        <w:spacing w:after="100"/>
        <w:jc w:val="both"/>
      </w:pPr>
      <w:r>
        <w:rPr>
          <w:sz w:val="19"/>
          <w:szCs w:val="19"/>
        </w:rPr>
        <w:t xml:space="preserve">La langue V5 souffre de listes télégraphiques systématiques dans les rubriques pharmacologiques, de phrases trop longues, d'anglicismes (« Gold Standard », « compliance », « crash ») et d'ordinaux non conformes (« 1ère »). Le V6 ne présente que des fautes ponctuelles (accords, préposition non répétée), mais ses points 13 et ses paragraphes « Gold standard » répètent mot pour mot d'autres rubriques.</w:t>
      </w:r>
    </w:p>
    <w:p>
      <w:pPr>
        <w:spacing w:after="100"/>
        <w:jc w:val="both"/>
      </w:pPr>
      <w:r>
        <w:rPr>
          <w:sz w:val="19"/>
          <w:szCs w:val="19"/>
        </w:rPr>
        <w:t xml:space="preserve">Les priorités de correction sont, dans l'ordre : rétablir immédiatement les doses et seuils vitaux perdus (constats Critiques et Graves de la Partie 4 et de la Partie 3) ; régénérer le lot en cinq fichiers HTML conformes au gabarit § 9, en fusionnant la richesse chiffrée du V5 et la rigueur rédactionnelle du V6 ; ajouter le Bloc 2 de l'Appel A, les fenêtres sourcées et les tableaux d'interprétation ; remplacer les références américaines par des sources suisses ou européennes ; enfin, déplacer les Google Docs dans CORBEILLE_DOUBLONS_OBSOLETES.</w:t>
      </w:r>
    </w:p>
    <w:p>
      <w:pPr/>
      <w:r>
        <w:rPr>
          <w:i/>
          <w:color w:val="5D6D7E"/>
          <w:sz w:val="16"/>
          <w:szCs w:val="16"/>
        </w:rPr>
        <w:t xml:space="preserve">Audit produit par IA à partir des sources citées ; il ne remplace pas une validation clinique par un médecin.</w:t>
      </w:r>
    </w:p>
    <w:sectPr>
      <w:pgSz w:w="16838" w:h="11906" w:orient="landscape"/>
      <w:pgMar w:top="850" w:right="850" w:bottom="850" w:left="850" w:header="400" w:footer="400" w:gutter="0"/>
    </w:sectPr>
  </w:body>
</w:document>
</file>

<file path=word/styles.xml><?xml version="1.0" encoding="utf-8"?>
<w:styles xmlns:w="http://schemas.openxmlformats.org/wordprocessingml/2006/main">
  <w:docDefaults>
    <w:rPrDefault>
      <w:rPr>
        <w:rFonts w:ascii="Calibri" w:hAnsi="Calibri" w:eastAsia="Calibri" w:cs="Calibri"/>
        <w:sz w:val="20"/>
        <w:lang w:val="fr-CH"/>
      </w:rPr>
    </w:rPrDefault>
    <w:pPrDefault>
      <w:pPr>
        <w:spacing w:after="80" w:line="264" w:lineRule="auto"/>
      </w:pPr>
    </w:pPrDefault>
  </w:docDefaults>
  <w:style w:type="paragraph" w:default="1" w:styleId="Normal">
    <w:name w:val="Normal"/>
  </w:style>
  <w:style w:type="paragraph" w:styleId="Titre1">
    <w:name w:val="heading 1"/>
    <w:basedOn w:val="Normal"/>
    <w:pPr>
      <w:keepNext/>
      <w:spacing w:before="240" w:after="100"/>
      <w:pBdr>
        <w:bottom w:val="single" w:sz="8" w:space="2" w:color="2980B9"/>
      </w:pBdr>
      <w:outlineLv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