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w14="http://schemas.microsoft.com/office/word/2010/wordml" xmlns:mc="http://schemas.openxmlformats.org/markup-compatibility/2006" mc:Ignorable="w14">
  <w:body>
    <w:p>
      <w:pPr>
        <w:spacing w:after="60"/>
      </w:pPr>
      <w:r>
        <w:rPr>
          <w:b/>
          <w:color w:val="1A5276"/>
          <w:sz w:val="40"/>
          <w:szCs w:val="40"/>
        </w:rPr>
        <w:t xml:space="preserve">LOT 5 — Sensation de maladie et malaise (SSP G5)</w:t>
      </w:r>
    </w:p>
    <w:p>
      <w:pPr>
        <w:spacing w:after="60"/>
      </w:pPr>
      <w:r>
        <w:rPr>
          <w:i/>
          <w:color w:val="5D6D7E"/>
          <w:sz w:val="24"/>
          <w:szCs w:val="24"/>
        </w:rPr>
        <w:t xml:space="preserve">Liste des problèmes à corriger — audit médical, linguistique et conformité au prompt de base</w:t>
      </w:r>
    </w:p>
    <w:p>
      <w:pPr>
        <w:spacing w:after="200"/>
      </w:pPr>
      <w:r>
        <w:rPr>
          <w:color w:val="5D6D7E"/>
          <w:sz w:val="18"/>
          <w:szCs w:val="18"/>
        </w:rPr>
        <w:t xml:space="preserve">Audit du 2026-10-22 · Claude — audits médical et linguistique indépendants</w:t>
      </w:r>
    </w:p>
    <w:p>
      <w:pPr>
        <w:pStyle w:val="Titre1"/>
        <w:keepNext/>
      </w:pPr>
      <w:r>
        <w:rPr>
          <w:b/>
          <w:color w:val="1A5276"/>
          <w:sz w:val="26"/>
          <w:szCs w:val="26"/>
        </w:rPr>
        <w:t xml:space="preserve">Mode d'emploi</w:t>
      </w:r>
    </w:p>
    <w:p>
      <w:pPr>
        <w:spacing w:after="40"/>
      </w:pPr>
      <w:r>
        <w:rPr>
          <w:sz w:val="19"/>
          <w:szCs w:val="19"/>
        </w:rPr>
        <w:t xml:space="preserve">• Chaque ligne décrit un problème et son emplacement exact. Le correcteur n'a pas besoin de relire le lot entier.</w:t>
      </w:r>
    </w:p>
    <w:p>
      <w:pPr>
        <w:spacing w:after="40"/>
      </w:pPr>
      <w:r>
        <w:rPr>
          <w:sz w:val="19"/>
          <w:szCs w:val="19"/>
        </w:rPr>
        <w:t xml:space="preserve">• L'emplacement suit le chemin Fichier › Bloc › point › fenêtre. L'extrait cite le texte fautif mot pour mot : une recherche Ctrl+F le retrouve.</w:t>
      </w:r>
    </w:p>
    <w:p>
      <w:pPr>
        <w:spacing w:after="40"/>
      </w:pPr>
      <w:r>
        <w:rPr>
          <w:sz w:val="19"/>
          <w:szCs w:val="19"/>
        </w:rPr>
        <w:t xml:space="preserve">• Le correcteur applique la correction, puis il clique sur la case : elle se coche en rouge (☒).</w:t>
      </w:r>
    </w:p>
    <w:p>
      <w:pPr>
        <w:spacing w:after="40"/>
      </w:pPr>
      <w:r>
        <w:rPr>
          <w:sz w:val="19"/>
          <w:szCs w:val="19"/>
        </w:rPr>
        <w:t xml:space="preserve">• L'auditeur suivant contrôle chaque case cochée avant de valider le lot.</w:t>
      </w:r>
    </w:p>
    <w:p>
      <w:pPr>
        <w:pStyle w:val="Titre1"/>
        <w:keepNext/>
      </w:pPr>
      <w:r>
        <w:rPr>
          <w:b/>
          <w:color w:val="1A5276"/>
          <w:sz w:val="26"/>
          <w:szCs w:val="26"/>
        </w:rPr>
        <w:t xml:space="preserve">Synthèse</w:t>
      </w:r>
    </w:p>
    <w:tbl>
      <w:tblPr>
        <w:tblW w:w="144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1800"/>
        <w:gridCol w:w="1100"/>
        <w:gridCol w:w="11500"/>
      </w:tblGrid>
      <w:tr>
        <w:trPr>
          <w:tblHeader/>
          <w:cantSplit/>
        </w:trPr>
        <w:tc>
          <w:tcPr>
            <w:tcW w:w="1800" w:type="dxa"/>
            <w:shd w:val="clear" w:color="auto" w:fill="1A5276"/>
            <w:vAlign w:val="top"/>
          </w:tcPr>
          <w:p>
            <w:pPr>
              <w:spacing w:after="0"/>
            </w:pPr>
            <w:r>
              <w:rPr>
                <w:b/>
                <w:color w:val="FFFFFF"/>
                <w:sz w:val="17"/>
                <w:szCs w:val="17"/>
              </w:rPr>
              <w:t xml:space="preserve">Gravité</w:t>
            </w:r>
          </w:p>
        </w:tc>
        <w:tc>
          <w:tcPr>
            <w:tcW w:w="1100" w:type="dxa"/>
            <w:shd w:val="clear" w:color="auto" w:fill="1A5276"/>
            <w:vAlign w:val="top"/>
          </w:tcPr>
          <w:p>
            <w:pPr>
              <w:spacing w:after="0"/>
            </w:pPr>
            <w:r>
              <w:rPr>
                <w:b/>
                <w:color w:val="FFFFFF"/>
                <w:sz w:val="17"/>
                <w:szCs w:val="17"/>
              </w:rPr>
              <w:t xml:space="preserve">Nombre</w:t>
            </w:r>
          </w:p>
        </w:tc>
        <w:tc>
          <w:tcPr>
            <w:tcW w:w="11500" w:type="dxa"/>
            <w:shd w:val="clear" w:color="auto" w:fill="1A5276"/>
            <w:vAlign w:val="top"/>
          </w:tcPr>
          <w:p>
            <w:pPr>
              <w:spacing w:after="0"/>
            </w:pPr>
            <w:r>
              <w:rPr>
                <w:b/>
                <w:color w:val="FFFFFF"/>
                <w:sz w:val="17"/>
                <w:szCs w:val="17"/>
              </w:rPr>
              <w:t xml:space="preserve">Définition</w:t>
            </w:r>
          </w:p>
        </w:tc>
      </w:tr>
      <w:tr>
        <w:trPr>
          <w:cantSplit/>
        </w:trPr>
        <w:tc>
          <w:tcPr>
            <w:tcW w:w="1800" w:type="dxa"/>
            <w:shd w:val="clear" w:color="auto" w:fill="FADBD8"/>
            <w:vAlign w:val="top"/>
          </w:tcPr>
          <w:p>
            <w:pPr>
              <w:spacing w:after="0"/>
            </w:pPr>
            <w:r>
              <w:rPr>
                <w:sz w:val="17"/>
                <w:szCs w:val="17"/>
              </w:rPr>
              <w:t xml:space="preserve">Critique</w:t>
            </w:r>
          </w:p>
        </w:tc>
        <w:tc>
          <w:tcPr>
            <w:tcW w:w="1100" w:type="dxa"/>
            <w:shd w:val="clear" w:color="auto" w:fill="FADBD8"/>
            <w:vAlign w:val="top"/>
          </w:tcPr>
          <w:p>
            <w:pPr>
              <w:spacing w:after="0"/>
            </w:pPr>
            <w:r>
              <w:rPr>
                <w:sz w:val="17"/>
                <w:szCs w:val="17"/>
              </w:rPr>
              <w:t xml:space="preserve">1</w:t>
            </w:r>
          </w:p>
        </w:tc>
        <w:tc>
          <w:tcPr>
            <w:tcW w:w="11500" w:type="dxa"/>
            <w:shd w:val="clear" w:color="auto" w:fill="FADBD8"/>
            <w:vAlign w:val="top"/>
          </w:tcPr>
          <w:p>
            <w:pPr>
              <w:spacing w:after="0"/>
            </w:pPr>
            <w:r>
              <w:rPr>
                <w:sz w:val="17"/>
                <w:szCs w:val="17"/>
              </w:rPr>
              <w:t xml:space="preserve">L'erreur peut nuire à un patient (dose, contre-indication, conduite dangereuse). Correction immédiate.</w:t>
            </w:r>
          </w:p>
        </w:tc>
      </w:tr>
      <w:tr>
        <w:trPr>
          <w:cantSplit/>
        </w:trPr>
        <w:tc>
          <w:tcPr>
            <w:tcW w:w="1800" w:type="dxa"/>
            <w:shd w:val="clear" w:color="auto" w:fill="FDEBD0"/>
            <w:vAlign w:val="top"/>
          </w:tcPr>
          <w:p>
            <w:pPr>
              <w:spacing w:after="0"/>
            </w:pPr>
            <w:r>
              <w:rPr>
                <w:sz w:val="17"/>
                <w:szCs w:val="17"/>
              </w:rPr>
              <w:t xml:space="preserve">Grave</w:t>
            </w:r>
          </w:p>
        </w:tc>
        <w:tc>
          <w:tcPr>
            <w:tcW w:w="1100" w:type="dxa"/>
            <w:shd w:val="clear" w:color="auto" w:fill="FDEBD0"/>
            <w:vAlign w:val="top"/>
          </w:tcPr>
          <w:p>
            <w:pPr>
              <w:spacing w:after="0"/>
            </w:pPr>
            <w:r>
              <w:rPr>
                <w:sz w:val="17"/>
                <w:szCs w:val="17"/>
              </w:rPr>
              <w:t xml:space="preserve">82</w:t>
            </w:r>
          </w:p>
        </w:tc>
        <w:tc>
          <w:tcPr>
            <w:tcW w:w="11500" w:type="dxa"/>
            <w:shd w:val="clear" w:color="auto" w:fill="FDEBD0"/>
            <w:vAlign w:val="top"/>
          </w:tcPr>
          <w:p>
            <w:pPr>
              <w:spacing w:after="0"/>
            </w:pPr>
            <w:r>
              <w:rPr>
                <w:sz w:val="17"/>
                <w:szCs w:val="17"/>
              </w:rPr>
              <w:t xml:space="preserve">Le contenu est faux, non sourcé ou viole une règle absolue du prompt de base.</w:t>
            </w:r>
          </w:p>
        </w:tc>
      </w:tr>
      <w:tr>
        <w:trPr>
          <w:cantSplit/>
        </w:trPr>
        <w:tc>
          <w:tcPr>
            <w:tcW w:w="1800" w:type="dxa"/>
            <w:shd w:val="clear" w:color="auto" w:fill="FEF9E7"/>
            <w:vAlign w:val="top"/>
          </w:tcPr>
          <w:p>
            <w:pPr>
              <w:spacing w:after="0"/>
            </w:pPr>
            <w:r>
              <w:rPr>
                <w:sz w:val="17"/>
                <w:szCs w:val="17"/>
              </w:rPr>
              <w:t xml:space="preserve">Moyen</w:t>
            </w:r>
          </w:p>
        </w:tc>
        <w:tc>
          <w:tcPr>
            <w:tcW w:w="1100" w:type="dxa"/>
            <w:shd w:val="clear" w:color="auto" w:fill="FEF9E7"/>
            <w:vAlign w:val="top"/>
          </w:tcPr>
          <w:p>
            <w:pPr>
              <w:spacing w:after="0"/>
            </w:pPr>
            <w:r>
              <w:rPr>
                <w:sz w:val="17"/>
                <w:szCs w:val="17"/>
              </w:rPr>
              <w:t xml:space="preserve">56</w:t>
            </w:r>
          </w:p>
        </w:tc>
        <w:tc>
          <w:tcPr>
            <w:tcW w:w="11500" w:type="dxa"/>
            <w:shd w:val="clear" w:color="auto" w:fill="FEF9E7"/>
            <w:vAlign w:val="top"/>
          </w:tcPr>
          <w:p>
            <w:pPr>
              <w:spacing w:after="0"/>
            </w:pPr>
            <w:r>
              <w:rPr>
                <w:sz w:val="17"/>
                <w:szCs w:val="17"/>
              </w:rPr>
              <w:t xml:space="preserve">Le contenu est incomplet, imprécis ou mal structuré ; la pédagogie en souffre.</w:t>
            </w:r>
          </w:p>
        </w:tc>
      </w:tr>
      <w:tr>
        <w:trPr>
          <w:cantSplit/>
        </w:trPr>
        <w:tc>
          <w:tcPr>
            <w:tcW w:w="1800" w:type="dxa"/>
            <w:shd w:val="clear" w:color="auto" w:fill="EBF5FB"/>
            <w:vAlign w:val="top"/>
          </w:tcPr>
          <w:p>
            <w:pPr>
              <w:spacing w:after="0"/>
            </w:pPr>
            <w:r>
              <w:rPr>
                <w:sz w:val="17"/>
                <w:szCs w:val="17"/>
              </w:rPr>
              <w:t xml:space="preserve">Léger</w:t>
            </w:r>
          </w:p>
        </w:tc>
        <w:tc>
          <w:tcPr>
            <w:tcW w:w="1100" w:type="dxa"/>
            <w:shd w:val="clear" w:color="auto" w:fill="EBF5FB"/>
            <w:vAlign w:val="top"/>
          </w:tcPr>
          <w:p>
            <w:pPr>
              <w:spacing w:after="0"/>
            </w:pPr>
            <w:r>
              <w:rPr>
                <w:sz w:val="17"/>
                <w:szCs w:val="17"/>
              </w:rPr>
              <w:t xml:space="preserve">32</w:t>
            </w:r>
          </w:p>
        </w:tc>
        <w:tc>
          <w:tcPr>
            <w:tcW w:w="11500" w:type="dxa"/>
            <w:shd w:val="clear" w:color="auto" w:fill="EBF5FB"/>
            <w:vAlign w:val="top"/>
          </w:tcPr>
          <w:p>
            <w:pPr>
              <w:spacing w:after="0"/>
            </w:pPr>
            <w:r>
              <w:rPr>
                <w:sz w:val="17"/>
                <w:szCs w:val="17"/>
              </w:rPr>
              <w:t xml:space="preserve">Faute de langue, de typographie ou de mise en forme sans conséquence sur le fond.</w:t>
            </w:r>
          </w:p>
        </w:tc>
      </w:tr>
      <w:tr>
        <w:trPr>
          <w:cantSplit/>
        </w:trPr>
        <w:tc>
          <w:tcPr>
            <w:tcW w:w="1800" w:type="dxa"/>
            <w:shd w:val="clear" w:color="auto" w:fill="EAECEE"/>
            <w:vAlign w:val="top"/>
          </w:tcPr>
          <w:p>
            <w:pPr>
              <w:spacing w:after="0"/>
            </w:pPr>
            <w:r>
              <w:rPr>
                <w:sz w:val="17"/>
                <w:szCs w:val="17"/>
              </w:rPr>
              <w:t xml:space="preserve">Total</w:t>
            </w:r>
          </w:p>
        </w:tc>
        <w:tc>
          <w:tcPr>
            <w:tcW w:w="1100" w:type="dxa"/>
            <w:shd w:val="clear" w:color="auto" w:fill="EAECEE"/>
            <w:vAlign w:val="top"/>
          </w:tcPr>
          <w:p>
            <w:pPr>
              <w:spacing w:after="0"/>
            </w:pPr>
            <w:r>
              <w:rPr>
                <w:sz w:val="17"/>
                <w:szCs w:val="17"/>
              </w:rPr>
              <w:t xml:space="preserve">171</w:t>
            </w:r>
          </w:p>
        </w:tc>
        <w:tc>
          <w:tcPr>
            <w:tcW w:w="11500" w:type="dxa"/>
            <w:shd w:val="clear" w:color="auto" w:fill="EAECEE"/>
            <w:vAlign w:val="top"/>
          </w:tcPr>
          <w:p>
            <w:pPr>
              <w:spacing w:after="0"/>
            </w:pPr>
            <w:r>
              <w:rPr>
                <w:sz w:val="17"/>
                <w:szCs w:val="17"/>
              </w:rPr>
              <w:t xml:space="preserve"/>
            </w:r>
          </w:p>
        </w:tc>
      </w:tr>
    </w:tbl>
    <w:p>
      <w:pPr>
        <w:spacing w:after="120"/>
      </w:pPr>
    </w:p>
    <w:p>
      <w:pPr>
        <w:spacing w:after="40"/>
      </w:pPr>
      <w:r>
        <w:rPr>
          <w:sz w:val="17"/>
          <w:szCs w:val="17"/>
        </w:rPr>
        <w:t xml:space="preserve">Le LOT_5 contient un contenu clinique riche mais non conforme au format et grevé d'erreurs de calcul, de cotation et de posologie, dont plusieurs exposent le patient.</w:t>
      </w:r>
    </w:p>
    <w:p>
      <w:pPr>
        <w:spacing w:after="40"/>
      </w:pPr>
      <w:r>
        <w:rPr>
          <w:sz w:val="17"/>
          <w:szCs w:val="17"/>
        </w:rPr>
        <w:t xml:space="preserve">Aucune version n'est publiable en l'état : les V5 doivent être corrigées puis converties en HTML natif, et la V6 doit être réenrichie, débarrassée du texte importé et sourcée.</w:t>
      </w:r>
    </w:p>
    <w:p>
      <w:pPr>
        <w:spacing w:after="40"/>
      </w:pPr>
      <w:r>
        <w:rPr>
          <w:sz w:val="17"/>
          <w:szCs w:val="17"/>
        </w:rPr>
        <w:t xml:space="preserve">Le LOT_5 n'est pas conforme au prompt V6 : les cinq parties actives sont des Google Docs sans fenêtres ni sources, et la version HTML V6 est conforme dans la forme mais vide sur le fond.</w:t>
      </w:r>
    </w:p>
    <w:p>
      <w:pPr>
        <w:spacing w:after="40"/>
      </w:pPr>
      <w:r>
        <w:rPr>
          <w:sz w:val="17"/>
          <w:szCs w:val="17"/>
        </w:rPr>
        <w:t xml:space="preserve">Les 117 constats comprennent 56 graves, 31 moyens et 30 légers ; aucun n'est classé critique, mais les erreurs de dose (oseltamivir) et de scores (SOFA, 4AT, CAM, Katz) doivent être corrigées en premier.</w:t>
      </w:r>
    </w:p>
    <w:p>
      <w:pPr>
        <w:pStyle w:val="Titre1"/>
        <w:keepNext/>
      </w:pPr>
      <w:r>
        <w:rPr>
          <w:b/>
          <w:color w:val="1A5276"/>
          <w:sz w:val="26"/>
          <w:szCs w:val="26"/>
        </w:rPr>
        <w:t xml:space="preserve">Fichiers audités</w:t>
      </w:r>
    </w:p>
    <w:tbl>
      <w:tblPr>
        <w:tblW w:w="144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6400"/>
        <w:gridCol w:w="4600"/>
        <w:gridCol w:w="1500"/>
        <w:gridCol w:w="1900"/>
      </w:tblGrid>
      <w:tr>
        <w:trPr>
          <w:tblHeader/>
          <w:cantSplit/>
        </w:trPr>
        <w:tc>
          <w:tcPr>
            <w:tcW w:w="6400" w:type="dxa"/>
            <w:shd w:val="clear" w:color="auto" w:fill="1A5276"/>
            <w:vAlign w:val="top"/>
          </w:tcPr>
          <w:p>
            <w:pPr>
              <w:spacing w:after="0"/>
            </w:pPr>
            <w:r>
              <w:rPr>
                <w:b/>
                <w:color w:val="FFFFFF"/>
                <w:sz w:val="17"/>
                <w:szCs w:val="17"/>
              </w:rPr>
              <w:t xml:space="preserve">Fichier</w:t>
            </w:r>
          </w:p>
        </w:tc>
        <w:tc>
          <w:tcPr>
            <w:tcW w:w="4600" w:type="dxa"/>
            <w:shd w:val="clear" w:color="auto" w:fill="1A5276"/>
            <w:vAlign w:val="top"/>
          </w:tcPr>
          <w:p>
            <w:pPr>
              <w:spacing w:after="0"/>
            </w:pPr>
            <w:r>
              <w:rPr>
                <w:b/>
                <w:color w:val="FFFFFF"/>
                <w:sz w:val="17"/>
                <w:szCs w:val="17"/>
              </w:rPr>
              <w:t xml:space="preserve">Identifiant Drive</w:t>
            </w:r>
          </w:p>
        </w:tc>
        <w:tc>
          <w:tcPr>
            <w:tcW w:w="1500" w:type="dxa"/>
            <w:shd w:val="clear" w:color="auto" w:fill="1A5276"/>
            <w:vAlign w:val="top"/>
          </w:tcPr>
          <w:p>
            <w:pPr>
              <w:spacing w:after="0"/>
            </w:pPr>
            <w:r>
              <w:rPr>
                <w:b/>
                <w:color w:val="FFFFFF"/>
                <w:sz w:val="17"/>
                <w:szCs w:val="17"/>
              </w:rPr>
              <w:t xml:space="preserve">Taille (octets)</w:t>
            </w:r>
          </w:p>
        </w:tc>
        <w:tc>
          <w:tcPr>
            <w:tcW w:w="1900" w:type="dxa"/>
            <w:shd w:val="clear" w:color="auto" w:fill="1A5276"/>
            <w:vAlign w:val="top"/>
          </w:tcPr>
          <w:p>
            <w:pPr>
              <w:spacing w:after="0"/>
            </w:pPr>
            <w:r>
              <w:rPr>
                <w:b/>
                <w:color w:val="FFFFFF"/>
                <w:sz w:val="17"/>
                <w:szCs w:val="17"/>
              </w:rPr>
              <w:t xml:space="preserve">Statut</w:t>
            </w:r>
          </w:p>
        </w:tc>
      </w:tr>
      <w:tr>
        <w:trPr>
          <w:cantSplit/>
        </w:trPr>
        <w:tc>
          <w:tcPr>
            <w:tcW w:w="6400" w:type="dxa"/>
            <w:vAlign w:val="top"/>
          </w:tcPr>
          <w:p>
            <w:pPr>
              <w:spacing w:after="0"/>
            </w:pPr>
            <w:r>
              <w:rPr>
                <w:sz w:val="17"/>
                <w:szCs w:val="17"/>
              </w:rPr>
              <w:t xml:space="preserve">LOT_5_Appel_A_V5_Ultra_Pedagogique_Plan_et_Liste__export_GoogleDoc.html</w:t>
            </w:r>
          </w:p>
        </w:tc>
        <w:tc>
          <w:tcPr>
            <w:tcW w:w="4600" w:type="dxa"/>
            <w:vAlign w:val="top"/>
          </w:tcPr>
          <w:p>
            <w:pPr>
              <w:spacing w:after="0"/>
            </w:pPr>
            <w:r>
              <w:rPr>
                <w:sz w:val="17"/>
                <w:szCs w:val="17"/>
              </w:rPr>
              <w:t xml:space="preserve">1y7T8smy8YIdjg1lQrxyZPyRksgbJZ7XtSZfCWDEPfM8</w:t>
            </w:r>
          </w:p>
        </w:tc>
        <w:tc>
          <w:tcPr>
            <w:tcW w:w="1500" w:type="dxa"/>
            <w:vAlign w:val="top"/>
          </w:tcPr>
          <w:p>
            <w:pPr>
              <w:spacing w:after="0"/>
            </w:pPr>
            <w:r>
              <w:rPr>
                <w:sz w:val="17"/>
                <w:szCs w:val="17"/>
              </w:rPr>
              <w:t xml:space="preserve">94897</w:t>
            </w:r>
          </w:p>
        </w:tc>
        <w:tc>
          <w:tcPr>
            <w:tcW w:w="1900" w:type="dxa"/>
            <w:vAlign w:val="top"/>
          </w:tcPr>
          <w:p>
            <w:pPr>
              <w:spacing w:after="0"/>
            </w:pPr>
            <w:r>
              <w:rPr>
                <w:sz w:val="17"/>
                <w:szCs w:val="17"/>
              </w:rPr>
              <w:t xml:space="preserve">export Google Doc</w:t>
            </w:r>
          </w:p>
        </w:tc>
      </w:tr>
      <w:tr>
        <w:trPr>
          <w:cantSplit/>
        </w:trPr>
        <w:tc>
          <w:tcPr>
            <w:tcW w:w="6400" w:type="dxa"/>
            <w:vAlign w:val="top"/>
          </w:tcPr>
          <w:p>
            <w:pPr>
              <w:spacing w:after="0"/>
            </w:pPr>
            <w:r>
              <w:rPr>
                <w:sz w:val="17"/>
                <w:szCs w:val="17"/>
              </w:rPr>
              <w:t xml:space="preserve">LOT_5_Appel_B_V5_Ultra_Pedagogique_Partie_1_DX.1_a_DX.2__export_GoogleDoc.html</w:t>
            </w:r>
          </w:p>
        </w:tc>
        <w:tc>
          <w:tcPr>
            <w:tcW w:w="4600" w:type="dxa"/>
            <w:vAlign w:val="top"/>
          </w:tcPr>
          <w:p>
            <w:pPr>
              <w:spacing w:after="0"/>
            </w:pPr>
            <w:r>
              <w:rPr>
                <w:sz w:val="17"/>
                <w:szCs w:val="17"/>
              </w:rPr>
              <w:t xml:space="preserve">1GzepyT6MP0SD23QU94g47h7EXxhQAVurP1N_JacsxgI</w:t>
            </w:r>
          </w:p>
        </w:tc>
        <w:tc>
          <w:tcPr>
            <w:tcW w:w="1500" w:type="dxa"/>
            <w:vAlign w:val="top"/>
          </w:tcPr>
          <w:p>
            <w:pPr>
              <w:spacing w:after="0"/>
            </w:pPr>
            <w:r>
              <w:rPr>
                <w:sz w:val="17"/>
                <w:szCs w:val="17"/>
              </w:rPr>
              <w:t xml:space="preserve">138815</w:t>
            </w:r>
          </w:p>
        </w:tc>
        <w:tc>
          <w:tcPr>
            <w:tcW w:w="1900" w:type="dxa"/>
            <w:vAlign w:val="top"/>
          </w:tcPr>
          <w:p>
            <w:pPr>
              <w:spacing w:after="0"/>
            </w:pPr>
            <w:r>
              <w:rPr>
                <w:sz w:val="17"/>
                <w:szCs w:val="17"/>
              </w:rPr>
              <w:t xml:space="preserve">export Google Doc</w:t>
            </w:r>
          </w:p>
        </w:tc>
      </w:tr>
      <w:tr>
        <w:trPr>
          <w:cantSplit/>
        </w:trPr>
        <w:tc>
          <w:tcPr>
            <w:tcW w:w="6400" w:type="dxa"/>
            <w:vAlign w:val="top"/>
          </w:tcPr>
          <w:p>
            <w:pPr>
              <w:spacing w:after="0"/>
            </w:pPr>
            <w:r>
              <w:rPr>
                <w:sz w:val="17"/>
                <w:szCs w:val="17"/>
              </w:rPr>
              <w:t xml:space="preserve">LOT_5_Appel_B_V5_Ultra_Pedagogique_Partie_2_DX.3_a_DX.5__export_GoogleDoc.html</w:t>
            </w:r>
          </w:p>
        </w:tc>
        <w:tc>
          <w:tcPr>
            <w:tcW w:w="4600" w:type="dxa"/>
            <w:vAlign w:val="top"/>
          </w:tcPr>
          <w:p>
            <w:pPr>
              <w:spacing w:after="0"/>
            </w:pPr>
            <w:r>
              <w:rPr>
                <w:sz w:val="17"/>
                <w:szCs w:val="17"/>
              </w:rPr>
              <w:t xml:space="preserve">1V1gTXYw84wvhn4slxuFJUxCYSgoN7K3EpT6MUm84iwY</w:t>
            </w:r>
          </w:p>
        </w:tc>
        <w:tc>
          <w:tcPr>
            <w:tcW w:w="1500" w:type="dxa"/>
            <w:vAlign w:val="top"/>
          </w:tcPr>
          <w:p>
            <w:pPr>
              <w:spacing w:after="0"/>
            </w:pPr>
            <w:r>
              <w:rPr>
                <w:sz w:val="17"/>
                <w:szCs w:val="17"/>
              </w:rPr>
              <w:t xml:space="preserve">192929</w:t>
            </w:r>
          </w:p>
        </w:tc>
        <w:tc>
          <w:tcPr>
            <w:tcW w:w="1900" w:type="dxa"/>
            <w:vAlign w:val="top"/>
          </w:tcPr>
          <w:p>
            <w:pPr>
              <w:spacing w:after="0"/>
            </w:pPr>
            <w:r>
              <w:rPr>
                <w:sz w:val="17"/>
                <w:szCs w:val="17"/>
              </w:rPr>
              <w:t xml:space="preserve">export Google Doc</w:t>
            </w:r>
          </w:p>
        </w:tc>
      </w:tr>
      <w:tr>
        <w:trPr>
          <w:cantSplit/>
        </w:trPr>
        <w:tc>
          <w:tcPr>
            <w:tcW w:w="6400" w:type="dxa"/>
            <w:vAlign w:val="top"/>
          </w:tcPr>
          <w:p>
            <w:pPr>
              <w:spacing w:after="0"/>
            </w:pPr>
            <w:r>
              <w:rPr>
                <w:sz w:val="17"/>
                <w:szCs w:val="17"/>
              </w:rPr>
              <w:t xml:space="preserve">LOT_5_Appel_B_V5_Ultra_Pedagogique_Partie_3_DX.6_a_DX.7__export_GoogleDoc.html</w:t>
            </w:r>
          </w:p>
        </w:tc>
        <w:tc>
          <w:tcPr>
            <w:tcW w:w="4600" w:type="dxa"/>
            <w:vAlign w:val="top"/>
          </w:tcPr>
          <w:p>
            <w:pPr>
              <w:spacing w:after="0"/>
            </w:pPr>
            <w:r>
              <w:rPr>
                <w:sz w:val="17"/>
                <w:szCs w:val="17"/>
              </w:rPr>
              <w:t xml:space="preserve">1baEYTkFK1cifKbxCNAaQjKVEPKon2B_GbPD3v7kxaBg</w:t>
            </w:r>
          </w:p>
        </w:tc>
        <w:tc>
          <w:tcPr>
            <w:tcW w:w="1500" w:type="dxa"/>
            <w:vAlign w:val="top"/>
          </w:tcPr>
          <w:p>
            <w:pPr>
              <w:spacing w:after="0"/>
            </w:pPr>
            <w:r>
              <w:rPr>
                <w:sz w:val="17"/>
                <w:szCs w:val="17"/>
              </w:rPr>
              <w:t xml:space="preserve">129613</w:t>
            </w:r>
          </w:p>
        </w:tc>
        <w:tc>
          <w:tcPr>
            <w:tcW w:w="1900" w:type="dxa"/>
            <w:vAlign w:val="top"/>
          </w:tcPr>
          <w:p>
            <w:pPr>
              <w:spacing w:after="0"/>
            </w:pPr>
            <w:r>
              <w:rPr>
                <w:sz w:val="17"/>
                <w:szCs w:val="17"/>
              </w:rPr>
              <w:t xml:space="preserve">export Google Doc</w:t>
            </w:r>
          </w:p>
        </w:tc>
      </w:tr>
      <w:tr>
        <w:trPr>
          <w:cantSplit/>
        </w:trPr>
        <w:tc>
          <w:tcPr>
            <w:tcW w:w="6400" w:type="dxa"/>
            <w:vAlign w:val="top"/>
          </w:tcPr>
          <w:p>
            <w:pPr>
              <w:spacing w:after="0"/>
            </w:pPr>
            <w:r>
              <w:rPr>
                <w:sz w:val="17"/>
                <w:szCs w:val="17"/>
              </w:rPr>
              <w:t xml:space="preserve">LOT_5_Appel_B_V5_Ultra_Pedagogique_Partie_4_DX.8_a_DX.10__export_GoogleDoc__v1.html</w:t>
            </w:r>
          </w:p>
        </w:tc>
        <w:tc>
          <w:tcPr>
            <w:tcW w:w="4600" w:type="dxa"/>
            <w:vAlign w:val="top"/>
          </w:tcPr>
          <w:p>
            <w:pPr>
              <w:spacing w:after="0"/>
            </w:pPr>
            <w:r>
              <w:rPr>
                <w:sz w:val="17"/>
                <w:szCs w:val="17"/>
              </w:rPr>
              <w:t xml:space="preserve">1_MnQ2_qQhBz93Z_RTfg5hDgdXDnkxMS8nJJ9oxSOLtQ</w:t>
            </w:r>
          </w:p>
        </w:tc>
        <w:tc>
          <w:tcPr>
            <w:tcW w:w="1500" w:type="dxa"/>
            <w:vAlign w:val="top"/>
          </w:tcPr>
          <w:p>
            <w:pPr>
              <w:spacing w:after="0"/>
            </w:pPr>
            <w:r>
              <w:rPr>
                <w:sz w:val="17"/>
                <w:szCs w:val="17"/>
              </w:rPr>
              <w:t xml:space="preserve">151173</w:t>
            </w:r>
          </w:p>
        </w:tc>
        <w:tc>
          <w:tcPr>
            <w:tcW w:w="1900" w:type="dxa"/>
            <w:vAlign w:val="top"/>
          </w:tcPr>
          <w:p>
            <w:pPr>
              <w:spacing w:after="0"/>
            </w:pPr>
            <w:r>
              <w:rPr>
                <w:sz w:val="17"/>
                <w:szCs w:val="17"/>
              </w:rPr>
              <w:t xml:space="preserve">export Google Doc</w:t>
            </w:r>
          </w:p>
        </w:tc>
      </w:tr>
      <w:tr>
        <w:trPr>
          <w:cantSplit/>
        </w:trPr>
        <w:tc>
          <w:tcPr>
            <w:tcW w:w="6400" w:type="dxa"/>
            <w:vAlign w:val="top"/>
          </w:tcPr>
          <w:p>
            <w:pPr>
              <w:spacing w:after="0"/>
            </w:pPr>
            <w:r>
              <w:rPr>
                <w:sz w:val="17"/>
                <w:szCs w:val="17"/>
              </w:rPr>
              <w:t xml:space="preserve">LOT_5_Appel_B_V5_Ultra_Pedagogique_Partie_4_DX.8_a_DX.10__export_GoogleDoc__v2.html</w:t>
            </w:r>
          </w:p>
        </w:tc>
        <w:tc>
          <w:tcPr>
            <w:tcW w:w="4600" w:type="dxa"/>
            <w:vAlign w:val="top"/>
          </w:tcPr>
          <w:p>
            <w:pPr>
              <w:spacing w:after="0"/>
            </w:pPr>
            <w:r>
              <w:rPr>
                <w:sz w:val="17"/>
                <w:szCs w:val="17"/>
              </w:rPr>
              <w:t xml:space="preserve">1x2y8M5oN1yBbHvFqG4IdlWJgx-w04WJXSF2TF4BC9wA</w:t>
            </w:r>
          </w:p>
        </w:tc>
        <w:tc>
          <w:tcPr>
            <w:tcW w:w="1500" w:type="dxa"/>
            <w:vAlign w:val="top"/>
          </w:tcPr>
          <w:p>
            <w:pPr>
              <w:spacing w:after="0"/>
            </w:pPr>
            <w:r>
              <w:rPr>
                <w:sz w:val="17"/>
                <w:szCs w:val="17"/>
              </w:rPr>
              <w:t xml:space="preserve">157008</w:t>
            </w:r>
          </w:p>
        </w:tc>
        <w:tc>
          <w:tcPr>
            <w:tcW w:w="1900" w:type="dxa"/>
            <w:vAlign w:val="top"/>
          </w:tcPr>
          <w:p>
            <w:pPr>
              <w:spacing w:after="0"/>
            </w:pPr>
            <w:r>
              <w:rPr>
                <w:sz w:val="17"/>
                <w:szCs w:val="17"/>
              </w:rPr>
              <w:t xml:space="preserve">export Google Doc</w:t>
            </w:r>
          </w:p>
        </w:tc>
      </w:tr>
      <w:tr>
        <w:trPr>
          <w:cantSplit/>
        </w:trPr>
        <w:tc>
          <w:tcPr>
            <w:tcW w:w="6400" w:type="dxa"/>
            <w:vAlign w:val="top"/>
          </w:tcPr>
          <w:p>
            <w:pPr>
              <w:spacing w:after="0"/>
            </w:pPr>
            <w:r>
              <w:rPr>
                <w:sz w:val="17"/>
                <w:szCs w:val="17"/>
              </w:rPr>
              <w:t xml:space="preserve">LOT_5_V6_Enrichi_8plus_Partie_1_Integral.html</w:t>
            </w:r>
          </w:p>
        </w:tc>
        <w:tc>
          <w:tcPr>
            <w:tcW w:w="4600" w:type="dxa"/>
            <w:vAlign w:val="top"/>
          </w:tcPr>
          <w:p>
            <w:pPr>
              <w:spacing w:after="0"/>
            </w:pPr>
            <w:r>
              <w:rPr>
                <w:sz w:val="17"/>
                <w:szCs w:val="17"/>
              </w:rPr>
              <w:t xml:space="preserve">1X4W3HcE5g-mGf7M6nHknkX9gLT9LVxWH</w:t>
            </w:r>
          </w:p>
        </w:tc>
        <w:tc>
          <w:tcPr>
            <w:tcW w:w="1500" w:type="dxa"/>
            <w:vAlign w:val="top"/>
          </w:tcPr>
          <w:p>
            <w:pPr>
              <w:spacing w:after="0"/>
            </w:pPr>
            <w:r>
              <w:rPr>
                <w:sz w:val="17"/>
                <w:szCs w:val="17"/>
              </w:rPr>
              <w:t xml:space="preserve">85261</w:t>
            </w:r>
          </w:p>
        </w:tc>
        <w:tc>
          <w:tcPr>
            <w:tcW w:w="1900" w:type="dxa"/>
            <w:vAlign w:val="top"/>
          </w:tcPr>
          <w:p>
            <w:pPr>
              <w:spacing w:after="0"/>
            </w:pPr>
            <w:r>
              <w:rPr>
                <w:sz w:val="17"/>
                <w:szCs w:val="17"/>
              </w:rPr>
              <w:t xml:space="preserve">HTML</w:t>
            </w:r>
          </w:p>
        </w:tc>
      </w:tr>
    </w:tbl>
    <w:p>
      <w:pPr>
        <w:spacing w:after="120"/>
      </w:pPr>
    </w:p>
    <w:p>
      <w:pPr>
        <w:pStyle w:val="Titre1"/>
        <w:keepNext/>
      </w:pPr>
      <w:r>
        <w:rPr>
          <w:b/>
          <w:color w:val="8B0000"/>
          <w:sz w:val="26"/>
          <w:szCs w:val="26"/>
        </w:rPr>
        <w:t xml:space="preserve">Critique — 1 problème(s)</w:t>
      </w:r>
    </w:p>
    <w:tbl>
      <w:tblPr>
        <w:tblW w:w="144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600"/>
        <w:gridCol w:w="900"/>
        <w:gridCol w:w="1250"/>
        <w:gridCol w:w="1900"/>
        <w:gridCol w:w="2350"/>
        <w:gridCol w:w="2600"/>
        <w:gridCol w:w="3000"/>
        <w:gridCol w:w="1800"/>
      </w:tblGrid>
      <w:tr>
        <w:trPr>
          <w:tblHeader/>
          <w:cantSplit/>
        </w:trPr>
        <w:tc>
          <w:tcPr>
            <w:tcW w:w="600" w:type="dxa"/>
            <w:shd w:val="clear" w:color="auto" w:fill="8B0000"/>
            <w:vAlign w:val="top"/>
          </w:tcPr>
          <w:p>
            <w:pPr>
              <w:spacing w:after="0"/>
            </w:pPr>
            <w:r>
              <w:rPr>
                <w:b/>
                <w:color w:val="FFFFFF"/>
                <w:sz w:val="17"/>
                <w:szCs w:val="17"/>
              </w:rPr>
              <w:t xml:space="preserve">Fait</w:t>
            </w:r>
          </w:p>
        </w:tc>
        <w:tc>
          <w:tcPr>
            <w:tcW w:w="900" w:type="dxa"/>
            <w:shd w:val="clear" w:color="auto" w:fill="8B0000"/>
            <w:vAlign w:val="top"/>
          </w:tcPr>
          <w:p>
            <w:pPr>
              <w:spacing w:after="0"/>
            </w:pPr>
            <w:r>
              <w:rPr>
                <w:b/>
                <w:color w:val="FFFFFF"/>
                <w:sz w:val="17"/>
                <w:szCs w:val="17"/>
              </w:rPr>
              <w:t xml:space="preserve">N°</w:t>
            </w:r>
          </w:p>
        </w:tc>
        <w:tc>
          <w:tcPr>
            <w:tcW w:w="1250" w:type="dxa"/>
            <w:shd w:val="clear" w:color="auto" w:fill="8B0000"/>
            <w:vAlign w:val="top"/>
          </w:tcPr>
          <w:p>
            <w:pPr>
              <w:spacing w:after="0"/>
            </w:pPr>
            <w:r>
              <w:rPr>
                <w:b/>
                <w:color w:val="FFFFFF"/>
                <w:sz w:val="17"/>
                <w:szCs w:val="17"/>
              </w:rPr>
              <w:t xml:space="preserve">Domaine</w:t>
            </w:r>
          </w:p>
        </w:tc>
        <w:tc>
          <w:tcPr>
            <w:tcW w:w="1900" w:type="dxa"/>
            <w:shd w:val="clear" w:color="auto" w:fill="8B0000"/>
            <w:vAlign w:val="top"/>
          </w:tcPr>
          <w:p>
            <w:pPr>
              <w:spacing w:after="0"/>
            </w:pPr>
            <w:r>
              <w:rPr>
                <w:b/>
                <w:color w:val="FFFFFF"/>
                <w:sz w:val="17"/>
                <w:szCs w:val="17"/>
              </w:rPr>
              <w:t xml:space="preserve">Fichier</w:t>
            </w:r>
          </w:p>
        </w:tc>
        <w:tc>
          <w:tcPr>
            <w:tcW w:w="2350" w:type="dxa"/>
            <w:shd w:val="clear" w:color="auto" w:fill="8B0000"/>
            <w:vAlign w:val="top"/>
          </w:tcPr>
          <w:p>
            <w:pPr>
              <w:spacing w:after="0"/>
            </w:pPr>
            <w:r>
              <w:rPr>
                <w:b/>
                <w:color w:val="FFFFFF"/>
                <w:sz w:val="17"/>
                <w:szCs w:val="17"/>
              </w:rPr>
              <w:t xml:space="preserve">Emplacement</w:t>
            </w:r>
          </w:p>
        </w:tc>
        <w:tc>
          <w:tcPr>
            <w:tcW w:w="2600" w:type="dxa"/>
            <w:shd w:val="clear" w:color="auto" w:fill="8B0000"/>
            <w:vAlign w:val="top"/>
          </w:tcPr>
          <w:p>
            <w:pPr>
              <w:spacing w:after="0"/>
            </w:pPr>
            <w:r>
              <w:rPr>
                <w:b/>
                <w:color w:val="FFFFFF"/>
                <w:sz w:val="17"/>
                <w:szCs w:val="17"/>
              </w:rPr>
              <w:t xml:space="preserve">Extrait exact</w:t>
            </w:r>
          </w:p>
        </w:tc>
        <w:tc>
          <w:tcPr>
            <w:tcW w:w="3000" w:type="dxa"/>
            <w:shd w:val="clear" w:color="auto" w:fill="8B0000"/>
            <w:vAlign w:val="top"/>
          </w:tcPr>
          <w:p>
            <w:pPr>
              <w:spacing w:after="0"/>
            </w:pPr>
            <w:r>
              <w:rPr>
                <w:b/>
                <w:color w:val="FFFFFF"/>
                <w:sz w:val="17"/>
                <w:szCs w:val="17"/>
              </w:rPr>
              <w:t xml:space="preserve">Problème → correction</w:t>
            </w:r>
          </w:p>
        </w:tc>
        <w:tc>
          <w:tcPr>
            <w:tcW w:w="1800" w:type="dxa"/>
            <w:shd w:val="clear" w:color="auto" w:fill="8B0000"/>
            <w:vAlign w:val="top"/>
          </w:tcPr>
          <w:p>
            <w:pPr>
              <w:spacing w:after="0"/>
            </w:pPr>
            <w:r>
              <w:rPr>
                <w:b/>
                <w:color w:val="FFFFFF"/>
                <w:sz w:val="17"/>
                <w:szCs w:val="17"/>
              </w:rPr>
              <w:t xml:space="preserve">Source</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ADBD8"/>
            <w:vAlign w:val="top"/>
          </w:tcPr>
          <w:p>
            <w:pPr>
              <w:spacing w:after="0"/>
            </w:pPr>
            <w:r>
              <w:rPr>
                <w:sz w:val="17"/>
                <w:szCs w:val="17"/>
              </w:rPr>
              <w:t xml:space="preserve">L5-M21</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LOT_5_Appel_B_V5_Ultra_Pedagogique_Partie_2_DX.3_a_DX.5__export_GoogleDoc.html</w:t>
            </w:r>
          </w:p>
        </w:tc>
        <w:tc>
          <w:tcPr>
            <w:tcW w:w="2350" w:type="dxa"/>
            <w:vAlign w:val="top"/>
          </w:tcPr>
          <w:p>
            <w:pPr>
              <w:spacing w:after="0"/>
            </w:pPr>
            <w:r>
              <w:rPr>
                <w:sz w:val="17"/>
                <w:szCs w:val="17"/>
              </w:rPr>
              <w:t xml:space="preserve">D5.4 › point 11.B › Hyperkaliémie menaçante › gluconate de calcium</w:t>
            </w:r>
          </w:p>
        </w:tc>
        <w:tc>
          <w:tcPr>
            <w:tcW w:w="2600" w:type="dxa"/>
            <w:vAlign w:val="top"/>
          </w:tcPr>
          <w:p>
            <w:pPr>
              <w:spacing w:after="0"/>
            </w:pPr>
            <w:r>
              <w:rPr>
                <w:i/>
                <w:sz w:val="17"/>
                <w:szCs w:val="17"/>
              </w:rPr>
              <w:t xml:space="preserve">« Antidote membranaire de protection myocardique : Gluconate de calcium 10 % »</w:t>
            </w:r>
          </w:p>
        </w:tc>
        <w:tc>
          <w:tcPr>
            <w:tcW w:w="3000" w:type="dxa"/>
            <w:vAlign w:val="top"/>
          </w:tcPr>
          <w:p>
            <w:pPr>
              <w:spacing w:after="40"/>
            </w:pPr>
            <w:r>
              <w:rPr>
                <w:sz w:val="17"/>
                <w:szCs w:val="17"/>
              </w:rPr>
              <w:t xml:space="preserve">La dose affichée de 10 mL de gluconate de calcium 10 % (environ 2,2 mmol) est trois fois inférieure à la dose recommandée devant une hyperkaliémie avec signes ECG.</w:t>
            </w:r>
          </w:p>
          <w:p>
            <w:pPr>
              <w:spacing w:after="0"/>
            </w:pPr>
            <w:r>
              <w:rPr>
                <w:b/>
                <w:color w:val="145A32"/>
                <w:sz w:val="17"/>
                <w:szCs w:val="17"/>
              </w:rPr>
              <w:t xml:space="preserve">→ Écrire : « Gluconate de calcium 10 % 30 mL IV en 5–10 min (6,8 mmol), ou chlorure de calcium 10 % 10 mL ; répéter si les signes ECG persistent. »</w:t>
            </w:r>
          </w:p>
        </w:tc>
        <w:tc>
          <w:tcPr>
            <w:tcW w:w="1800" w:type="dxa"/>
            <w:vAlign w:val="top"/>
          </w:tcPr>
          <w:p>
            <w:pPr>
              <w:spacing w:after="0"/>
            </w:pPr>
            <w:r>
              <w:rPr>
                <w:sz w:val="17"/>
                <w:szCs w:val="17"/>
              </w:rPr>
              <w:t xml:space="preserve">ERC Guidelines 2021 — Cardiac arrest in special circumstances (Lott C. et al., Resuscitation 2021;161:152-219), dose relue via synthèse secondaire (Royal Wolverhampton NHS GDL 11, 2024)</w:t>
            </w:r>
          </w:p>
        </w:tc>
      </w:tr>
    </w:tbl>
    <w:p>
      <w:pPr>
        <w:spacing w:after="120"/>
      </w:pPr>
    </w:p>
    <w:p>
      <w:pPr>
        <w:pStyle w:val="Titre1"/>
        <w:keepNext/>
      </w:pPr>
      <w:r>
        <w:rPr>
          <w:b/>
          <w:color w:val="C0392B"/>
          <w:sz w:val="26"/>
          <w:szCs w:val="26"/>
        </w:rPr>
        <w:t xml:space="preserve">Grave — 82 problème(s)</w:t>
      </w:r>
    </w:p>
    <w:tbl>
      <w:tblPr>
        <w:tblW w:w="144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600"/>
        <w:gridCol w:w="900"/>
        <w:gridCol w:w="1250"/>
        <w:gridCol w:w="1900"/>
        <w:gridCol w:w="2350"/>
        <w:gridCol w:w="2600"/>
        <w:gridCol w:w="3000"/>
        <w:gridCol w:w="1800"/>
      </w:tblGrid>
      <w:tr>
        <w:trPr>
          <w:tblHeader/>
          <w:cantSplit/>
        </w:trPr>
        <w:tc>
          <w:tcPr>
            <w:tcW w:w="600" w:type="dxa"/>
            <w:shd w:val="clear" w:color="auto" w:fill="C0392B"/>
            <w:vAlign w:val="top"/>
          </w:tcPr>
          <w:p>
            <w:pPr>
              <w:spacing w:after="0"/>
            </w:pPr>
            <w:r>
              <w:rPr>
                <w:b/>
                <w:color w:val="FFFFFF"/>
                <w:sz w:val="17"/>
                <w:szCs w:val="17"/>
              </w:rPr>
              <w:t xml:space="preserve">Fait</w:t>
            </w:r>
          </w:p>
        </w:tc>
        <w:tc>
          <w:tcPr>
            <w:tcW w:w="900" w:type="dxa"/>
            <w:shd w:val="clear" w:color="auto" w:fill="C0392B"/>
            <w:vAlign w:val="top"/>
          </w:tcPr>
          <w:p>
            <w:pPr>
              <w:spacing w:after="0"/>
            </w:pPr>
            <w:r>
              <w:rPr>
                <w:b/>
                <w:color w:val="FFFFFF"/>
                <w:sz w:val="17"/>
                <w:szCs w:val="17"/>
              </w:rPr>
              <w:t xml:space="preserve">N°</w:t>
            </w:r>
          </w:p>
        </w:tc>
        <w:tc>
          <w:tcPr>
            <w:tcW w:w="1250" w:type="dxa"/>
            <w:shd w:val="clear" w:color="auto" w:fill="C0392B"/>
            <w:vAlign w:val="top"/>
          </w:tcPr>
          <w:p>
            <w:pPr>
              <w:spacing w:after="0"/>
            </w:pPr>
            <w:r>
              <w:rPr>
                <w:b/>
                <w:color w:val="FFFFFF"/>
                <w:sz w:val="17"/>
                <w:szCs w:val="17"/>
              </w:rPr>
              <w:t xml:space="preserve">Domaine</w:t>
            </w:r>
          </w:p>
        </w:tc>
        <w:tc>
          <w:tcPr>
            <w:tcW w:w="1900" w:type="dxa"/>
            <w:shd w:val="clear" w:color="auto" w:fill="C0392B"/>
            <w:vAlign w:val="top"/>
          </w:tcPr>
          <w:p>
            <w:pPr>
              <w:spacing w:after="0"/>
            </w:pPr>
            <w:r>
              <w:rPr>
                <w:b/>
                <w:color w:val="FFFFFF"/>
                <w:sz w:val="17"/>
                <w:szCs w:val="17"/>
              </w:rPr>
              <w:t xml:space="preserve">Fichier</w:t>
            </w:r>
          </w:p>
        </w:tc>
        <w:tc>
          <w:tcPr>
            <w:tcW w:w="2350" w:type="dxa"/>
            <w:shd w:val="clear" w:color="auto" w:fill="C0392B"/>
            <w:vAlign w:val="top"/>
          </w:tcPr>
          <w:p>
            <w:pPr>
              <w:spacing w:after="0"/>
            </w:pPr>
            <w:r>
              <w:rPr>
                <w:b/>
                <w:color w:val="FFFFFF"/>
                <w:sz w:val="17"/>
                <w:szCs w:val="17"/>
              </w:rPr>
              <w:t xml:space="preserve">Emplacement</w:t>
            </w:r>
          </w:p>
        </w:tc>
        <w:tc>
          <w:tcPr>
            <w:tcW w:w="2600" w:type="dxa"/>
            <w:shd w:val="clear" w:color="auto" w:fill="C0392B"/>
            <w:vAlign w:val="top"/>
          </w:tcPr>
          <w:p>
            <w:pPr>
              <w:spacing w:after="0"/>
            </w:pPr>
            <w:r>
              <w:rPr>
                <w:b/>
                <w:color w:val="FFFFFF"/>
                <w:sz w:val="17"/>
                <w:szCs w:val="17"/>
              </w:rPr>
              <w:t xml:space="preserve">Extrait exact</w:t>
            </w:r>
          </w:p>
        </w:tc>
        <w:tc>
          <w:tcPr>
            <w:tcW w:w="3000" w:type="dxa"/>
            <w:shd w:val="clear" w:color="auto" w:fill="C0392B"/>
            <w:vAlign w:val="top"/>
          </w:tcPr>
          <w:p>
            <w:pPr>
              <w:spacing w:after="0"/>
            </w:pPr>
            <w:r>
              <w:rPr>
                <w:b/>
                <w:color w:val="FFFFFF"/>
                <w:sz w:val="17"/>
                <w:szCs w:val="17"/>
              </w:rPr>
              <w:t xml:space="preserve">Problème → correction</w:t>
            </w:r>
          </w:p>
        </w:tc>
        <w:tc>
          <w:tcPr>
            <w:tcW w:w="1800" w:type="dxa"/>
            <w:shd w:val="clear" w:color="auto" w:fill="C0392B"/>
            <w:vAlign w:val="top"/>
          </w:tcPr>
          <w:p>
            <w:pPr>
              <w:spacing w:after="0"/>
            </w:pPr>
            <w:r>
              <w:rPr>
                <w:b/>
                <w:color w:val="FFFFFF"/>
                <w:sz w:val="17"/>
                <w:szCs w:val="17"/>
              </w:rPr>
              <w:t xml:space="preserve">Source</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L5-L01</w:t>
            </w:r>
          </w:p>
        </w:tc>
        <w:tc>
          <w:tcPr>
            <w:tcW w:w="1250" w:type="dxa"/>
            <w:vAlign w:val="top"/>
          </w:tcPr>
          <w:p>
            <w:pPr>
              <w:spacing w:after="0"/>
            </w:pPr>
            <w:r>
              <w:rPr>
                <w:sz w:val="17"/>
                <w:szCs w:val="17"/>
              </w:rPr>
              <w:t xml:space="preserve">Structure</w:t>
            </w:r>
          </w:p>
        </w:tc>
        <w:tc>
          <w:tcPr>
            <w:tcW w:w="1900" w:type="dxa"/>
            <w:vAlign w:val="top"/>
          </w:tcPr>
          <w:p>
            <w:pPr>
              <w:spacing w:after="0"/>
            </w:pPr>
            <w:r>
              <w:rPr>
                <w:sz w:val="17"/>
                <w:szCs w:val="17"/>
              </w:rPr>
              <w:t xml:space="preserve">LOT_5_Appel_A_V5_Ultra_Pedagogique_Plan_et_Liste__export_GoogleDoc.html</w:t>
            </w:r>
          </w:p>
        </w:tc>
        <w:tc>
          <w:tcPr>
            <w:tcW w:w="2350" w:type="dxa"/>
            <w:vAlign w:val="top"/>
          </w:tcPr>
          <w:p>
            <w:pPr>
              <w:spacing w:after="0"/>
            </w:pPr>
            <w:r>
              <w:rPr>
                <w:sz w:val="17"/>
                <w:szCs w:val="17"/>
              </w:rPr>
              <w:t xml:space="preserve">Appel A › fichier entier (en-tête)</w:t>
            </w:r>
          </w:p>
        </w:tc>
        <w:tc>
          <w:tcPr>
            <w:tcW w:w="2600" w:type="dxa"/>
            <w:vAlign w:val="top"/>
          </w:tcPr>
          <w:p>
            <w:pPr>
              <w:spacing w:after="0"/>
            </w:pPr>
            <w:r>
              <w:rPr>
                <w:i/>
                <w:sz w:val="17"/>
                <w:szCs w:val="17"/>
              </w:rPr>
              <w:t xml:space="preserve">« BLOC 1 : PLAN MONOGRAPHIQUE DU SSP PRINCIPAL »</w:t>
            </w:r>
          </w:p>
        </w:tc>
        <w:tc>
          <w:tcPr>
            <w:tcW w:w="3000" w:type="dxa"/>
            <w:vAlign w:val="top"/>
          </w:tcPr>
          <w:p>
            <w:pPr>
              <w:spacing w:after="40"/>
            </w:pPr>
            <w:r>
              <w:rPr>
                <w:sz w:val="17"/>
                <w:szCs w:val="17"/>
              </w:rPr>
              <w:t xml:space="preserve">Le fichier est un Google Docs exporté (pas de &lt;!DOCTYPE html&gt;, styles « lst-kix », équations rendues en images PNG base64) et ne se termine pas par la balise FIN_FICHIER, ce qui viole la règle 0 et les règles techniques du § 9 (aucune image, fichier autonome).</w:t>
            </w:r>
          </w:p>
          <w:p>
            <w:pPr>
              <w:spacing w:after="0"/>
            </w:pPr>
            <w:r>
              <w:rPr>
                <w:b/>
                <w:color w:val="145A32"/>
                <w:sz w:val="17"/>
                <w:szCs w:val="17"/>
              </w:rPr>
              <w:t xml:space="preserve">→ Régénérer le fichier en HTML5 natif selon le gabarit V6 (§ 9), réécrire les équations en texte HTML, terminer par &lt;!-- FIN_FICHIER LOT_5_APPEL... --&gt; et déposer en text/html sans conversion, puis vérifier la taille Drive.</w:t>
            </w:r>
          </w:p>
        </w:tc>
        <w:tc>
          <w:tcPr>
            <w:tcW w:w="1800" w:type="dxa"/>
            <w:vAlign w:val="top"/>
          </w:tcPr>
          <w:p>
            <w:pPr>
              <w:spacing w:after="0"/>
            </w:pPr>
            <w:r>
              <w:rPr>
                <w:sz w:val="17"/>
                <w:szCs w:val="17"/>
              </w:rPr>
              <w:t xml:space="preserve">PROMPT_V6 (Standard V6, prompt de base du lot) § 0, § 9, § 10</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L5-L02</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LOT_5_Appel_A_V5_Ultra_Pedagogique_Plan_et_Liste__export_GoogleDoc.html</w:t>
            </w:r>
          </w:p>
        </w:tc>
        <w:tc>
          <w:tcPr>
            <w:tcW w:w="2350" w:type="dxa"/>
            <w:vAlign w:val="top"/>
          </w:tcPr>
          <w:p>
            <w:pPr>
              <w:spacing w:after="0"/>
            </w:pPr>
            <w:r>
              <w:rPr>
                <w:sz w:val="17"/>
                <w:szCs w:val="17"/>
              </w:rPr>
              <w:t xml:space="preserve">Appel A › fichier entier</w:t>
            </w:r>
          </w:p>
        </w:tc>
        <w:tc>
          <w:tcPr>
            <w:tcW w:w="2600" w:type="dxa"/>
            <w:vAlign w:val="top"/>
          </w:tcPr>
          <w:p>
            <w:pPr>
              <w:spacing w:after="0"/>
            </w:pPr>
            <w:r>
              <w:rPr>
                <w:i/>
                <w:sz w:val="17"/>
                <w:szCs w:val="17"/>
              </w:rPr>
              <w:t xml:space="preserve">« BLOC 1 : PLAN MONOGRAPHIQUE DU SSP PRINCIPAL »</w:t>
            </w:r>
          </w:p>
        </w:tc>
        <w:tc>
          <w:tcPr>
            <w:tcW w:w="3000" w:type="dxa"/>
            <w:vAlign w:val="top"/>
          </w:tcPr>
          <w:p>
            <w:pPr>
              <w:spacing w:after="40"/>
            </w:pPr>
            <w:r>
              <w:rPr>
                <w:sz w:val="17"/>
                <w:szCs w:val="17"/>
              </w:rPr>
              <w:t xml:space="preserve">Le fichier ne contient aucune fenêtre &lt;details&gt;, aucune section Sources numérotée [S1]…[Sn] et aucune mention de non-validation clinique ; les termes sémiologiques, examens et médicaments ne sont donc ni expliqués ni sourcés.</w:t>
            </w:r>
          </w:p>
          <w:p>
            <w:pPr>
              <w:spacing w:after="0"/>
            </w:pPr>
            <w:r>
              <w:rPr>
                <w:b/>
                <w:color w:val="145A32"/>
                <w:sz w:val="17"/>
                <w:szCs w:val="17"/>
              </w:rPr>
              <w:t xml:space="preserve">→ Ajouter une fenêtre &lt;details&gt; sourcée [Sn] pour chaque terme technique, signe, examen, médicament et score, puis la section « Sources » datée et la mention « Contenu produit par IA à partir des sources citées ; non validé cliniquement par un médecin. »</w:t>
            </w:r>
          </w:p>
        </w:tc>
        <w:tc>
          <w:tcPr>
            <w:tcW w:w="1800" w:type="dxa"/>
            <w:vAlign w:val="top"/>
          </w:tcPr>
          <w:p>
            <w:pPr>
              <w:spacing w:after="0"/>
            </w:pPr>
            <w:r>
              <w:rPr>
                <w:sz w:val="17"/>
                <w:szCs w:val="17"/>
              </w:rPr>
              <w:t xml:space="preserve">PROMPT_V6 (Standard V6, prompt de base du lot) § 3.8, § 7, § 16</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L5-L03</w:t>
            </w:r>
          </w:p>
        </w:tc>
        <w:tc>
          <w:tcPr>
            <w:tcW w:w="1250" w:type="dxa"/>
            <w:vAlign w:val="top"/>
          </w:tcPr>
          <w:p>
            <w:pPr>
              <w:spacing w:after="0"/>
            </w:pPr>
            <w:r>
              <w:rPr>
                <w:sz w:val="17"/>
                <w:szCs w:val="17"/>
              </w:rPr>
              <w:t xml:space="preserve">Structure</w:t>
            </w:r>
          </w:p>
        </w:tc>
        <w:tc>
          <w:tcPr>
            <w:tcW w:w="1900" w:type="dxa"/>
            <w:vAlign w:val="top"/>
          </w:tcPr>
          <w:p>
            <w:pPr>
              <w:spacing w:after="0"/>
            </w:pPr>
            <w:r>
              <w:rPr>
                <w:sz w:val="17"/>
                <w:szCs w:val="17"/>
              </w:rPr>
              <w:t xml:space="preserve">LOT_5_Appel_B_V5_Ultra_Pedagogique_Partie_1_DX.1_a_DX.2__export_GoogleDoc.html</w:t>
            </w:r>
          </w:p>
        </w:tc>
        <w:tc>
          <w:tcPr>
            <w:tcW w:w="2350" w:type="dxa"/>
            <w:vAlign w:val="top"/>
          </w:tcPr>
          <w:p>
            <w:pPr>
              <w:spacing w:after="0"/>
            </w:pPr>
            <w:r>
              <w:rPr>
                <w:sz w:val="17"/>
                <w:szCs w:val="17"/>
              </w:rPr>
              <w:t xml:space="preserve">Partie 1 › fichier entier (en-tête)</w:t>
            </w:r>
          </w:p>
        </w:tc>
        <w:tc>
          <w:tcPr>
            <w:tcW w:w="2600" w:type="dxa"/>
            <w:vAlign w:val="top"/>
          </w:tcPr>
          <w:p>
            <w:pPr>
              <w:spacing w:after="0"/>
            </w:pPr>
            <w:r>
              <w:rPr>
                <w:i/>
                <w:sz w:val="17"/>
                <w:szCs w:val="17"/>
              </w:rPr>
              <w:t xml:space="preserve">« Appel B - Partie 1/4 (D5.1 à D5.2) »</w:t>
            </w:r>
          </w:p>
        </w:tc>
        <w:tc>
          <w:tcPr>
            <w:tcW w:w="3000" w:type="dxa"/>
            <w:vAlign w:val="top"/>
          </w:tcPr>
          <w:p>
            <w:pPr>
              <w:spacing w:after="40"/>
            </w:pPr>
            <w:r>
              <w:rPr>
                <w:sz w:val="17"/>
                <w:szCs w:val="17"/>
              </w:rPr>
              <w:t xml:space="preserve">Le fichier est un Google Docs exporté (pas de &lt;!DOCTYPE html&gt;, styles « lst-kix », équations rendues en images PNG base64) et ne se termine pas par la balise FIN_FICHIER, ce qui viole la règle 0 et les règles techniques du § 9 (aucune image, fichier autonome).</w:t>
            </w:r>
          </w:p>
          <w:p>
            <w:pPr>
              <w:spacing w:after="0"/>
            </w:pPr>
            <w:r>
              <w:rPr>
                <w:b/>
                <w:color w:val="145A32"/>
                <w:sz w:val="17"/>
                <w:szCs w:val="17"/>
              </w:rPr>
              <w:t xml:space="preserve">→ Régénérer le fichier en HTML5 natif selon le gabarit V6 (§ 9), réécrire les équations en texte HTML, terminer par &lt;!-- FIN_FICHIER LOT_5_PARTIE... --&gt; et déposer en text/html sans conversion, puis vérifier la taille Drive.</w:t>
            </w:r>
          </w:p>
        </w:tc>
        <w:tc>
          <w:tcPr>
            <w:tcW w:w="1800" w:type="dxa"/>
            <w:vAlign w:val="top"/>
          </w:tcPr>
          <w:p>
            <w:pPr>
              <w:spacing w:after="0"/>
            </w:pPr>
            <w:r>
              <w:rPr>
                <w:sz w:val="17"/>
                <w:szCs w:val="17"/>
              </w:rPr>
              <w:t xml:space="preserve">PROMPT_V6 (Standard V6, prompt de base du lot) § 0, § 9, § 10</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L5-L04</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LOT_5_Appel_B_V5_Ultra_Pedagogique_Partie_1_DX.1_a_DX.2__export_GoogleDoc.html</w:t>
            </w:r>
          </w:p>
        </w:tc>
        <w:tc>
          <w:tcPr>
            <w:tcW w:w="2350" w:type="dxa"/>
            <w:vAlign w:val="top"/>
          </w:tcPr>
          <w:p>
            <w:pPr>
              <w:spacing w:after="0"/>
            </w:pPr>
            <w:r>
              <w:rPr>
                <w:sz w:val="17"/>
                <w:szCs w:val="17"/>
              </w:rPr>
              <w:t xml:space="preserve">Partie 1 › fichier entier</w:t>
            </w:r>
          </w:p>
        </w:tc>
        <w:tc>
          <w:tcPr>
            <w:tcW w:w="2600" w:type="dxa"/>
            <w:vAlign w:val="top"/>
          </w:tcPr>
          <w:p>
            <w:pPr>
              <w:spacing w:after="0"/>
            </w:pPr>
            <w:r>
              <w:rPr>
                <w:i/>
                <w:sz w:val="17"/>
                <w:szCs w:val="17"/>
              </w:rPr>
              <w:t xml:space="preserve">« Appel B - Partie 1/4 (D5.1 à D5.2) »</w:t>
            </w:r>
          </w:p>
        </w:tc>
        <w:tc>
          <w:tcPr>
            <w:tcW w:w="3000" w:type="dxa"/>
            <w:vAlign w:val="top"/>
          </w:tcPr>
          <w:p>
            <w:pPr>
              <w:spacing w:after="40"/>
            </w:pPr>
            <w:r>
              <w:rPr>
                <w:sz w:val="17"/>
                <w:szCs w:val="17"/>
              </w:rPr>
              <w:t xml:space="preserve">Le fichier ne contient aucune fenêtre &lt;details&gt;, aucune section Sources numérotée [S1]…[Sn] et aucune mention de non-validation clinique ; les termes sémiologiques, examens et médicaments ne sont donc ni expliqués ni sourcés.</w:t>
            </w:r>
          </w:p>
          <w:p>
            <w:pPr>
              <w:spacing w:after="0"/>
            </w:pPr>
            <w:r>
              <w:rPr>
                <w:b/>
                <w:color w:val="145A32"/>
                <w:sz w:val="17"/>
                <w:szCs w:val="17"/>
              </w:rPr>
              <w:t xml:space="preserve">→ Ajouter une fenêtre &lt;details&gt; sourcée [Sn] pour chaque terme technique, signe, examen, médicament et score, puis la section « Sources » datée et la mention « Contenu produit par IA à partir des sources citées ; non validé cliniquement par un médecin. »</w:t>
            </w:r>
          </w:p>
        </w:tc>
        <w:tc>
          <w:tcPr>
            <w:tcW w:w="1800" w:type="dxa"/>
            <w:vAlign w:val="top"/>
          </w:tcPr>
          <w:p>
            <w:pPr>
              <w:spacing w:after="0"/>
            </w:pPr>
            <w:r>
              <w:rPr>
                <w:sz w:val="17"/>
                <w:szCs w:val="17"/>
              </w:rPr>
              <w:t xml:space="preserve">PROMPT_V6 (Standard V6, prompt de base du lot) § 3.8, § 7, § 16</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L5-L05</w:t>
            </w:r>
          </w:p>
        </w:tc>
        <w:tc>
          <w:tcPr>
            <w:tcW w:w="1250" w:type="dxa"/>
            <w:vAlign w:val="top"/>
          </w:tcPr>
          <w:p>
            <w:pPr>
              <w:spacing w:after="0"/>
            </w:pPr>
            <w:r>
              <w:rPr>
                <w:sz w:val="17"/>
                <w:szCs w:val="17"/>
              </w:rPr>
              <w:t xml:space="preserve">Structure</w:t>
            </w:r>
          </w:p>
        </w:tc>
        <w:tc>
          <w:tcPr>
            <w:tcW w:w="1900" w:type="dxa"/>
            <w:vAlign w:val="top"/>
          </w:tcPr>
          <w:p>
            <w:pPr>
              <w:spacing w:after="0"/>
            </w:pPr>
            <w:r>
              <w:rPr>
                <w:sz w:val="17"/>
                <w:szCs w:val="17"/>
              </w:rPr>
              <w:t xml:space="preserve">LOT_5_Appel_B_V5_Ultra_Pedagogique_Partie_2_DX.3_a_DX.5__export_GoogleDoc.html</w:t>
            </w:r>
          </w:p>
        </w:tc>
        <w:tc>
          <w:tcPr>
            <w:tcW w:w="2350" w:type="dxa"/>
            <w:vAlign w:val="top"/>
          </w:tcPr>
          <w:p>
            <w:pPr>
              <w:spacing w:after="0"/>
            </w:pPr>
            <w:r>
              <w:rPr>
                <w:sz w:val="17"/>
                <w:szCs w:val="17"/>
              </w:rPr>
              <w:t xml:space="preserve">Partie 2 › fichier entier (en-tête)</w:t>
            </w:r>
          </w:p>
        </w:tc>
        <w:tc>
          <w:tcPr>
            <w:tcW w:w="2600" w:type="dxa"/>
            <w:vAlign w:val="top"/>
          </w:tcPr>
          <w:p>
            <w:pPr>
              <w:spacing w:after="0"/>
            </w:pPr>
            <w:r>
              <w:rPr>
                <w:i/>
                <w:sz w:val="17"/>
                <w:szCs w:val="17"/>
              </w:rPr>
              <w:t xml:space="preserve">« Appel B - Partie 2/4 (D5.3 à D5.5) »</w:t>
            </w:r>
          </w:p>
        </w:tc>
        <w:tc>
          <w:tcPr>
            <w:tcW w:w="3000" w:type="dxa"/>
            <w:vAlign w:val="top"/>
          </w:tcPr>
          <w:p>
            <w:pPr>
              <w:spacing w:after="40"/>
            </w:pPr>
            <w:r>
              <w:rPr>
                <w:sz w:val="17"/>
                <w:szCs w:val="17"/>
              </w:rPr>
              <w:t xml:space="preserve">Le fichier est un Google Docs exporté (pas de &lt;!DOCTYPE html&gt;, styles « lst-kix », équations rendues en images PNG base64) et ne se termine pas par la balise FIN_FICHIER, ce qui viole la règle 0 et les règles techniques du § 9 (aucune image, fichier autonome).</w:t>
            </w:r>
          </w:p>
          <w:p>
            <w:pPr>
              <w:spacing w:after="0"/>
            </w:pPr>
            <w:r>
              <w:rPr>
                <w:b/>
                <w:color w:val="145A32"/>
                <w:sz w:val="17"/>
                <w:szCs w:val="17"/>
              </w:rPr>
              <w:t xml:space="preserve">→ Régénérer le fichier en HTML5 natif selon le gabarit V6 (§ 9), réécrire les équations en texte HTML, terminer par &lt;!-- FIN_FICHIER LOT_5_PARTIE... --&gt; et déposer en text/html sans conversion, puis vérifier la taille Drive.</w:t>
            </w:r>
          </w:p>
        </w:tc>
        <w:tc>
          <w:tcPr>
            <w:tcW w:w="1800" w:type="dxa"/>
            <w:vAlign w:val="top"/>
          </w:tcPr>
          <w:p>
            <w:pPr>
              <w:spacing w:after="0"/>
            </w:pPr>
            <w:r>
              <w:rPr>
                <w:sz w:val="17"/>
                <w:szCs w:val="17"/>
              </w:rPr>
              <w:t xml:space="preserve">PROMPT_V6 (Standard V6, prompt de base du lot) § 0, § 9, § 10</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L5-L06</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LOT_5_Appel_B_V5_Ultra_Pedagogique_Partie_2_DX.3_a_DX.5__export_GoogleDoc.html</w:t>
            </w:r>
          </w:p>
        </w:tc>
        <w:tc>
          <w:tcPr>
            <w:tcW w:w="2350" w:type="dxa"/>
            <w:vAlign w:val="top"/>
          </w:tcPr>
          <w:p>
            <w:pPr>
              <w:spacing w:after="0"/>
            </w:pPr>
            <w:r>
              <w:rPr>
                <w:sz w:val="17"/>
                <w:szCs w:val="17"/>
              </w:rPr>
              <w:t xml:space="preserve">Partie 2 › fichier entier</w:t>
            </w:r>
          </w:p>
        </w:tc>
        <w:tc>
          <w:tcPr>
            <w:tcW w:w="2600" w:type="dxa"/>
            <w:vAlign w:val="top"/>
          </w:tcPr>
          <w:p>
            <w:pPr>
              <w:spacing w:after="0"/>
            </w:pPr>
            <w:r>
              <w:rPr>
                <w:i/>
                <w:sz w:val="17"/>
                <w:szCs w:val="17"/>
              </w:rPr>
              <w:t xml:space="preserve">« Appel B - Partie 2/4 (D5.3 à D5.5) »</w:t>
            </w:r>
          </w:p>
        </w:tc>
        <w:tc>
          <w:tcPr>
            <w:tcW w:w="3000" w:type="dxa"/>
            <w:vAlign w:val="top"/>
          </w:tcPr>
          <w:p>
            <w:pPr>
              <w:spacing w:after="40"/>
            </w:pPr>
            <w:r>
              <w:rPr>
                <w:sz w:val="17"/>
                <w:szCs w:val="17"/>
              </w:rPr>
              <w:t xml:space="preserve">Le fichier ne contient aucune fenêtre &lt;details&gt;, aucune section Sources numérotée [S1]…[Sn] et aucune mention de non-validation clinique ; les termes sémiologiques, examens et médicaments ne sont donc ni expliqués ni sourcés.</w:t>
            </w:r>
          </w:p>
          <w:p>
            <w:pPr>
              <w:spacing w:after="0"/>
            </w:pPr>
            <w:r>
              <w:rPr>
                <w:b/>
                <w:color w:val="145A32"/>
                <w:sz w:val="17"/>
                <w:szCs w:val="17"/>
              </w:rPr>
              <w:t xml:space="preserve">→ Ajouter une fenêtre &lt;details&gt; sourcée [Sn] pour chaque terme technique, signe, examen, médicament et score, puis la section « Sources » datée et la mention « Contenu produit par IA à partir des sources citées ; non validé cliniquement par un médecin. »</w:t>
            </w:r>
          </w:p>
        </w:tc>
        <w:tc>
          <w:tcPr>
            <w:tcW w:w="1800" w:type="dxa"/>
            <w:vAlign w:val="top"/>
          </w:tcPr>
          <w:p>
            <w:pPr>
              <w:spacing w:after="0"/>
            </w:pPr>
            <w:r>
              <w:rPr>
                <w:sz w:val="17"/>
                <w:szCs w:val="17"/>
              </w:rPr>
              <w:t xml:space="preserve">PROMPT_V6 (Standard V6, prompt de base du lot) § 3.8, § 7, § 16</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L5-L07</w:t>
            </w:r>
          </w:p>
        </w:tc>
        <w:tc>
          <w:tcPr>
            <w:tcW w:w="1250" w:type="dxa"/>
            <w:vAlign w:val="top"/>
          </w:tcPr>
          <w:p>
            <w:pPr>
              <w:spacing w:after="0"/>
            </w:pPr>
            <w:r>
              <w:rPr>
                <w:sz w:val="17"/>
                <w:szCs w:val="17"/>
              </w:rPr>
              <w:t xml:space="preserve">Structure</w:t>
            </w:r>
          </w:p>
        </w:tc>
        <w:tc>
          <w:tcPr>
            <w:tcW w:w="1900" w:type="dxa"/>
            <w:vAlign w:val="top"/>
          </w:tcPr>
          <w:p>
            <w:pPr>
              <w:spacing w:after="0"/>
            </w:pPr>
            <w:r>
              <w:rPr>
                <w:sz w:val="17"/>
                <w:szCs w:val="17"/>
              </w:rPr>
              <w:t xml:space="preserve">LOT_5_Appel_B_V5_Ultra_Pedagogique_Partie_3_DX.6_a_DX.7__export_GoogleDoc.html</w:t>
            </w:r>
          </w:p>
        </w:tc>
        <w:tc>
          <w:tcPr>
            <w:tcW w:w="2350" w:type="dxa"/>
            <w:vAlign w:val="top"/>
          </w:tcPr>
          <w:p>
            <w:pPr>
              <w:spacing w:after="0"/>
            </w:pPr>
            <w:r>
              <w:rPr>
                <w:sz w:val="17"/>
                <w:szCs w:val="17"/>
              </w:rPr>
              <w:t xml:space="preserve">Partie 3 › fichier entier (en-tête)</w:t>
            </w:r>
          </w:p>
        </w:tc>
        <w:tc>
          <w:tcPr>
            <w:tcW w:w="2600" w:type="dxa"/>
            <w:vAlign w:val="top"/>
          </w:tcPr>
          <w:p>
            <w:pPr>
              <w:spacing w:after="0"/>
            </w:pPr>
            <w:r>
              <w:rPr>
                <w:i/>
                <w:sz w:val="17"/>
                <w:szCs w:val="17"/>
              </w:rPr>
              <w:t xml:space="preserve">« Appel B - Partie 3/4 (D5.6 à D5.7) »</w:t>
            </w:r>
          </w:p>
        </w:tc>
        <w:tc>
          <w:tcPr>
            <w:tcW w:w="3000" w:type="dxa"/>
            <w:vAlign w:val="top"/>
          </w:tcPr>
          <w:p>
            <w:pPr>
              <w:spacing w:after="40"/>
            </w:pPr>
            <w:r>
              <w:rPr>
                <w:sz w:val="17"/>
                <w:szCs w:val="17"/>
              </w:rPr>
              <w:t xml:space="preserve">Le fichier est un Google Docs exporté (pas de &lt;!DOCTYPE html&gt;, styles « lst-kix », équations rendues en images PNG base64) et ne se termine pas par la balise FIN_FICHIER, ce qui viole la règle 0 et les règles techniques du § 9 (aucune image, fichier autonome).</w:t>
            </w:r>
          </w:p>
          <w:p>
            <w:pPr>
              <w:spacing w:after="0"/>
            </w:pPr>
            <w:r>
              <w:rPr>
                <w:b/>
                <w:color w:val="145A32"/>
                <w:sz w:val="17"/>
                <w:szCs w:val="17"/>
              </w:rPr>
              <w:t xml:space="preserve">→ Régénérer le fichier en HTML5 natif selon le gabarit V6 (§ 9), réécrire les équations en texte HTML, terminer par &lt;!-- FIN_FICHIER LOT_5_PARTIE... --&gt; et déposer en text/html sans conversion, puis vérifier la taille Drive.</w:t>
            </w:r>
          </w:p>
        </w:tc>
        <w:tc>
          <w:tcPr>
            <w:tcW w:w="1800" w:type="dxa"/>
            <w:vAlign w:val="top"/>
          </w:tcPr>
          <w:p>
            <w:pPr>
              <w:spacing w:after="0"/>
            </w:pPr>
            <w:r>
              <w:rPr>
                <w:sz w:val="17"/>
                <w:szCs w:val="17"/>
              </w:rPr>
              <w:t xml:space="preserve">PROMPT_V6 (Standard V6, prompt de base du lot) § 0, § 9, § 10</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L5-L08</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LOT_5_Appel_B_V5_Ultra_Pedagogique_Partie_3_DX.6_a_DX.7__export_GoogleDoc.html</w:t>
            </w:r>
          </w:p>
        </w:tc>
        <w:tc>
          <w:tcPr>
            <w:tcW w:w="2350" w:type="dxa"/>
            <w:vAlign w:val="top"/>
          </w:tcPr>
          <w:p>
            <w:pPr>
              <w:spacing w:after="0"/>
            </w:pPr>
            <w:r>
              <w:rPr>
                <w:sz w:val="17"/>
                <w:szCs w:val="17"/>
              </w:rPr>
              <w:t xml:space="preserve">Partie 3 › fichier entier</w:t>
            </w:r>
          </w:p>
        </w:tc>
        <w:tc>
          <w:tcPr>
            <w:tcW w:w="2600" w:type="dxa"/>
            <w:vAlign w:val="top"/>
          </w:tcPr>
          <w:p>
            <w:pPr>
              <w:spacing w:after="0"/>
            </w:pPr>
            <w:r>
              <w:rPr>
                <w:i/>
                <w:sz w:val="17"/>
                <w:szCs w:val="17"/>
              </w:rPr>
              <w:t xml:space="preserve">« Appel B - Partie 3/4 (D5.6 à D5.7) »</w:t>
            </w:r>
          </w:p>
        </w:tc>
        <w:tc>
          <w:tcPr>
            <w:tcW w:w="3000" w:type="dxa"/>
            <w:vAlign w:val="top"/>
          </w:tcPr>
          <w:p>
            <w:pPr>
              <w:spacing w:after="40"/>
            </w:pPr>
            <w:r>
              <w:rPr>
                <w:sz w:val="17"/>
                <w:szCs w:val="17"/>
              </w:rPr>
              <w:t xml:space="preserve">Le fichier ne contient aucune fenêtre &lt;details&gt;, aucune section Sources numérotée [S1]…[Sn] et aucune mention de non-validation clinique ; les termes sémiologiques, examens et médicaments ne sont donc ni expliqués ni sourcés.</w:t>
            </w:r>
          </w:p>
          <w:p>
            <w:pPr>
              <w:spacing w:after="0"/>
            </w:pPr>
            <w:r>
              <w:rPr>
                <w:b/>
                <w:color w:val="145A32"/>
                <w:sz w:val="17"/>
                <w:szCs w:val="17"/>
              </w:rPr>
              <w:t xml:space="preserve">→ Ajouter une fenêtre &lt;details&gt; sourcée [Sn] pour chaque terme technique, signe, examen, médicament et score, puis la section « Sources » datée et la mention « Contenu produit par IA à partir des sources citées ; non validé cliniquement par un médecin. »</w:t>
            </w:r>
          </w:p>
        </w:tc>
        <w:tc>
          <w:tcPr>
            <w:tcW w:w="1800" w:type="dxa"/>
            <w:vAlign w:val="top"/>
          </w:tcPr>
          <w:p>
            <w:pPr>
              <w:spacing w:after="0"/>
            </w:pPr>
            <w:r>
              <w:rPr>
                <w:sz w:val="17"/>
                <w:szCs w:val="17"/>
              </w:rPr>
              <w:t xml:space="preserve">PROMPT_V6 (Standard V6, prompt de base du lot) § 3.8, § 7, § 16</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L5-L09</w:t>
            </w:r>
          </w:p>
        </w:tc>
        <w:tc>
          <w:tcPr>
            <w:tcW w:w="1250" w:type="dxa"/>
            <w:vAlign w:val="top"/>
          </w:tcPr>
          <w:p>
            <w:pPr>
              <w:spacing w:after="0"/>
            </w:pPr>
            <w:r>
              <w:rPr>
                <w:sz w:val="17"/>
                <w:szCs w:val="17"/>
              </w:rPr>
              <w:t xml:space="preserve">Structure</w:t>
            </w:r>
          </w:p>
        </w:tc>
        <w:tc>
          <w:tcPr>
            <w:tcW w:w="1900" w:type="dxa"/>
            <w:vAlign w:val="top"/>
          </w:tcPr>
          <w:p>
            <w:pPr>
              <w:spacing w:after="0"/>
            </w:pPr>
            <w:r>
              <w:rPr>
                <w:sz w:val="17"/>
                <w:szCs w:val="17"/>
              </w:rPr>
              <w:t xml:space="preserve">LOT_5_Appel_B_V5_Ultra_Pedagogique_Partie_4_DX.8_a_DX.10__export_GoogleDoc__v2.html</w:t>
            </w:r>
          </w:p>
        </w:tc>
        <w:tc>
          <w:tcPr>
            <w:tcW w:w="2350" w:type="dxa"/>
            <w:vAlign w:val="top"/>
          </w:tcPr>
          <w:p>
            <w:pPr>
              <w:spacing w:after="0"/>
            </w:pPr>
            <w:r>
              <w:rPr>
                <w:sz w:val="17"/>
                <w:szCs w:val="17"/>
              </w:rPr>
              <w:t xml:space="preserve">Partie 4 (v2, version 18:10) › fichier entier (en-tête)</w:t>
            </w:r>
          </w:p>
        </w:tc>
        <w:tc>
          <w:tcPr>
            <w:tcW w:w="2600" w:type="dxa"/>
            <w:vAlign w:val="top"/>
          </w:tcPr>
          <w:p>
            <w:pPr>
              <w:spacing w:after="0"/>
            </w:pPr>
            <w:r>
              <w:rPr>
                <w:i/>
                <w:sz w:val="17"/>
                <w:szCs w:val="17"/>
              </w:rPr>
              <w:t xml:space="preserve">« Appel B - Partie 4/4 (D5.8 à D5.10) »</w:t>
            </w:r>
          </w:p>
        </w:tc>
        <w:tc>
          <w:tcPr>
            <w:tcW w:w="3000" w:type="dxa"/>
            <w:vAlign w:val="top"/>
          </w:tcPr>
          <w:p>
            <w:pPr>
              <w:spacing w:after="40"/>
            </w:pPr>
            <w:r>
              <w:rPr>
                <w:sz w:val="17"/>
                <w:szCs w:val="17"/>
              </w:rPr>
              <w:t xml:space="preserve">Le fichier est un Google Docs exporté (pas de &lt;!DOCTYPE html&gt;, styles « lst-kix », équations rendues en images PNG base64) et ne se termine pas par la balise FIN_FICHIER, ce qui viole la règle 0 et les règles techniques du § 9 (aucune image, fichier autonome).</w:t>
            </w:r>
          </w:p>
          <w:p>
            <w:pPr>
              <w:spacing w:after="0"/>
            </w:pPr>
            <w:r>
              <w:rPr>
                <w:b/>
                <w:color w:val="145A32"/>
                <w:sz w:val="17"/>
                <w:szCs w:val="17"/>
              </w:rPr>
              <w:t xml:space="preserve">→ Régénérer le fichier en HTML5 natif selon le gabarit V6 (§ 9), réécrire les équations en texte HTML, terminer par &lt;!-- FIN_FICHIER LOT_5_PARTIE... --&gt; et déposer en text/html sans conversion, puis vérifier la taille Drive.</w:t>
            </w:r>
          </w:p>
        </w:tc>
        <w:tc>
          <w:tcPr>
            <w:tcW w:w="1800" w:type="dxa"/>
            <w:vAlign w:val="top"/>
          </w:tcPr>
          <w:p>
            <w:pPr>
              <w:spacing w:after="0"/>
            </w:pPr>
            <w:r>
              <w:rPr>
                <w:sz w:val="17"/>
                <w:szCs w:val="17"/>
              </w:rPr>
              <w:t xml:space="preserve">PROMPT_V6 (Standard V6, prompt de base du lot) § 0, § 9, § 10</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L5-L10</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LOT_5_Appel_B_V5_Ultra_Pedagogique_Partie_4_DX.8_a_DX.10__export_GoogleDoc__v2.html</w:t>
            </w:r>
          </w:p>
        </w:tc>
        <w:tc>
          <w:tcPr>
            <w:tcW w:w="2350" w:type="dxa"/>
            <w:vAlign w:val="top"/>
          </w:tcPr>
          <w:p>
            <w:pPr>
              <w:spacing w:after="0"/>
            </w:pPr>
            <w:r>
              <w:rPr>
                <w:sz w:val="17"/>
                <w:szCs w:val="17"/>
              </w:rPr>
              <w:t xml:space="preserve">Partie 4 (v2, version 18:10) › fichier entier</w:t>
            </w:r>
          </w:p>
        </w:tc>
        <w:tc>
          <w:tcPr>
            <w:tcW w:w="2600" w:type="dxa"/>
            <w:vAlign w:val="top"/>
          </w:tcPr>
          <w:p>
            <w:pPr>
              <w:spacing w:after="0"/>
            </w:pPr>
            <w:r>
              <w:rPr>
                <w:i/>
                <w:sz w:val="17"/>
                <w:szCs w:val="17"/>
              </w:rPr>
              <w:t xml:space="preserve">« Appel B - Partie 4/4 (D5.8 à D5.10) »</w:t>
            </w:r>
          </w:p>
        </w:tc>
        <w:tc>
          <w:tcPr>
            <w:tcW w:w="3000" w:type="dxa"/>
            <w:vAlign w:val="top"/>
          </w:tcPr>
          <w:p>
            <w:pPr>
              <w:spacing w:after="40"/>
            </w:pPr>
            <w:r>
              <w:rPr>
                <w:sz w:val="17"/>
                <w:szCs w:val="17"/>
              </w:rPr>
              <w:t xml:space="preserve">Le fichier ne contient aucune fenêtre &lt;details&gt;, aucune section Sources numérotée [S1]…[Sn] et aucune mention de non-validation clinique ; les termes sémiologiques, examens et médicaments ne sont donc ni expliqués ni sourcés.</w:t>
            </w:r>
          </w:p>
          <w:p>
            <w:pPr>
              <w:spacing w:after="0"/>
            </w:pPr>
            <w:r>
              <w:rPr>
                <w:b/>
                <w:color w:val="145A32"/>
                <w:sz w:val="17"/>
                <w:szCs w:val="17"/>
              </w:rPr>
              <w:t xml:space="preserve">→ Ajouter une fenêtre &lt;details&gt; sourcée [Sn] pour chaque terme technique, signe, examen, médicament et score, puis la section « Sources » datée et la mention « Contenu produit par IA à partir des sources citées ; non validé cliniquement par un médecin. »</w:t>
            </w:r>
          </w:p>
        </w:tc>
        <w:tc>
          <w:tcPr>
            <w:tcW w:w="1800" w:type="dxa"/>
            <w:vAlign w:val="top"/>
          </w:tcPr>
          <w:p>
            <w:pPr>
              <w:spacing w:after="0"/>
            </w:pPr>
            <w:r>
              <w:rPr>
                <w:sz w:val="17"/>
                <w:szCs w:val="17"/>
              </w:rPr>
              <w:t xml:space="preserve">PROMPT_V6 (Standard V6, prompt de base du lot) § 3.8, § 7, § 16</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L5-L100</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LOT_5_Appel_B_V5_Ultra_Pedagogique_Partie_4_DX.8_a_DX.10__export_GoogleDoc__v2.html</w:t>
            </w:r>
          </w:p>
        </w:tc>
        <w:tc>
          <w:tcPr>
            <w:tcW w:w="2350" w:type="dxa"/>
            <w:vAlign w:val="top"/>
          </w:tcPr>
          <w:p>
            <w:pPr>
              <w:spacing w:after="0"/>
            </w:pPr>
            <w:r>
              <w:rPr>
                <w:sz w:val="17"/>
                <w:szCs w:val="17"/>
              </w:rPr>
              <w:t xml:space="preserve">D5.8 › 11. Prise en charge › D- Pronostic et recherche 2026</w:t>
            </w:r>
          </w:p>
        </w:tc>
        <w:tc>
          <w:tcPr>
            <w:tcW w:w="2600" w:type="dxa"/>
            <w:vAlign w:val="top"/>
          </w:tcPr>
          <w:p>
            <w:pPr>
              <w:spacing w:after="0"/>
            </w:pPr>
            <w:r>
              <w:rPr>
                <w:i/>
                <w:sz w:val="17"/>
                <w:szCs w:val="17"/>
              </w:rPr>
              <w:t xml:space="preserve">« réduisent l'incidence du delirium de 40 % »</w:t>
            </w:r>
          </w:p>
        </w:tc>
        <w:tc>
          <w:tcPr>
            <w:tcW w:w="3000" w:type="dxa"/>
            <w:vAlign w:val="top"/>
          </w:tcPr>
          <w:p>
            <w:pPr>
              <w:spacing w:after="40"/>
            </w:pPr>
            <w:r>
              <w:rPr>
                <w:sz w:val="17"/>
                <w:szCs w:val="17"/>
              </w:rPr>
              <w:t xml:space="preserve">Le pourcentage de réduction est donné sans étude ni source.</w:t>
            </w:r>
          </w:p>
          <w:p>
            <w:pPr>
              <w:spacing w:after="0"/>
            </w:pPr>
            <w:r>
              <w:rPr>
                <w:b/>
                <w:color w:val="145A32"/>
                <w:sz w:val="17"/>
                <w:szCs w:val="17"/>
              </w:rPr>
              <w:t xml:space="preserve">→ Citer l'étude ou la méta-analyse (p. ex. programme HELP) avec son résultat exact, ou écrire « donnée non trouvée dans les sources consultées ».</w:t>
            </w:r>
          </w:p>
        </w:tc>
        <w:tc>
          <w:tcPr>
            <w:tcW w:w="1800" w:type="dxa"/>
            <w:vAlign w:val="top"/>
          </w:tcPr>
          <w:p>
            <w:pPr>
              <w:spacing w:after="0"/>
            </w:pPr>
            <w:r>
              <w:rPr>
                <w:sz w:val="17"/>
                <w:szCs w:val="17"/>
              </w:rPr>
              <w:t xml:space="preserve">PROMPT_V6 (Standard V6, prompt de base du lot) § 14</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L5-L101</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LOT_5_Appel_B_V5_Ultra_Pedagogique_Partie_4_DX.8_a_DX.10__export_GoogleDoc__v2.html</w:t>
            </w:r>
          </w:p>
        </w:tc>
        <w:tc>
          <w:tcPr>
            <w:tcW w:w="2350" w:type="dxa"/>
            <w:vAlign w:val="top"/>
          </w:tcPr>
          <w:p>
            <w:pPr>
              <w:spacing w:after="0"/>
            </w:pPr>
            <w:r>
              <w:rPr>
                <w:sz w:val="17"/>
                <w:szCs w:val="17"/>
              </w:rPr>
              <w:t xml:space="preserve">D5.8 › 2. Épidémiologie</w:t>
            </w:r>
          </w:p>
        </w:tc>
        <w:tc>
          <w:tcPr>
            <w:tcW w:w="2600" w:type="dxa"/>
            <w:vAlign w:val="top"/>
          </w:tcPr>
          <w:p>
            <w:pPr>
              <w:spacing w:after="0"/>
            </w:pPr>
            <w:r>
              <w:rPr>
                <w:i/>
                <w:sz w:val="17"/>
                <w:szCs w:val="17"/>
              </w:rPr>
              <w:t xml:space="preserve">« compliquent 20 à 30 % des hospitalisations de patients gériatriques de plus de 80 ans »</w:t>
            </w:r>
          </w:p>
        </w:tc>
        <w:tc>
          <w:tcPr>
            <w:tcW w:w="3000" w:type="dxa"/>
            <w:vAlign w:val="top"/>
          </w:tcPr>
          <w:p>
            <w:pPr>
              <w:spacing w:after="40"/>
            </w:pPr>
            <w:r>
              <w:rPr>
                <w:sz w:val="17"/>
                <w:szCs w:val="17"/>
              </w:rPr>
              <w:t xml:space="preserve">Les fréquences (20 à 30 %, 50 %) sont attribuées à la SPSG sans document identifiable.</w:t>
            </w:r>
          </w:p>
          <w:p>
            <w:pPr>
              <w:spacing w:after="0"/>
            </w:pPr>
            <w:r>
              <w:rPr>
                <w:b/>
                <w:color w:val="145A32"/>
                <w:sz w:val="17"/>
                <w:szCs w:val="17"/>
              </w:rPr>
              <w:t xml:space="preserve">→ Citer la source exacte ou écrire « donnée non trouvée dans les sources consultées ».</w:t>
            </w:r>
          </w:p>
        </w:tc>
        <w:tc>
          <w:tcPr>
            <w:tcW w:w="1800" w:type="dxa"/>
            <w:vAlign w:val="top"/>
          </w:tcPr>
          <w:p>
            <w:pPr>
              <w:spacing w:after="0"/>
            </w:pPr>
            <w:r>
              <w:rPr>
                <w:sz w:val="17"/>
                <w:szCs w:val="17"/>
              </w:rPr>
              <w:t xml:space="preserve">PROMPT_V6 (Standard V6, prompt de base du lot) § 3.1</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L5-L102</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LOT_5_Appel_B_V5_Ultra_Pedagogique_Partie_4_DX.8_a_DX.10__export_GoogleDoc__v2.html</w:t>
            </w:r>
          </w:p>
        </w:tc>
        <w:tc>
          <w:tcPr>
            <w:tcW w:w="2350" w:type="dxa"/>
            <w:vAlign w:val="top"/>
          </w:tcPr>
          <w:p>
            <w:pPr>
              <w:spacing w:after="0"/>
            </w:pPr>
            <w:r>
              <w:rPr>
                <w:sz w:val="17"/>
                <w:szCs w:val="17"/>
              </w:rPr>
              <w:t xml:space="preserve">D5.9 › 2. Épidémiologie</w:t>
            </w:r>
          </w:p>
        </w:tc>
        <w:tc>
          <w:tcPr>
            <w:tcW w:w="2600" w:type="dxa"/>
            <w:vAlign w:val="top"/>
          </w:tcPr>
          <w:p>
            <w:pPr>
              <w:spacing w:after="0"/>
            </w:pPr>
            <w:r>
              <w:rPr>
                <w:i/>
                <w:sz w:val="17"/>
                <w:szCs w:val="17"/>
              </w:rPr>
              <w:t xml:space="preserve">« l'endocardite infectieuse touche environ 600 à 800 patients par an »</w:t>
            </w:r>
          </w:p>
        </w:tc>
        <w:tc>
          <w:tcPr>
            <w:tcW w:w="3000" w:type="dxa"/>
            <w:vAlign w:val="top"/>
          </w:tcPr>
          <w:p>
            <w:pPr>
              <w:spacing w:after="40"/>
            </w:pPr>
            <w:r>
              <w:rPr>
                <w:sz w:val="17"/>
                <w:szCs w:val="17"/>
              </w:rPr>
              <w:t xml:space="preserve">Le nombre de cas et l'incidence suisse n'ont pas de source.</w:t>
            </w:r>
          </w:p>
          <w:p>
            <w:pPr>
              <w:spacing w:after="0"/>
            </w:pPr>
            <w:r>
              <w:rPr>
                <w:b/>
                <w:color w:val="145A32"/>
                <w:sz w:val="17"/>
                <w:szCs w:val="17"/>
              </w:rPr>
              <w:t xml:space="preserve">→ Citer l'étude ou le registre suisse, ou écrire « donnée non trouvée dans les sources consultées ».</w:t>
            </w:r>
          </w:p>
        </w:tc>
        <w:tc>
          <w:tcPr>
            <w:tcW w:w="1800" w:type="dxa"/>
            <w:vAlign w:val="top"/>
          </w:tcPr>
          <w:p>
            <w:pPr>
              <w:spacing w:after="0"/>
            </w:pPr>
            <w:r>
              <w:rPr>
                <w:sz w:val="17"/>
                <w:szCs w:val="17"/>
              </w:rPr>
              <w:t xml:space="preserve">PROMPT_V6 (Standard V6, prompt de base du lot) § 3.1</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L5-L103</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LOT_5_Appel_B_V5_Ultra_Pedagogique_Partie_4_DX.8_a_DX.10__export_GoogleDoc__v2.html</w:t>
            </w:r>
          </w:p>
        </w:tc>
        <w:tc>
          <w:tcPr>
            <w:tcW w:w="2350" w:type="dxa"/>
            <w:vAlign w:val="top"/>
          </w:tcPr>
          <w:p>
            <w:pPr>
              <w:spacing w:after="0"/>
            </w:pPr>
            <w:r>
              <w:rPr>
                <w:sz w:val="17"/>
                <w:szCs w:val="17"/>
              </w:rPr>
              <w:t xml:space="preserve">D5.10 › 2. Épidémiologie</w:t>
            </w:r>
          </w:p>
        </w:tc>
        <w:tc>
          <w:tcPr>
            <w:tcW w:w="2600" w:type="dxa"/>
            <w:vAlign w:val="top"/>
          </w:tcPr>
          <w:p>
            <w:pPr>
              <w:spacing w:after="0"/>
            </w:pPr>
            <w:r>
              <w:rPr>
                <w:i/>
                <w:sz w:val="17"/>
                <w:szCs w:val="17"/>
              </w:rPr>
              <w:t xml:space="preserve">« enregistre chaque année entre 300 et 400 appels pour exposition au monoxyde de carbone »</w:t>
            </w:r>
          </w:p>
        </w:tc>
        <w:tc>
          <w:tcPr>
            <w:tcW w:w="3000" w:type="dxa"/>
            <w:vAlign w:val="top"/>
          </w:tcPr>
          <w:p>
            <w:pPr>
              <w:spacing w:after="40"/>
            </w:pPr>
            <w:r>
              <w:rPr>
                <w:sz w:val="17"/>
                <w:szCs w:val="17"/>
              </w:rPr>
              <w:t xml:space="preserve">Les chiffres de Tox Info Suisse sont donnés sans rapport annuel cité et sont incohérents (300–400 appels pour plus de 500–600 personnes intoxiquées).</w:t>
            </w:r>
          </w:p>
          <w:p>
            <w:pPr>
              <w:spacing w:after="0"/>
            </w:pPr>
            <w:r>
              <w:rPr>
                <w:b/>
                <w:color w:val="145A32"/>
                <w:sz w:val="17"/>
                <w:szCs w:val="17"/>
              </w:rPr>
              <w:t xml:space="preserve">→ Citer le rapport annuel de Tox Info Suisse (année, page, URL) et harmoniser les chiffres, ou écrire « donnée non trouvée dans les sources consultées ».</w:t>
            </w:r>
          </w:p>
        </w:tc>
        <w:tc>
          <w:tcPr>
            <w:tcW w:w="1800" w:type="dxa"/>
            <w:vAlign w:val="top"/>
          </w:tcPr>
          <w:p>
            <w:pPr>
              <w:spacing w:after="0"/>
            </w:pPr>
            <w:r>
              <w:rPr>
                <w:sz w:val="17"/>
                <w:szCs w:val="17"/>
              </w:rPr>
              <w:t xml:space="preserve">PROMPT_V6 (Standard V6, prompt de base du lot) § 3.1</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L5-L104</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LOT_5_Appel_B_V5_Ultra_Pedagogique_Partie_4_DX.8_a_DX.10__export_GoogleDoc__v2.html</w:t>
            </w:r>
          </w:p>
        </w:tc>
        <w:tc>
          <w:tcPr>
            <w:tcW w:w="2350" w:type="dxa"/>
            <w:vAlign w:val="top"/>
          </w:tcPr>
          <w:p>
            <w:pPr>
              <w:spacing w:after="0"/>
            </w:pPr>
            <w:r>
              <w:rPr>
                <w:sz w:val="17"/>
                <w:szCs w:val="17"/>
              </w:rPr>
              <w:t xml:space="preserve">D5.9 › 11. Prise en charge › D- Pronostic et recherche 2026</w:t>
            </w:r>
          </w:p>
        </w:tc>
        <w:tc>
          <w:tcPr>
            <w:tcW w:w="2600" w:type="dxa"/>
            <w:vAlign w:val="top"/>
          </w:tcPr>
          <w:p>
            <w:pPr>
              <w:spacing w:after="0"/>
            </w:pPr>
            <w:r>
              <w:rPr>
                <w:i/>
                <w:sz w:val="17"/>
                <w:szCs w:val="17"/>
              </w:rPr>
              <w:t xml:space="preserve">« des thérapies ciblées par bactériophages en association pour les biofilms réfractaires »</w:t>
            </w:r>
          </w:p>
        </w:tc>
        <w:tc>
          <w:tcPr>
            <w:tcW w:w="3000" w:type="dxa"/>
            <w:vAlign w:val="top"/>
          </w:tcPr>
          <w:p>
            <w:pPr>
              <w:spacing w:after="40"/>
            </w:pPr>
            <w:r>
              <w:rPr>
                <w:sz w:val="17"/>
                <w:szCs w:val="17"/>
              </w:rPr>
              <w:t xml:space="preserve">Le fichier présente la phagothérapie comme une prise en charge suisse établie en 2026 sans essai ni source.</w:t>
            </w:r>
          </w:p>
          <w:p>
            <w:pPr>
              <w:spacing w:after="0"/>
            </w:pPr>
            <w:r>
              <w:rPr>
                <w:b/>
                <w:color w:val="145A32"/>
                <w:sz w:val="17"/>
                <w:szCs w:val="17"/>
              </w:rPr>
              <w:t xml:space="preserve">→ Citer l'essai (numéro NCT) et son stade, ou écrire « donnée non trouvée dans les sources consultées ».</w:t>
            </w:r>
          </w:p>
        </w:tc>
        <w:tc>
          <w:tcPr>
            <w:tcW w:w="1800" w:type="dxa"/>
            <w:vAlign w:val="top"/>
          </w:tcPr>
          <w:p>
            <w:pPr>
              <w:spacing w:after="0"/>
            </w:pPr>
            <w:r>
              <w:rPr>
                <w:sz w:val="17"/>
                <w:szCs w:val="17"/>
              </w:rPr>
              <w:t xml:space="preserve">PROMPT_V6 (Standard V6, prompt de base du lot) § 5.11.D</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L5-L105</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LOT_5_Appel_B_V5_Ultra_Pedagogique_Partie_4_DX.8_a_DX.10__export_GoogleDoc__v2.html</w:t>
            </w:r>
          </w:p>
        </w:tc>
        <w:tc>
          <w:tcPr>
            <w:tcW w:w="2350" w:type="dxa"/>
            <w:vAlign w:val="top"/>
          </w:tcPr>
          <w:p>
            <w:pPr>
              <w:spacing w:after="0"/>
            </w:pPr>
            <w:r>
              <w:rPr>
                <w:sz w:val="17"/>
                <w:szCs w:val="17"/>
              </w:rPr>
              <w:t xml:space="preserve">D5.8, D5.9, D5.10 › titres (badges)</w:t>
            </w:r>
          </w:p>
        </w:tc>
        <w:tc>
          <w:tcPr>
            <w:tcW w:w="2600" w:type="dxa"/>
            <w:vAlign w:val="top"/>
          </w:tcPr>
          <w:p>
            <w:pPr>
              <w:spacing w:after="0"/>
            </w:pPr>
            <w:r>
              <w:rPr>
                <w:i/>
                <w:sz w:val="17"/>
                <w:szCs w:val="17"/>
              </w:rPr>
              <w:t xml:space="preserve">« [2,5 %] »</w:t>
            </w:r>
          </w:p>
        </w:tc>
        <w:tc>
          <w:tcPr>
            <w:tcW w:w="3000" w:type="dxa"/>
            <w:vAlign w:val="top"/>
          </w:tcPr>
          <w:p>
            <w:pPr>
              <w:spacing w:after="40"/>
            </w:pPr>
            <w:r>
              <w:rPr>
                <w:sz w:val="17"/>
                <w:szCs w:val="17"/>
              </w:rPr>
              <w:t xml:space="preserve">Les badges [2,5 %], [1,5 %] et [1 %] reprennent les pourcentages non sourcés de l'Appel A.</w:t>
            </w:r>
          </w:p>
          <w:p>
            <w:pPr>
              <w:spacing w:after="0"/>
            </w:pPr>
            <w:r>
              <w:rPr>
                <w:b/>
                <w:color w:val="145A32"/>
                <w:sz w:val="17"/>
                <w:szCs w:val="17"/>
              </w:rPr>
              <w:t xml:space="preserve">→ Remplacer chaque badge par « Ne rang — fréquence non quantifiée (Suisse) » sauf source lue.</w:t>
            </w:r>
          </w:p>
        </w:tc>
        <w:tc>
          <w:tcPr>
            <w:tcW w:w="1800" w:type="dxa"/>
            <w:vAlign w:val="top"/>
          </w:tcPr>
          <w:p>
            <w:pPr>
              <w:spacing w:after="0"/>
            </w:pPr>
            <w:r>
              <w:rPr>
                <w:sz w:val="17"/>
                <w:szCs w:val="17"/>
              </w:rPr>
              <w:t xml:space="preserve">PROMPT_V6 (Standard V6, prompt de base du lot) § 8</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L5-L116</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LOT_5_Appel_B_V5_Ultra_Pedagogique_Partie_4_DX.8_a_DX.10__export_GoogleDoc__v2.html</w:t>
            </w:r>
          </w:p>
        </w:tc>
        <w:tc>
          <w:tcPr>
            <w:tcW w:w="2350" w:type="dxa"/>
            <w:vAlign w:val="top"/>
          </w:tcPr>
          <w:p>
            <w:pPr>
              <w:spacing w:after="0"/>
            </w:pPr>
            <w:r>
              <w:rPr>
                <w:sz w:val="17"/>
                <w:szCs w:val="17"/>
              </w:rPr>
              <w:t xml:space="preserve">D5.8 › 11.B et D5.10 › 12. Prévention (listes nominales)</w:t>
            </w:r>
          </w:p>
        </w:tc>
        <w:tc>
          <w:tcPr>
            <w:tcW w:w="2600" w:type="dxa"/>
            <w:vAlign w:val="top"/>
          </w:tcPr>
          <w:p>
            <w:pPr>
              <w:spacing w:after="0"/>
            </w:pPr>
            <w:r>
              <w:rPr>
                <w:i/>
                <w:sz w:val="17"/>
                <w:szCs w:val="17"/>
              </w:rPr>
              <w:t xml:space="preserve">« Éviter la prescription inutile de psychotropes et d'anticholinergiques chez le sujet âgé »</w:t>
            </w:r>
          </w:p>
        </w:tc>
        <w:tc>
          <w:tcPr>
            <w:tcW w:w="3000" w:type="dxa"/>
            <w:vAlign w:val="top"/>
          </w:tcPr>
          <w:p>
            <w:pPr>
              <w:spacing w:after="40"/>
            </w:pPr>
            <w:r>
              <w:rPr>
                <w:sz w:val="17"/>
                <w:szCs w:val="17"/>
              </w:rPr>
              <w:t xml:space="preserve">Plusieurs points (12 de D5.8, D5.9 et D5.10 ; 11.B) sont rédigés à l'infinitif ou en suites nominales sans verbe conjugué.</w:t>
            </w:r>
          </w:p>
          <w:p>
            <w:pPr>
              <w:spacing w:after="0"/>
            </w:pPr>
            <w:r>
              <w:rPr>
                <w:b/>
                <w:color w:val="145A32"/>
                <w:sz w:val="17"/>
                <w:szCs w:val="17"/>
              </w:rPr>
              <w:t xml:space="preserve">→ Réécrire en phrases verbales : « Le médecin évite les psychotropes et les anticholinergiques inutiles chez la personne âgée. »</w:t>
            </w:r>
          </w:p>
        </w:tc>
        <w:tc>
          <w:tcPr>
            <w:tcW w:w="1800" w:type="dxa"/>
            <w:vAlign w:val="top"/>
          </w:tcPr>
          <w:p>
            <w:pPr>
              <w:spacing w:after="0"/>
            </w:pPr>
            <w:r>
              <w:rPr>
                <w:sz w:val="17"/>
                <w:szCs w:val="17"/>
              </w:rPr>
              <w:t xml:space="preserve">PROMPT_V6 (Standard V6, prompt de base du lot) § 6.1</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L5-L12</w:t>
            </w:r>
          </w:p>
        </w:tc>
        <w:tc>
          <w:tcPr>
            <w:tcW w:w="1250" w:type="dxa"/>
            <w:vAlign w:val="top"/>
          </w:tcPr>
          <w:p>
            <w:pPr>
              <w:spacing w:after="0"/>
            </w:pPr>
            <w:r>
              <w:rPr>
                <w:sz w:val="17"/>
                <w:szCs w:val="17"/>
              </w:rPr>
              <w:t xml:space="preserve">Structure</w:t>
            </w:r>
          </w:p>
        </w:tc>
        <w:tc>
          <w:tcPr>
            <w:tcW w:w="1900" w:type="dxa"/>
            <w:vAlign w:val="top"/>
          </w:tcPr>
          <w:p>
            <w:pPr>
              <w:spacing w:after="0"/>
            </w:pPr>
            <w:r>
              <w:rPr>
                <w:sz w:val="17"/>
                <w:szCs w:val="17"/>
              </w:rPr>
              <w:t xml:space="preserve">LOT_5_V6_Enrichi_8plus_Partie_1_Integral.html</w:t>
            </w:r>
          </w:p>
        </w:tc>
        <w:tc>
          <w:tcPr>
            <w:tcW w:w="2350" w:type="dxa"/>
            <w:vAlign w:val="top"/>
          </w:tcPr>
          <w:p>
            <w:pPr>
              <w:spacing w:after="0"/>
            </w:pPr>
            <w:r>
              <w:rPr>
                <w:sz w:val="17"/>
                <w:szCs w:val="17"/>
              </w:rPr>
              <w:t xml:space="preserve">En-tête › chapeau</w:t>
            </w:r>
          </w:p>
        </w:tc>
        <w:tc>
          <w:tcPr>
            <w:tcW w:w="2600" w:type="dxa"/>
            <w:vAlign w:val="top"/>
          </w:tcPr>
          <w:p>
            <w:pPr>
              <w:spacing w:after="0"/>
            </w:pPr>
            <w:r>
              <w:rPr>
                <w:i/>
                <w:sz w:val="17"/>
                <w:szCs w:val="17"/>
              </w:rPr>
              <w:t xml:space="preserve">« Cette édition réunit le SSP principal et les dix diagnostics du plan initial. »</w:t>
            </w:r>
          </w:p>
        </w:tc>
        <w:tc>
          <w:tcPr>
            <w:tcW w:w="3000" w:type="dxa"/>
            <w:vAlign w:val="top"/>
          </w:tcPr>
          <w:p>
            <w:pPr>
              <w:spacing w:after="40"/>
            </w:pPr>
            <w:r>
              <w:rPr>
                <w:sz w:val="17"/>
                <w:szCs w:val="17"/>
              </w:rPr>
              <w:t xml:space="preserve">Le fichier nommé « Partie_1_Integral » réunit le SSP et les 10 DX dans un seul document, ce qui casse la cadence 2-3-2-3 et le nommage canonique, et il double la Partie 1 Google Docs pour D5.1–D5.2.</w:t>
            </w:r>
          </w:p>
          <w:p>
            <w:pPr>
              <w:spacing w:after="0"/>
            </w:pPr>
            <w:r>
              <w:rPr>
                <w:b/>
                <w:color w:val="145A32"/>
                <w:sz w:val="17"/>
                <w:szCs w:val="17"/>
              </w:rPr>
              <w:t xml:space="preserve">→ Scinder le contenu en cinq fichiers aux noms canoniques (LOT_5_Appel_A_V5_Ultra_Pedagogique_Plan_et_Liste.html, puis Partie_1 à Partie_4) et retirer les versions concurrentes vers CORBEILLE_DOUBLONS_OBSOLETES.</w:t>
            </w:r>
          </w:p>
        </w:tc>
        <w:tc>
          <w:tcPr>
            <w:tcW w:w="1800" w:type="dxa"/>
            <w:vAlign w:val="top"/>
          </w:tcPr>
          <w:p>
            <w:pPr>
              <w:spacing w:after="0"/>
            </w:pPr>
            <w:r>
              <w:rPr>
                <w:sz w:val="17"/>
                <w:szCs w:val="17"/>
              </w:rPr>
              <w:t xml:space="preserve">PROMPT_V6 (Standard V6, prompt de base du lot) § 4, § 12</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L5-L13</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LOT_5_V6_Enrichi_8plus_Partie_1_Integral.html</w:t>
            </w:r>
          </w:p>
        </w:tc>
        <w:tc>
          <w:tcPr>
            <w:tcW w:w="2350" w:type="dxa"/>
            <w:vAlign w:val="top"/>
          </w:tcPr>
          <w:p>
            <w:pPr>
              <w:spacing w:after="0"/>
            </w:pPr>
            <w:r>
              <w:rPr>
                <w:sz w:val="17"/>
                <w:szCs w:val="17"/>
              </w:rPr>
              <w:t xml:space="preserve">Toutes les fenêtres « Consulter la hiérarchie des examens », « Vérifier la portée… », « Consulter les références… » (33 occurrences de title=)</w:t>
            </w:r>
          </w:p>
        </w:tc>
        <w:tc>
          <w:tcPr>
            <w:tcW w:w="2600" w:type="dxa"/>
            <w:vAlign w:val="top"/>
          </w:tcPr>
          <w:p>
            <w:pPr>
              <w:spacing w:after="0"/>
            </w:pPr>
            <w:r>
              <w:rPr>
                <w:i/>
                <w:sz w:val="17"/>
                <w:szCs w:val="17"/>
              </w:rPr>
              <w:t xml:space="preserve">« Consulter la hiérarchie des examens Gold standard / référence : le test confirme une question précise Aucun examen unique ne confirme la cause du malaise. »</w:t>
            </w:r>
          </w:p>
        </w:tc>
        <w:tc>
          <w:tcPr>
            <w:tcW w:w="3000" w:type="dxa"/>
            <w:vAlign w:val="top"/>
          </w:tcPr>
          <w:p>
            <w:pPr>
              <w:spacing w:after="40"/>
            </w:pPr>
            <w:r>
              <w:rPr>
                <w:sz w:val="17"/>
                <w:szCs w:val="17"/>
              </w:rPr>
              <w:t xml:space="preserve">Les 33 balises &lt;summary&gt; portent un attribut title= servant d'infobulle, procédé interdit par le prompt car illisible au toucher.</w:t>
            </w:r>
          </w:p>
          <w:p>
            <w:pPr>
              <w:spacing w:after="0"/>
            </w:pPr>
            <w:r>
              <w:rPr>
                <w:b/>
                <w:color w:val="145A32"/>
                <w:sz w:val="17"/>
                <w:szCs w:val="17"/>
              </w:rPr>
              <w:t xml:space="preserve">→ Supprimer tous les attributs title= des &lt;summary&gt; et placer l'information dans le corps de la fenêtre.</w:t>
            </w:r>
          </w:p>
        </w:tc>
        <w:tc>
          <w:tcPr>
            <w:tcW w:w="1800" w:type="dxa"/>
            <w:vAlign w:val="top"/>
          </w:tcPr>
          <w:p>
            <w:pPr>
              <w:spacing w:after="0"/>
            </w:pPr>
            <w:r>
              <w:rPr>
                <w:sz w:val="17"/>
                <w:szCs w:val="17"/>
              </w:rPr>
              <w:t xml:space="preserve">PROMPT_V6 (Standard V6, prompt de base du lot) § 9 (règles techniques), § 14</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L5-L14</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LOT_5_V6_Enrichi_8plus_Partie_1_Integral.html</w:t>
            </w:r>
          </w:p>
        </w:tc>
        <w:tc>
          <w:tcPr>
            <w:tcW w:w="2350" w:type="dxa"/>
            <w:vAlign w:val="top"/>
          </w:tcPr>
          <w:p>
            <w:pPr>
              <w:spacing w:after="0"/>
            </w:pPr>
            <w:r>
              <w:rPr>
                <w:sz w:val="17"/>
                <w:szCs w:val="17"/>
              </w:rPr>
              <w:t xml:space="preserve">Chaque monographie › « Consulter les références et leur portée »</w:t>
            </w:r>
          </w:p>
        </w:tc>
        <w:tc>
          <w:tcPr>
            <w:tcW w:w="2600" w:type="dxa"/>
            <w:vAlign w:val="top"/>
          </w:tcPr>
          <w:p>
            <w:pPr>
              <w:spacing w:after="0"/>
            </w:pPr>
            <w:r>
              <w:rPr>
                <w:i/>
                <w:sz w:val="17"/>
                <w:szCs w:val="17"/>
              </w:rPr>
              <w:t xml:space="preserve">« sans évaluation clinique appropriée. Consulter les références et leur portée Document Drive de départ Le document Drive fournit le périmètre »</w:t>
            </w:r>
          </w:p>
        </w:tc>
        <w:tc>
          <w:tcPr>
            <w:tcW w:w="3000" w:type="dxa"/>
            <w:vAlign w:val="top"/>
          </w:tcPr>
          <w:p>
            <w:pPr>
              <w:spacing w:after="40"/>
            </w:pPr>
            <w:r>
              <w:rPr>
                <w:sz w:val="17"/>
                <w:szCs w:val="17"/>
              </w:rPr>
              <w:t xml:space="preserve">Le fichier ne possède pas de section Sources numérotée [S1]…[Sn] datée ni de mention de non-validation, et il cite comme référence un Google Docs de départ, ce qui ne constitue pas une source médicale (11 occurrences identiques).</w:t>
            </w:r>
          </w:p>
          <w:p>
            <w:pPr>
              <w:spacing w:after="0"/>
            </w:pPr>
            <w:r>
              <w:rPr>
                <w:b/>
                <w:color w:val="145A32"/>
                <w:sz w:val="17"/>
                <w:szCs w:val="17"/>
              </w:rPr>
              <w:t xml:space="preserve">→ Remplacer ces blocs par une section finale « Sources » [S1]…[Sn] (titre, organisme, année, URL, date de consultation), appeler [Sn] dans le texte et ajouter la mention de non-validation clinique.</w:t>
            </w:r>
          </w:p>
        </w:tc>
        <w:tc>
          <w:tcPr>
            <w:tcW w:w="1800" w:type="dxa"/>
            <w:vAlign w:val="top"/>
          </w:tcPr>
          <w:p>
            <w:pPr>
              <w:spacing w:after="0"/>
            </w:pPr>
            <w:r>
              <w:rPr>
                <w:sz w:val="17"/>
                <w:szCs w:val="17"/>
              </w:rPr>
              <w:t xml:space="preserve">PROMPT_V6 (Standard V6, prompt de base du lot) § 3.8, § 16</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L5-L15</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LOT_5_V6_Enrichi_8plus_Partie_1_Integral.html</w:t>
            </w:r>
          </w:p>
        </w:tc>
        <w:tc>
          <w:tcPr>
            <w:tcW w:w="2350" w:type="dxa"/>
            <w:vAlign w:val="top"/>
          </w:tcPr>
          <w:p>
            <w:pPr>
              <w:spacing w:after="0"/>
            </w:pPr>
            <w:r>
              <w:rPr>
                <w:sz w:val="17"/>
                <w:szCs w:val="17"/>
              </w:rPr>
              <w:t xml:space="preserve">SSP G5 › points 1 à 14 (et les 10 DX)</w:t>
            </w:r>
          </w:p>
        </w:tc>
        <w:tc>
          <w:tcPr>
            <w:tcW w:w="2600" w:type="dxa"/>
            <w:vAlign w:val="top"/>
          </w:tcPr>
          <w:p>
            <w:pPr>
              <w:spacing w:after="0"/>
            </w:pPr>
            <w:r>
              <w:rPr>
                <w:i/>
                <w:sz w:val="17"/>
                <w:szCs w:val="17"/>
              </w:rPr>
              <w:t xml:space="preserve">« Les analyses sont guidées par la gravité et le contexte. »</w:t>
            </w:r>
          </w:p>
        </w:tc>
        <w:tc>
          <w:tcPr>
            <w:tcW w:w="3000" w:type="dxa"/>
            <w:vAlign w:val="top"/>
          </w:tcPr>
          <w:p>
            <w:pPr>
              <w:spacing w:after="40"/>
            </w:pPr>
            <w:r>
              <w:rPr>
                <w:sz w:val="17"/>
                <w:szCs w:val="17"/>
              </w:rPr>
              <w:t xml:space="preserve">Le fichier ne contient aucun tableau, aucune valeur chiffrée avec unité SI, aucune DCI, spécialité suisse ® ni posologie, et aucun tableau d'interprétation d'examen ; il viole les § 5 (9 et 11.B), 6.7 et 13 dans les 11 monographies.</w:t>
            </w:r>
          </w:p>
          <w:p>
            <w:pPr>
              <w:spacing w:after="0"/>
            </w:pPr>
            <w:r>
              <w:rPr>
                <w:b/>
                <w:color w:val="145A32"/>
                <w:sz w:val="17"/>
                <w:szCs w:val="17"/>
              </w:rPr>
              <w:t xml:space="preserve">→ Réintroduire pour chaque monographie les valeurs normales et seuils SI suisses, les tableaux d'interprétation (normal | seuil | signification | conduite) et, au point 11.B, DCI, spécialité ® vérifiée dans l'AIPS, dose, voie, rythme, durée et contre-indications, à partir de sources lues.</w:t>
            </w:r>
          </w:p>
        </w:tc>
        <w:tc>
          <w:tcPr>
            <w:tcW w:w="1800" w:type="dxa"/>
            <w:vAlign w:val="top"/>
          </w:tcPr>
          <w:p>
            <w:pPr>
              <w:spacing w:after="0"/>
            </w:pPr>
            <w:r>
              <w:rPr>
                <w:sz w:val="17"/>
                <w:szCs w:val="17"/>
              </w:rPr>
              <w:t xml:space="preserve">PROMPT_V6 (Standard V6, prompt de base du lot) § 5, § 6.7, § 13</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L5-L16</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LOT_5_V6_Enrichi_8plus_Partie_1_Integral.html</w:t>
            </w:r>
          </w:p>
        </w:tc>
        <w:tc>
          <w:tcPr>
            <w:tcW w:w="2350" w:type="dxa"/>
            <w:vAlign w:val="top"/>
          </w:tcPr>
          <w:p>
            <w:pPr>
              <w:spacing w:after="0"/>
            </w:pPr>
            <w:r>
              <w:rPr>
                <w:sz w:val="17"/>
                <w:szCs w:val="17"/>
              </w:rPr>
              <w:t xml:space="preserve">Toutes les monographies › texte principal</w:t>
            </w:r>
          </w:p>
        </w:tc>
        <w:tc>
          <w:tcPr>
            <w:tcW w:w="2600" w:type="dxa"/>
            <w:vAlign w:val="top"/>
          </w:tcPr>
          <w:p>
            <w:pPr>
              <w:spacing w:after="0"/>
            </w:pPr>
            <w:r>
              <w:rPr>
                <w:i/>
                <w:sz w:val="17"/>
                <w:szCs w:val="17"/>
              </w:rPr>
              <w:t xml:space="preserve">« Le médecin mesure les constantes et la glycémie puis réalise un examen général orienté. »</w:t>
            </w:r>
          </w:p>
        </w:tc>
        <w:tc>
          <w:tcPr>
            <w:tcW w:w="3000" w:type="dxa"/>
            <w:vAlign w:val="top"/>
          </w:tcPr>
          <w:p>
            <w:pPr>
              <w:spacing w:after="40"/>
            </w:pPr>
            <w:r>
              <w:rPr>
                <w:sz w:val="17"/>
                <w:szCs w:val="17"/>
              </w:rPr>
              <w:t xml:space="preserve">Les 33 fenêtres sont génériques (hiérarchie des examens, portée 2026, références) et aucun terme sémiologique, signe, examen ou score n'ouvre de fenêtre explicative avec mécanisme, exemple chiffré, piège et source.</w:t>
            </w:r>
          </w:p>
          <w:p>
            <w:pPr>
              <w:spacing w:after="0"/>
            </w:pPr>
            <w:r>
              <w:rPr>
                <w:b/>
                <w:color w:val="145A32"/>
                <w:sz w:val="17"/>
                <w:szCs w:val="17"/>
              </w:rPr>
              <w:t xml:space="preserve">→ Ajouter une fenêtre &lt;details&gt; sur chaque terme technique (ex. « constantes », « glycémie », « 4AT », « co-oxymétrie ») avec mécanisme pas à pas, exemple chiffré, piège et [Sn].</w:t>
            </w:r>
          </w:p>
        </w:tc>
        <w:tc>
          <w:tcPr>
            <w:tcW w:w="1800" w:type="dxa"/>
            <w:vAlign w:val="top"/>
          </w:tcPr>
          <w:p>
            <w:pPr>
              <w:spacing w:after="0"/>
            </w:pPr>
            <w:r>
              <w:rPr>
                <w:sz w:val="17"/>
                <w:szCs w:val="17"/>
              </w:rPr>
              <w:t xml:space="preserve">PROMPT_V6 (Standard V6, prompt de base du lot) § 7</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L5-L17</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LOT_5_V6_Enrichi_8plus_Partie_1_Integral.html</w:t>
            </w:r>
          </w:p>
        </w:tc>
        <w:tc>
          <w:tcPr>
            <w:tcW w:w="2350" w:type="dxa"/>
            <w:vAlign w:val="top"/>
          </w:tcPr>
          <w:p>
            <w:pPr>
              <w:spacing w:after="0"/>
            </w:pPr>
            <w:r>
              <w:rPr>
                <w:sz w:val="17"/>
                <w:szCs w:val="17"/>
              </w:rPr>
              <w:t xml:space="preserve">D5.1 › points 2, 3, 11.D et 12</w:t>
            </w:r>
          </w:p>
        </w:tc>
        <w:tc>
          <w:tcPr>
            <w:tcW w:w="2600" w:type="dxa"/>
            <w:vAlign w:val="top"/>
          </w:tcPr>
          <w:p>
            <w:pPr>
              <w:spacing w:after="0"/>
            </w:pPr>
            <w:r>
              <w:rPr>
                <w:i/>
                <w:sz w:val="17"/>
                <w:szCs w:val="17"/>
              </w:rPr>
              <w:t xml:space="preserve">« La coqueluche peut toucher des adultes vaccinés dont l'immunité a diminué. »</w:t>
            </w:r>
          </w:p>
        </w:tc>
        <w:tc>
          <w:tcPr>
            <w:tcW w:w="3000" w:type="dxa"/>
            <w:vAlign w:val="top"/>
          </w:tcPr>
          <w:p>
            <w:pPr>
              <w:spacing w:after="40"/>
            </w:pPr>
            <w:r>
              <w:rPr>
                <w:sz w:val="17"/>
                <w:szCs w:val="17"/>
              </w:rPr>
              <w:t xml:space="preserve">La monographie D5.1 (infections virales systémiques) traite de bronchite aiguë et de coqueluche (toux, quintes), contenu manifestement copié d'un autre SSP et hors sujet pour la grippe, le SARS-CoV-2 et les entérovirus.</w:t>
            </w:r>
          </w:p>
          <w:p>
            <w:pPr>
              <w:spacing w:after="0"/>
            </w:pPr>
            <w:r>
              <w:rPr>
                <w:b/>
                <w:color w:val="145A32"/>
                <w:sz w:val="17"/>
                <w:szCs w:val="17"/>
              </w:rPr>
              <w:t xml:space="preserve">→ Réécrire les points 2, 3, 5, 11.D et 12 de D5.1 sur les viroses systémiques (grippe, SARS-CoV-2, adénovirus, entérovirus) à partir des sources OFSP (Sentinella) et SSI.</w:t>
            </w:r>
          </w:p>
        </w:tc>
        <w:tc>
          <w:tcPr>
            <w:tcW w:w="1800" w:type="dxa"/>
            <w:vAlign w:val="top"/>
          </w:tcPr>
          <w:p>
            <w:pPr>
              <w:spacing w:after="0"/>
            </w:pPr>
            <w:r>
              <w:rPr>
                <w:sz w:val="17"/>
                <w:szCs w:val="17"/>
              </w:rPr>
              <w:t xml:space="preserve">PROMPT_V6 (Standard V6, prompt de base du lot) § 5</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L5-L18</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LOT_5_V6_Enrichi_8plus_Partie_1_Integral.html</w:t>
            </w:r>
          </w:p>
        </w:tc>
        <w:tc>
          <w:tcPr>
            <w:tcW w:w="2350" w:type="dxa"/>
            <w:vAlign w:val="top"/>
          </w:tcPr>
          <w:p>
            <w:pPr>
              <w:spacing w:after="0"/>
            </w:pPr>
            <w:r>
              <w:rPr>
                <w:sz w:val="17"/>
                <w:szCs w:val="17"/>
              </w:rPr>
              <w:t xml:space="preserve">D5.10 › « Consulter les références et leur portée »</w:t>
            </w:r>
          </w:p>
        </w:tc>
        <w:tc>
          <w:tcPr>
            <w:tcW w:w="2600" w:type="dxa"/>
            <w:vAlign w:val="top"/>
          </w:tcPr>
          <w:p>
            <w:pPr>
              <w:spacing w:after="0"/>
            </w:pPr>
            <w:r>
              <w:rPr>
                <w:i/>
                <w:sz w:val="17"/>
                <w:szCs w:val="17"/>
              </w:rPr>
              <w:t xml:space="preserve">« CDC — Intoxication au monoxyde de carbone »</w:t>
            </w:r>
          </w:p>
        </w:tc>
        <w:tc>
          <w:tcPr>
            <w:tcW w:w="3000" w:type="dxa"/>
            <w:vAlign w:val="top"/>
          </w:tcPr>
          <w:p>
            <w:pPr>
              <w:spacing w:after="40"/>
            </w:pPr>
            <w:r>
              <w:rPr>
                <w:sz w:val="17"/>
                <w:szCs w:val="17"/>
              </w:rPr>
              <w:t xml:space="preserve">Le fichier cite une source exclusivement américaine (CDC) comme référence de la monographie CO, alors que Tox Info Suisse et le consensus européen d'oxygénothérapie hyperbare sont disponibles.</w:t>
            </w:r>
          </w:p>
          <w:p>
            <w:pPr>
              <w:spacing w:after="0"/>
            </w:pPr>
            <w:r>
              <w:rPr>
                <w:b/>
                <w:color w:val="145A32"/>
                <w:sz w:val="17"/>
                <w:szCs w:val="17"/>
              </w:rPr>
              <w:t xml:space="preserve">→ Remplacer la référence CDC par Tox Info Suisse (fiche monoxyde de carbone) et par le consensus européen de médecine hyperbare (ECHM), lus et datés.</w:t>
            </w:r>
          </w:p>
        </w:tc>
        <w:tc>
          <w:tcPr>
            <w:tcW w:w="1800" w:type="dxa"/>
            <w:vAlign w:val="top"/>
          </w:tcPr>
          <w:p>
            <w:pPr>
              <w:spacing w:after="0"/>
            </w:pPr>
            <w:r>
              <w:rPr>
                <w:sz w:val="17"/>
                <w:szCs w:val="17"/>
              </w:rPr>
              <w:t xml:space="preserve">PROMPT_V6 (Standard V6, prompt de base du lot) § 3.2, § 14</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L5-L22</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LOT_5_Appel_A_V5_Ultra_Pedagogique_Plan_et_Liste__export_GoogleDoc.html</w:t>
            </w:r>
          </w:p>
        </w:tc>
        <w:tc>
          <w:tcPr>
            <w:tcW w:w="2350" w:type="dxa"/>
            <w:vAlign w:val="top"/>
          </w:tcPr>
          <w:p>
            <w:pPr>
              <w:spacing w:after="0"/>
            </w:pPr>
            <w:r>
              <w:rPr>
                <w:sz w:val="17"/>
                <w:szCs w:val="17"/>
              </w:rPr>
              <w:t xml:space="preserve">Bloc 2 › liste D5.1–D5.10 (fin du fichier)</w:t>
            </w:r>
          </w:p>
        </w:tc>
        <w:tc>
          <w:tcPr>
            <w:tcW w:w="2600" w:type="dxa"/>
            <w:vAlign w:val="top"/>
          </w:tcPr>
          <w:p>
            <w:pPr>
              <w:spacing w:after="0"/>
            </w:pPr>
            <w:r>
              <w:rPr>
                <w:i/>
                <w:sz w:val="17"/>
                <w:szCs w:val="17"/>
              </w:rPr>
              <w:t xml:space="preserve">« D5.10 — Intoxication occulte aux gaz et toxiques environnementaux »</w:t>
            </w:r>
          </w:p>
        </w:tc>
        <w:tc>
          <w:tcPr>
            <w:tcW w:w="3000" w:type="dxa"/>
            <w:vAlign w:val="top"/>
          </w:tcPr>
          <w:p>
            <w:pPr>
              <w:spacing w:after="40"/>
            </w:pPr>
            <w:r>
              <w:rPr>
                <w:sz w:val="17"/>
                <w:szCs w:val="17"/>
              </w:rPr>
              <w:t xml:space="preserve">Le Bloc 2 se limite à la liste : il manque la justification de chaque DX, le tableau comparatif des 10 DX (signe clé, examen clé, mécanisme, conduite immédiate) et l'algorithme discriminant exigés.</w:t>
            </w:r>
          </w:p>
          <w:p>
            <w:pPr>
              <w:spacing w:after="0"/>
            </w:pPr>
            <w:r>
              <w:rPr>
                <w:b/>
                <w:color w:val="145A32"/>
                <w:sz w:val="17"/>
                <w:szCs w:val="17"/>
              </w:rPr>
              <w:t xml:space="preserve">→ Ajouter sous la liste le tableau comparatif à 4 colonnes et l'algorithme montrant quel signe ou examen fait passer d'un DX à l'autre, puis une phrase sourcée de justification par DX.</w:t>
            </w:r>
          </w:p>
        </w:tc>
        <w:tc>
          <w:tcPr>
            <w:tcW w:w="1800" w:type="dxa"/>
            <w:vAlign w:val="top"/>
          </w:tcPr>
          <w:p>
            <w:pPr>
              <w:spacing w:after="0"/>
            </w:pPr>
            <w:r>
              <w:rPr>
                <w:sz w:val="17"/>
                <w:szCs w:val="17"/>
              </w:rPr>
              <w:t xml:space="preserve">PROMPT_V6 (Standard V6, prompt de base du lot) § 4.1, § 8</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L5-L23</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LOT_5_Appel_A_V5_Ultra_Pedagogique_Plan_et_Liste__export_GoogleDoc.html</w:t>
            </w:r>
          </w:p>
        </w:tc>
        <w:tc>
          <w:tcPr>
            <w:tcW w:w="2350" w:type="dxa"/>
            <w:vAlign w:val="top"/>
          </w:tcPr>
          <w:p>
            <w:pPr>
              <w:spacing w:after="0"/>
            </w:pPr>
            <w:r>
              <w:rPr>
                <w:sz w:val="17"/>
                <w:szCs w:val="17"/>
              </w:rPr>
              <w:t xml:space="preserve">Bloc 2 › D5.1 à D5.10 › badges</w:t>
            </w:r>
          </w:p>
        </w:tc>
        <w:tc>
          <w:tcPr>
            <w:tcW w:w="2600" w:type="dxa"/>
            <w:vAlign w:val="top"/>
          </w:tcPr>
          <w:p>
            <w:pPr>
              <w:spacing w:after="0"/>
            </w:pPr>
            <w:r>
              <w:rPr>
                <w:i/>
                <w:sz w:val="17"/>
                <w:szCs w:val="17"/>
              </w:rPr>
              <w:t xml:space="preserve">« 35 % — (Première cause absolue de sensation aiguë de maladie »</w:t>
            </w:r>
          </w:p>
        </w:tc>
        <w:tc>
          <w:tcPr>
            <w:tcW w:w="3000" w:type="dxa"/>
            <w:vAlign w:val="top"/>
          </w:tcPr>
          <w:p>
            <w:pPr>
              <w:spacing w:after="40"/>
            </w:pPr>
            <w:r>
              <w:rPr>
                <w:sz w:val="17"/>
                <w:szCs w:val="17"/>
              </w:rPr>
              <w:t xml:space="preserve">Les dix badges (35 %, 18 %, 15 %, 10 %, 8 %, 5 %, 4 %, 2,5 %, 1,5 %, 1 %) totalisent exactement 100 % sans aucune source chiffrée ; ces pourcentages sont non sourcés, donc interdits (10 occurrences).</w:t>
            </w:r>
          </w:p>
          <w:p>
            <w:pPr>
              <w:spacing w:after="0"/>
            </w:pPr>
            <w:r>
              <w:rPr>
                <w:b/>
                <w:color w:val="145A32"/>
                <w:sz w:val="17"/>
                <w:szCs w:val="17"/>
              </w:rPr>
              <w:t xml:space="preserve">→ Remplacer chaque badge par « Ne rang — fréquence non quantifiée (Suisse) » sauf si un pourcentage est trouvé dans une source lue, puis annoncer le critère d'ordre (fréquence pondérée par la gravité).</w:t>
            </w:r>
          </w:p>
        </w:tc>
        <w:tc>
          <w:tcPr>
            <w:tcW w:w="1800" w:type="dxa"/>
            <w:vAlign w:val="top"/>
          </w:tcPr>
          <w:p>
            <w:pPr>
              <w:spacing w:after="0"/>
            </w:pPr>
            <w:r>
              <w:rPr>
                <w:sz w:val="17"/>
                <w:szCs w:val="17"/>
              </w:rPr>
              <w:t xml:space="preserve">PROMPT_V6 (Standard V6, prompt de base du lot) § 8, § 14</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L5-L24</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LOT_5_Appel_A_V5_Ultra_Pedagogique_Plan_et_Liste__export_GoogleDoc.html</w:t>
            </w:r>
          </w:p>
        </w:tc>
        <w:tc>
          <w:tcPr>
            <w:tcW w:w="2350" w:type="dxa"/>
            <w:vAlign w:val="top"/>
          </w:tcPr>
          <w:p>
            <w:pPr>
              <w:spacing w:after="0"/>
            </w:pPr>
            <w:r>
              <w:rPr>
                <w:sz w:val="17"/>
                <w:szCs w:val="17"/>
              </w:rPr>
              <w:t xml:space="preserve">Bloc 1 › 2. Épidémiologie</w:t>
            </w:r>
          </w:p>
        </w:tc>
        <w:tc>
          <w:tcPr>
            <w:tcW w:w="2600" w:type="dxa"/>
            <w:vAlign w:val="top"/>
          </w:tcPr>
          <w:p>
            <w:pPr>
              <w:spacing w:after="0"/>
            </w:pPr>
            <w:r>
              <w:rPr>
                <w:i/>
                <w:sz w:val="17"/>
                <w:szCs w:val="17"/>
              </w:rPr>
              <w:t xml:space="preserve">« motive 8 à 15 % des consultations (atteignant plus de 20 % chez le patient gériatrique de plus de 75 ans »</w:t>
            </w:r>
          </w:p>
        </w:tc>
        <w:tc>
          <w:tcPr>
            <w:tcW w:w="3000" w:type="dxa"/>
            <w:vAlign w:val="top"/>
          </w:tcPr>
          <w:p>
            <w:pPr>
              <w:spacing w:after="40"/>
            </w:pPr>
            <w:r>
              <w:rPr>
                <w:sz w:val="17"/>
                <w:szCs w:val="17"/>
              </w:rPr>
              <w:t xml:space="preserve">Les chiffres (8 à 15 %, &gt; 20 %, &gt; 30 %) sont attribués en bloc à la SSMIG et à la Revue Médicale Suisse sans titre, année ni URL ; ils sont donc non sourcés.</w:t>
            </w:r>
          </w:p>
          <w:p>
            <w:pPr>
              <w:spacing w:after="0"/>
            </w:pPr>
            <w:r>
              <w:rPr>
                <w:b/>
                <w:color w:val="145A32"/>
                <w:sz w:val="17"/>
                <w:szCs w:val="17"/>
              </w:rPr>
              <w:t xml:space="preserve">→ Écrire « donnée non trouvée dans les sources consultées » pour ces proportions ou citer la publication exacte [Sn] qui les contient, et envoyer la question dans le fichier HELP.</w:t>
            </w:r>
          </w:p>
        </w:tc>
        <w:tc>
          <w:tcPr>
            <w:tcW w:w="1800" w:type="dxa"/>
            <w:vAlign w:val="top"/>
          </w:tcPr>
          <w:p>
            <w:pPr>
              <w:spacing w:after="0"/>
            </w:pPr>
            <w:r>
              <w:rPr>
                <w:sz w:val="17"/>
                <w:szCs w:val="17"/>
              </w:rPr>
              <w:t xml:space="preserve">PROMPT_V6 (Standard V6, prompt de base du lot) § 3.1, § 3.7, § 14</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L5-L25</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LOT_5_Appel_A_V5_Ultra_Pedagogique_Plan_et_Liste__export_GoogleDoc.html</w:t>
            </w:r>
          </w:p>
        </w:tc>
        <w:tc>
          <w:tcPr>
            <w:tcW w:w="2350" w:type="dxa"/>
            <w:vAlign w:val="top"/>
          </w:tcPr>
          <w:p>
            <w:pPr>
              <w:spacing w:after="0"/>
            </w:pPr>
            <w:r>
              <w:rPr>
                <w:sz w:val="17"/>
                <w:szCs w:val="17"/>
              </w:rPr>
              <w:t xml:space="preserve">Bloc 1 › 13. Points clés</w:t>
            </w:r>
          </w:p>
        </w:tc>
        <w:tc>
          <w:tcPr>
            <w:tcW w:w="2600" w:type="dxa"/>
            <w:vAlign w:val="top"/>
          </w:tcPr>
          <w:p>
            <w:pPr>
              <w:spacing w:after="0"/>
            </w:pPr>
            <w:r>
              <w:rPr>
                <w:i/>
                <w:sz w:val="17"/>
                <w:szCs w:val="17"/>
              </w:rPr>
              <w:t xml:space="preserve">« se présentent dans plus de 30 % des cas sans fièvre ni douleur localisée »</w:t>
            </w:r>
          </w:p>
        </w:tc>
        <w:tc>
          <w:tcPr>
            <w:tcW w:w="3000" w:type="dxa"/>
            <w:vAlign w:val="top"/>
          </w:tcPr>
          <w:p>
            <w:pPr>
              <w:spacing w:after="40"/>
            </w:pPr>
            <w:r>
              <w:rPr>
                <w:sz w:val="17"/>
                <w:szCs w:val="17"/>
              </w:rPr>
              <w:t xml:space="preserve">Le pourcentage « plus de 30 % » n'a pas de source et le point ne contient qu'une seule phrase longue au lieu de 3 à 6 phrases courtes.</w:t>
            </w:r>
          </w:p>
          <w:p>
            <w:pPr>
              <w:spacing w:after="0"/>
            </w:pPr>
            <w:r>
              <w:rPr>
                <w:b/>
                <w:color w:val="145A32"/>
                <w:sz w:val="17"/>
                <w:szCs w:val="17"/>
              </w:rPr>
              <w:t xml:space="preserve">→ Supprimer le pourcentage ou le sourcer, puis rédiger 3 à 6 phrases courtes et verbales ; à défaut de source, écrire « donnée non trouvée dans les sources consultées ».</w:t>
            </w:r>
          </w:p>
        </w:tc>
        <w:tc>
          <w:tcPr>
            <w:tcW w:w="1800" w:type="dxa"/>
            <w:vAlign w:val="top"/>
          </w:tcPr>
          <w:p>
            <w:pPr>
              <w:spacing w:after="0"/>
            </w:pPr>
            <w:r>
              <w:rPr>
                <w:sz w:val="17"/>
                <w:szCs w:val="17"/>
              </w:rPr>
              <w:t xml:space="preserve">PROMPT_V6 (Standard V6, prompt de base du lot) § 5.13, § 14</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L5-L26</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LOT_5_Appel_A_V5_Ultra_Pedagogique_Plan_et_Liste__export_GoogleDoc.html</w:t>
            </w:r>
          </w:p>
        </w:tc>
        <w:tc>
          <w:tcPr>
            <w:tcW w:w="2350" w:type="dxa"/>
            <w:vAlign w:val="top"/>
          </w:tcPr>
          <w:p>
            <w:pPr>
              <w:spacing w:after="0"/>
            </w:pPr>
            <w:r>
              <w:rPr>
                <w:sz w:val="17"/>
                <w:szCs w:val="17"/>
              </w:rPr>
              <w:t xml:space="preserve">Bloc 1 › 3. Physiopathologie › Fenêtre Bio-Mathématique 3.1 (qSOFA &amp; NEWS-2)</w:t>
            </w:r>
          </w:p>
        </w:tc>
        <w:tc>
          <w:tcPr>
            <w:tcW w:w="2600" w:type="dxa"/>
            <w:vAlign w:val="top"/>
          </w:tcPr>
          <w:p>
            <w:pPr>
              <w:spacing w:after="0"/>
            </w:pPr>
            <w:r>
              <w:rPr>
                <w:i/>
                <w:sz w:val="17"/>
                <w:szCs w:val="17"/>
              </w:rPr>
              <w:t xml:space="preserve">« Le clinicien calcule au lit du malade le score qSOFA »</w:t>
            </w:r>
          </w:p>
        </w:tc>
        <w:tc>
          <w:tcPr>
            <w:tcW w:w="3000" w:type="dxa"/>
            <w:vAlign w:val="top"/>
          </w:tcPr>
          <w:p>
            <w:pPr>
              <w:spacing w:after="40"/>
            </w:pPr>
            <w:r>
              <w:rPr>
                <w:sz w:val="17"/>
                <w:szCs w:val="17"/>
              </w:rPr>
              <w:t xml:space="preserve">La fenêtre présente le qSOFA comme outil de dépistage du sepsis alors que les recommandations SSC 2026 déconseillent le qSOFA seul et privilégient NEWS/NEWS2 ; le NEWS-2 annoncé dans le titre n'est jamais développé.</w:t>
            </w:r>
          </w:p>
          <w:p>
            <w:pPr>
              <w:spacing w:after="0"/>
            </w:pPr>
            <w:r>
              <w:rPr>
                <w:b/>
                <w:color w:val="145A32"/>
                <w:sz w:val="17"/>
                <w:szCs w:val="17"/>
              </w:rPr>
              <w:t xml:space="preserve">→ Présenter d'abord le NEWS2 (paramètres, cotation, seuils et conduite), puis indiquer que le qSOFA ne doit pas servir seul au dépistage selon la SSC 2026 ; garder le qSOFA comme indicateur pronostique.</w:t>
            </w:r>
          </w:p>
        </w:tc>
        <w:tc>
          <w:tcPr>
            <w:tcW w:w="1800" w:type="dxa"/>
            <w:vAlign w:val="top"/>
          </w:tcPr>
          <w:p>
            <w:pPr>
              <w:spacing w:after="0"/>
            </w:pPr>
            <w:r>
              <w:rPr>
                <w:sz w:val="17"/>
                <w:szCs w:val="17"/>
              </w:rPr>
              <w:t xml:space="preserve">Surviving Sepsis Campaign : International Guidelines for Management of Sepsis and Septic Shock 2026 — SCCM/ESICM — 2026 — https://www.sccm.org/clinical-resources/guidelines/guidelines/surviving-sepsis-campaign-international-guidelines-for-management-of-sepsis-and-septic-shock-2026 ; annonce ESICM https://www.esicm.org/?p=449735 — consultés le 22.10.2026</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L5-L28</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LOT_5_Appel_A_V5_Ultra_Pedagogique_Plan_et_Liste__export_GoogleDoc.html</w:t>
            </w:r>
          </w:p>
        </w:tc>
        <w:tc>
          <w:tcPr>
            <w:tcW w:w="2350" w:type="dxa"/>
            <w:vAlign w:val="top"/>
          </w:tcPr>
          <w:p>
            <w:pPr>
              <w:spacing w:after="0"/>
            </w:pPr>
            <w:r>
              <w:rPr>
                <w:sz w:val="17"/>
                <w:szCs w:val="17"/>
              </w:rPr>
              <w:t xml:space="preserve">Bloc 1 › 11. Prise en charge › D- Pronostic et recherche 2026</w:t>
            </w:r>
          </w:p>
        </w:tc>
        <w:tc>
          <w:tcPr>
            <w:tcW w:w="2600" w:type="dxa"/>
            <w:vAlign w:val="top"/>
          </w:tcPr>
          <w:p>
            <w:pPr>
              <w:spacing w:after="0"/>
            </w:pPr>
            <w:r>
              <w:rPr>
                <w:i/>
                <w:sz w:val="17"/>
                <w:szCs w:val="17"/>
              </w:rPr>
              <w:t xml:space="preserve">« qui prédisent avec une précision supérieure à 90 % le risque de dégradation clinique à 7 jours »</w:t>
            </w:r>
          </w:p>
        </w:tc>
        <w:tc>
          <w:tcPr>
            <w:tcW w:w="3000" w:type="dxa"/>
            <w:vAlign w:val="top"/>
          </w:tcPr>
          <w:p>
            <w:pPr>
              <w:spacing w:after="40"/>
            </w:pPr>
            <w:r>
              <w:rPr>
                <w:sz w:val="17"/>
                <w:szCs w:val="17"/>
              </w:rPr>
              <w:t xml:space="preserve">L'affirmation sur le suPAR et la MR-proADM en point-of-care (précision &gt; 90 %, usage en 2026) n'a aucune source et présente comme pratique établie une donnée de recherche.</w:t>
            </w:r>
          </w:p>
          <w:p>
            <w:pPr>
              <w:spacing w:after="0"/>
            </w:pPr>
            <w:r>
              <w:rPr>
                <w:b/>
                <w:color w:val="145A32"/>
                <w:sz w:val="17"/>
                <w:szCs w:val="17"/>
              </w:rPr>
              <w:t xml:space="preserve">→ Supprimer la phrase ou la remplacer par une étude citée avec numéro (NCT ou DOI) ; sans source, écrire « donnée non trouvée dans les sources consultées » et l'envoyer dans HELP.</w:t>
            </w:r>
          </w:p>
        </w:tc>
        <w:tc>
          <w:tcPr>
            <w:tcW w:w="1800" w:type="dxa"/>
            <w:vAlign w:val="top"/>
          </w:tcPr>
          <w:p>
            <w:pPr>
              <w:spacing w:after="0"/>
            </w:pPr>
            <w:r>
              <w:rPr>
                <w:sz w:val="17"/>
                <w:szCs w:val="17"/>
              </w:rPr>
              <w:t xml:space="preserve">PROMPT_V6 (Standard V6, prompt de base du lot) § 3.1, § 5.11.D</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L5-L29</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LOT_5_Appel_A_V5_Ultra_Pedagogique_Plan_et_Liste__export_GoogleDoc.html</w:t>
            </w:r>
          </w:p>
        </w:tc>
        <w:tc>
          <w:tcPr>
            <w:tcW w:w="2350" w:type="dxa"/>
            <w:vAlign w:val="top"/>
          </w:tcPr>
          <w:p>
            <w:pPr>
              <w:spacing w:after="0"/>
            </w:pPr>
            <w:r>
              <w:rPr>
                <w:sz w:val="17"/>
                <w:szCs w:val="17"/>
              </w:rPr>
              <w:t xml:space="preserve">Bloc 1 › 11.B Moyens pharmacologiques › 1. et 2.</w:t>
            </w:r>
          </w:p>
        </w:tc>
        <w:tc>
          <w:tcPr>
            <w:tcW w:w="2600" w:type="dxa"/>
            <w:vAlign w:val="top"/>
          </w:tcPr>
          <w:p>
            <w:pPr>
              <w:spacing w:after="0"/>
            </w:pPr>
            <w:r>
              <w:rPr>
                <w:i/>
                <w:sz w:val="17"/>
                <w:szCs w:val="17"/>
              </w:rPr>
              <w:t xml:space="preserve">« Classe : Analgésique-antipyrétique non opioïde. Molécule : Paracétamol »</w:t>
            </w:r>
          </w:p>
        </w:tc>
        <w:tc>
          <w:tcPr>
            <w:tcW w:w="3000" w:type="dxa"/>
            <w:vAlign w:val="top"/>
          </w:tcPr>
          <w:p>
            <w:pPr>
              <w:spacing w:after="40"/>
            </w:pPr>
            <w:r>
              <w:rPr>
                <w:sz w:val="17"/>
                <w:szCs w:val="17"/>
              </w:rPr>
              <w:t xml:space="preserve">Les moyens pharmacologiques et non médicamenteux sont rédigés en listes télégraphiques nominales (« Classe : … Molécule : … Posologie : … », « Repos adaptatif, hydratation… »), ce que le prompt interdit.</w:t>
            </w:r>
          </w:p>
          <w:p>
            <w:pPr>
              <w:spacing w:after="0"/>
            </w:pPr>
            <w:r>
              <w:rPr>
                <w:b/>
                <w:color w:val="145A32"/>
                <w:sz w:val="17"/>
                <w:szCs w:val="17"/>
              </w:rPr>
              <w:t xml:space="preserve">→ Le médecin prescrit un antalgique-antipyrétique non opioïde, le paracétamol (Dafalgan®), à raison de 500 mg à 1 g per os toutes les 6 à 8 heures, sans dépasser 4 g par jour chez l'adulte sain.</w:t>
            </w:r>
          </w:p>
        </w:tc>
        <w:tc>
          <w:tcPr>
            <w:tcW w:w="1800" w:type="dxa"/>
            <w:vAlign w:val="top"/>
          </w:tcPr>
          <w:p>
            <w:pPr>
              <w:spacing w:after="0"/>
            </w:pPr>
            <w:r>
              <w:rPr>
                <w:sz w:val="17"/>
                <w:szCs w:val="17"/>
              </w:rPr>
              <w:t xml:space="preserve">PROMPT_V6 (Standard V6, prompt de base du lot) § 6.1</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L5-L35</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LOT_5_Appel_B_V5_Ultra_Pedagogique_Partie_1_DX.1_a_DX.2__export_GoogleDoc.html</w:t>
            </w:r>
          </w:p>
        </w:tc>
        <w:tc>
          <w:tcPr>
            <w:tcW w:w="2350" w:type="dxa"/>
            <w:vAlign w:val="top"/>
          </w:tcPr>
          <w:p>
            <w:pPr>
              <w:spacing w:after="0"/>
            </w:pPr>
            <w:r>
              <w:rPr>
                <w:sz w:val="17"/>
                <w:szCs w:val="17"/>
              </w:rPr>
              <w:t xml:space="preserve">D5.1 › 11.B › Antiviraux › 1. Grippe › Oseltamivir</w:t>
            </w:r>
          </w:p>
        </w:tc>
        <w:tc>
          <w:tcPr>
            <w:tcW w:w="2600" w:type="dxa"/>
            <w:vAlign w:val="top"/>
          </w:tcPr>
          <w:p>
            <w:pPr>
              <w:spacing w:after="0"/>
            </w:pPr>
            <w:r>
              <w:rPr>
                <w:i/>
                <w:sz w:val="17"/>
                <w:szCs w:val="17"/>
              </w:rPr>
              <w:t xml:space="preserve">« adapter à 75 mg 1x/j si entre 30 et 60 mL/min »</w:t>
            </w:r>
          </w:p>
        </w:tc>
        <w:tc>
          <w:tcPr>
            <w:tcW w:w="3000" w:type="dxa"/>
            <w:vAlign w:val="top"/>
          </w:tcPr>
          <w:p>
            <w:pPr>
              <w:spacing w:after="40"/>
            </w:pPr>
            <w:r>
              <w:rPr>
                <w:sz w:val="17"/>
                <w:szCs w:val="17"/>
              </w:rPr>
              <w:t xml:space="preserve">L'adaptation rénale est fausse : pour une clairance de la créatinine &gt; 30 à 60 mL/min, la dose curative d'oseltamivir est 30 mg deux fois par jour ; 30 mg une fois par jour concerne &gt; 10 à 30 mL/min.</w:t>
            </w:r>
          </w:p>
          <w:p>
            <w:pPr>
              <w:spacing w:after="0"/>
            </w:pPr>
            <w:r>
              <w:rPr>
                <w:b/>
                <w:color w:val="145A32"/>
                <w:sz w:val="17"/>
                <w:szCs w:val="17"/>
              </w:rPr>
              <w:t xml:space="preserve">→ Écrire : « adapter à 30 mg 2 fois par jour si la clairance est &gt; 30 à 60 mL/min, à 30 mg 1 fois par jour si elle est &gt; 10 à 30 mL/min ; ne pas utiliser si ≤ 10 mL/min hors dialyse » et vérifier l'information professionnelle suisse Tamiflu®.</w:t>
            </w:r>
          </w:p>
        </w:tc>
        <w:tc>
          <w:tcPr>
            <w:tcW w:w="1800" w:type="dxa"/>
            <w:vAlign w:val="top"/>
          </w:tcPr>
          <w:p>
            <w:pPr>
              <w:spacing w:after="0"/>
            </w:pPr>
            <w:r>
              <w:rPr>
                <w:sz w:val="17"/>
                <w:szCs w:val="17"/>
              </w:rPr>
              <w:t xml:space="preserve">EMA — Tamiflu, Résumé des caractéristiques du produit, rubrique 4.2 « Renal impairment » — https://www.ema.europa.eu/en/documents/product-information/tamiflu-epar-product-information_en.pdf — consulté le 22.10.2026</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L5-L37</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LOT_5_Appel_B_V5_Ultra_Pedagogique_Partie_1_DX.1_a_DX.2__export_GoogleDoc.html</w:t>
            </w:r>
          </w:p>
        </w:tc>
        <w:tc>
          <w:tcPr>
            <w:tcW w:w="2350" w:type="dxa"/>
            <w:vAlign w:val="top"/>
          </w:tcPr>
          <w:p>
            <w:pPr>
              <w:spacing w:after="0"/>
            </w:pPr>
            <w:r>
              <w:rPr>
                <w:sz w:val="17"/>
                <w:szCs w:val="17"/>
              </w:rPr>
              <w:t xml:space="preserve">D5.1 › 2. Épidémiologie</w:t>
            </w:r>
          </w:p>
        </w:tc>
        <w:tc>
          <w:tcPr>
            <w:tcW w:w="2600" w:type="dxa"/>
            <w:vAlign w:val="top"/>
          </w:tcPr>
          <w:p>
            <w:pPr>
              <w:spacing w:after="0"/>
            </w:pPr>
            <w:r>
              <w:rPr>
                <w:i/>
                <w:sz w:val="17"/>
                <w:szCs w:val="17"/>
              </w:rPr>
              <w:t xml:space="preserve">« entre 150 000 et 350 000 consultations médicales en Suisse (représentant 35 % de toutes les plaintes aiguës »</w:t>
            </w:r>
          </w:p>
        </w:tc>
        <w:tc>
          <w:tcPr>
            <w:tcW w:w="3000" w:type="dxa"/>
            <w:vAlign w:val="top"/>
          </w:tcPr>
          <w:p>
            <w:pPr>
              <w:spacing w:after="40"/>
            </w:pPr>
            <w:r>
              <w:rPr>
                <w:sz w:val="17"/>
                <w:szCs w:val="17"/>
              </w:rPr>
              <w:t xml:space="preserve">Les chiffres sont attribués à Sentinella sans saison, rapport ni URL, et la proportion de 35 % n'apparaît dans aucune publication Sentinella citée.</w:t>
            </w:r>
          </w:p>
          <w:p>
            <w:pPr>
              <w:spacing w:after="0"/>
            </w:pPr>
            <w:r>
              <w:rPr>
                <w:b/>
                <w:color w:val="145A32"/>
                <w:sz w:val="17"/>
                <w:szCs w:val="17"/>
              </w:rPr>
              <w:t xml:space="preserve">→ Citer le bulletin Sentinella de l'OFSP correspondant (saison, page, URL, date) ou écrire « donnée non trouvée dans les sources consultées » pour la proportion de 35 %.</w:t>
            </w:r>
          </w:p>
        </w:tc>
        <w:tc>
          <w:tcPr>
            <w:tcW w:w="1800" w:type="dxa"/>
            <w:vAlign w:val="top"/>
          </w:tcPr>
          <w:p>
            <w:pPr>
              <w:spacing w:after="0"/>
            </w:pPr>
            <w:r>
              <w:rPr>
                <w:sz w:val="17"/>
                <w:szCs w:val="17"/>
              </w:rPr>
              <w:t xml:space="preserve">PROMPT_V6 (Standard V6, prompt de base du lot) § 3.1, § 8</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L5-L38</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LOT_5_Appel_B_V5_Ultra_Pedagogique_Partie_1_DX.1_a_DX.2__export_GoogleDoc.html</w:t>
            </w:r>
          </w:p>
        </w:tc>
        <w:tc>
          <w:tcPr>
            <w:tcW w:w="2350" w:type="dxa"/>
            <w:vAlign w:val="top"/>
          </w:tcPr>
          <w:p>
            <w:pPr>
              <w:spacing w:after="0"/>
            </w:pPr>
            <w:r>
              <w:rPr>
                <w:sz w:val="17"/>
                <w:szCs w:val="17"/>
              </w:rPr>
              <w:t xml:space="preserve">D5.1 et D5.2 › titres (badges)</w:t>
            </w:r>
          </w:p>
        </w:tc>
        <w:tc>
          <w:tcPr>
            <w:tcW w:w="2600" w:type="dxa"/>
            <w:vAlign w:val="top"/>
          </w:tcPr>
          <w:p>
            <w:pPr>
              <w:spacing w:after="0"/>
            </w:pPr>
            <w:r>
              <w:rPr>
                <w:i/>
                <w:sz w:val="17"/>
                <w:szCs w:val="17"/>
              </w:rPr>
              <w:t xml:space="preserve">« [35 %] »</w:t>
            </w:r>
          </w:p>
        </w:tc>
        <w:tc>
          <w:tcPr>
            <w:tcW w:w="3000" w:type="dxa"/>
            <w:vAlign w:val="top"/>
          </w:tcPr>
          <w:p>
            <w:pPr>
              <w:spacing w:after="40"/>
            </w:pPr>
            <w:r>
              <w:rPr>
                <w:sz w:val="17"/>
                <w:szCs w:val="17"/>
              </w:rPr>
              <w:t xml:space="preserve">Les badges [35 %] et [18 %] des titres reprennent les pourcentages non sourcés de l'Appel A.</w:t>
            </w:r>
          </w:p>
          <w:p>
            <w:pPr>
              <w:spacing w:after="0"/>
            </w:pPr>
            <w:r>
              <w:rPr>
                <w:b/>
                <w:color w:val="145A32"/>
                <w:sz w:val="17"/>
                <w:szCs w:val="17"/>
              </w:rPr>
              <w:t xml:space="preserve">→ Remplacer chaque badge par « Ne rang — fréquence non quantifiée (Suisse) » sauf source lue.</w:t>
            </w:r>
          </w:p>
        </w:tc>
        <w:tc>
          <w:tcPr>
            <w:tcW w:w="1800" w:type="dxa"/>
            <w:vAlign w:val="top"/>
          </w:tcPr>
          <w:p>
            <w:pPr>
              <w:spacing w:after="0"/>
            </w:pPr>
            <w:r>
              <w:rPr>
                <w:sz w:val="17"/>
                <w:szCs w:val="17"/>
              </w:rPr>
              <w:t xml:space="preserve">PROMPT_V6 (Standard V6, prompt de base du lot) § 8</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L5-L39</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LOT_5_Appel_B_V5_Ultra_Pedagogique_Partie_1_DX.1_a_DX.2__export_GoogleDoc.html</w:t>
            </w:r>
          </w:p>
        </w:tc>
        <w:tc>
          <w:tcPr>
            <w:tcW w:w="2350" w:type="dxa"/>
            <w:vAlign w:val="top"/>
          </w:tcPr>
          <w:p>
            <w:pPr>
              <w:spacing w:after="0"/>
            </w:pPr>
            <w:r>
              <w:rPr>
                <w:sz w:val="17"/>
                <w:szCs w:val="17"/>
              </w:rPr>
              <w:t xml:space="preserve">D5.1 › 11. Prise en charge › D- Pronostic et recherche 2026</w:t>
            </w:r>
          </w:p>
        </w:tc>
        <w:tc>
          <w:tcPr>
            <w:tcW w:w="2600" w:type="dxa"/>
            <w:vAlign w:val="top"/>
          </w:tcPr>
          <w:p>
            <w:pPr>
              <w:spacing w:after="0"/>
            </w:pPr>
            <w:r>
              <w:rPr>
                <w:i/>
                <w:sz w:val="17"/>
                <w:szCs w:val="17"/>
              </w:rPr>
              <w:t xml:space="preserve">« la prévention vaccinale suisse intègre les vaccins combinés à ARNm multivalents »</w:t>
            </w:r>
          </w:p>
        </w:tc>
        <w:tc>
          <w:tcPr>
            <w:tcW w:w="3000" w:type="dxa"/>
            <w:vAlign w:val="top"/>
          </w:tcPr>
          <w:p>
            <w:pPr>
              <w:spacing w:after="40"/>
            </w:pPr>
            <w:r>
              <w:rPr>
                <w:sz w:val="17"/>
                <w:szCs w:val="17"/>
              </w:rPr>
              <w:t xml:space="preserve">Le fichier affirme sans source que le plan suisse intègre en 2026 un vaccin combiné ARNm grippe/SARS-CoV-2 ; aucune autorisation Swissmedic ni recommandation OFSP n'est citée.</w:t>
            </w:r>
          </w:p>
          <w:p>
            <w:pPr>
              <w:spacing w:after="0"/>
            </w:pPr>
            <w:r>
              <w:rPr>
                <w:b/>
                <w:color w:val="145A32"/>
                <w:sz w:val="17"/>
                <w:szCs w:val="17"/>
              </w:rPr>
              <w:t xml:space="preserve">→ Supprimer l'affirmation ou citer la décision Swissmedic et le Plan de vaccination suisse 2026 ; sans source, écrire « donnée non trouvée dans les sources consultées ».</w:t>
            </w:r>
          </w:p>
        </w:tc>
        <w:tc>
          <w:tcPr>
            <w:tcW w:w="1800" w:type="dxa"/>
            <w:vAlign w:val="top"/>
          </w:tcPr>
          <w:p>
            <w:pPr>
              <w:spacing w:after="0"/>
            </w:pPr>
            <w:r>
              <w:rPr>
                <w:sz w:val="17"/>
                <w:szCs w:val="17"/>
              </w:rPr>
              <w:t xml:space="preserve">PROMPT_V6 (Standard V6, prompt de base du lot) § 3.1, § 3.3</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L5-L40</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LOT_5_Appel_B_V5_Ultra_Pedagogique_Partie_1_DX.1_a_DX.2__export_GoogleDoc.html</w:t>
            </w:r>
          </w:p>
        </w:tc>
        <w:tc>
          <w:tcPr>
            <w:tcW w:w="2350" w:type="dxa"/>
            <w:vAlign w:val="top"/>
          </w:tcPr>
          <w:p>
            <w:pPr>
              <w:spacing w:after="0"/>
            </w:pPr>
            <w:r>
              <w:rPr>
                <w:sz w:val="17"/>
                <w:szCs w:val="17"/>
              </w:rPr>
              <w:t xml:space="preserve">D5.2 › 11. Prise en charge › D- Pronostic et recherche 2026</w:t>
            </w:r>
          </w:p>
        </w:tc>
        <w:tc>
          <w:tcPr>
            <w:tcW w:w="2600" w:type="dxa"/>
            <w:vAlign w:val="top"/>
          </w:tcPr>
          <w:p>
            <w:pPr>
              <w:spacing w:after="0"/>
            </w:pPr>
            <w:r>
              <w:rPr>
                <w:i/>
                <w:sz w:val="17"/>
                <w:szCs w:val="17"/>
              </w:rPr>
              <w:t xml:space="preserve">« la pratique clinique en Suisse déploie le passeport pharmacogénétique préventif »</w:t>
            </w:r>
          </w:p>
        </w:tc>
        <w:tc>
          <w:tcPr>
            <w:tcW w:w="3000" w:type="dxa"/>
            <w:vAlign w:val="top"/>
          </w:tcPr>
          <w:p>
            <w:pPr>
              <w:spacing w:after="40"/>
            </w:pPr>
            <w:r>
              <w:rPr>
                <w:sz w:val="17"/>
                <w:szCs w:val="17"/>
              </w:rPr>
              <w:t xml:space="preserve">Le déploiement d'un passeport pharmacogénétique intégré aux logiciels hospitaliers suisses en 2026 n'est appuyé par aucune source.</w:t>
            </w:r>
          </w:p>
          <w:p>
            <w:pPr>
              <w:spacing w:after="0"/>
            </w:pPr>
            <w:r>
              <w:rPr>
                <w:b/>
                <w:color w:val="145A32"/>
                <w:sz w:val="17"/>
                <w:szCs w:val="17"/>
              </w:rPr>
              <w:t xml:space="preserve">→ Remplacer par l'état réel de la recherche avec référence (essai, numéro NCT ou publication) ou écrire « donnée non trouvée dans les sources consultées ».</w:t>
            </w:r>
          </w:p>
        </w:tc>
        <w:tc>
          <w:tcPr>
            <w:tcW w:w="1800" w:type="dxa"/>
            <w:vAlign w:val="top"/>
          </w:tcPr>
          <w:p>
            <w:pPr>
              <w:spacing w:after="0"/>
            </w:pPr>
            <w:r>
              <w:rPr>
                <w:sz w:val="17"/>
                <w:szCs w:val="17"/>
              </w:rPr>
              <w:t xml:space="preserve">PROMPT_V6 (Standard V6, prompt de base du lot) § 3.1, § 5.11.D</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L5-L41</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LOT_5_Appel_B_V5_Ultra_Pedagogique_Partie_1_DX.1_a_DX.2__export_GoogleDoc.html</w:t>
            </w:r>
          </w:p>
        </w:tc>
        <w:tc>
          <w:tcPr>
            <w:tcW w:w="2350" w:type="dxa"/>
            <w:vAlign w:val="top"/>
          </w:tcPr>
          <w:p>
            <w:pPr>
              <w:spacing w:after="0"/>
            </w:pPr>
            <w:r>
              <w:rPr>
                <w:sz w:val="17"/>
                <w:szCs w:val="17"/>
              </w:rPr>
              <w:t xml:space="preserve">D5.2 › 2. Épidémiologie</w:t>
            </w:r>
          </w:p>
        </w:tc>
        <w:tc>
          <w:tcPr>
            <w:tcW w:w="2600" w:type="dxa"/>
            <w:vAlign w:val="top"/>
          </w:tcPr>
          <w:p>
            <w:pPr>
              <w:spacing w:after="0"/>
            </w:pPr>
            <w:r>
              <w:rPr>
                <w:i/>
                <w:sz w:val="17"/>
                <w:szCs w:val="17"/>
              </w:rPr>
              <w:t xml:space="preserve">« représentent 18 % des plaintes de malaise non spécifique en ambulatoire »</w:t>
            </w:r>
          </w:p>
        </w:tc>
        <w:tc>
          <w:tcPr>
            <w:tcW w:w="3000" w:type="dxa"/>
            <w:vAlign w:val="top"/>
          </w:tcPr>
          <w:p>
            <w:pPr>
              <w:spacing w:after="40"/>
            </w:pPr>
            <w:r>
              <w:rPr>
                <w:sz w:val="17"/>
                <w:szCs w:val="17"/>
              </w:rPr>
              <w:t xml:space="preserve">Les proportions (18 %, 5 à 10 %, 15 à 20 %) sont attribuées à « Swissmedic et SSMIG » sans document identifiable.</w:t>
            </w:r>
          </w:p>
          <w:p>
            <w:pPr>
              <w:spacing w:after="0"/>
            </w:pPr>
            <w:r>
              <w:rPr>
                <w:b/>
                <w:color w:val="145A32"/>
                <w:sz w:val="17"/>
                <w:szCs w:val="17"/>
              </w:rPr>
              <w:t xml:space="preserve">→ Citer le rapport exact (Swissmedic Vigilance-News, étude suisse publiée) ou écrire « donnée non trouvée dans les sources consultées ».</w:t>
            </w:r>
          </w:p>
        </w:tc>
        <w:tc>
          <w:tcPr>
            <w:tcW w:w="1800" w:type="dxa"/>
            <w:vAlign w:val="top"/>
          </w:tcPr>
          <w:p>
            <w:pPr>
              <w:spacing w:after="0"/>
            </w:pPr>
            <w:r>
              <w:rPr>
                <w:sz w:val="17"/>
                <w:szCs w:val="17"/>
              </w:rPr>
              <w:t xml:space="preserve">PROMPT_V6 (Standard V6, prompt de base du lot) § 3.1</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L5-L45</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LOT_5_Appel_B_V5_Ultra_Pedagogique_Partie_1_DX.1_a_DX.2__export_GoogleDoc.html</w:t>
            </w:r>
          </w:p>
        </w:tc>
        <w:tc>
          <w:tcPr>
            <w:tcW w:w="2350" w:type="dxa"/>
            <w:vAlign w:val="top"/>
          </w:tcPr>
          <w:p>
            <w:pPr>
              <w:spacing w:after="0"/>
            </w:pPr>
            <w:r>
              <w:rPr>
                <w:sz w:val="17"/>
                <w:szCs w:val="17"/>
              </w:rPr>
              <w:t xml:space="preserve">D5.1 › 11.B › Moyens pharmacologiques (et D5.2 › 11.B)</w:t>
            </w:r>
          </w:p>
        </w:tc>
        <w:tc>
          <w:tcPr>
            <w:tcW w:w="2600" w:type="dxa"/>
            <w:vAlign w:val="top"/>
          </w:tcPr>
          <w:p>
            <w:pPr>
              <w:spacing w:after="0"/>
            </w:pPr>
            <w:r>
              <w:rPr>
                <w:i/>
                <w:sz w:val="17"/>
                <w:szCs w:val="17"/>
              </w:rPr>
              <w:t xml:space="preserve">« Classe : Analgésique-antipyrétique non opioïde. Molécule : Paracétamol (Nom commercial suisse : Dafalgan®). »</w:t>
            </w:r>
          </w:p>
        </w:tc>
        <w:tc>
          <w:tcPr>
            <w:tcW w:w="3000" w:type="dxa"/>
            <w:vAlign w:val="top"/>
          </w:tcPr>
          <w:p>
            <w:pPr>
              <w:spacing w:after="40"/>
            </w:pPr>
            <w:r>
              <w:rPr>
                <w:sz w:val="17"/>
                <w:szCs w:val="17"/>
              </w:rPr>
              <w:t xml:space="preserve">Les traitements sont rédigés en fiches nominales (« Classe : … Molécule : … Posologie : … ») et le point 12 commence par une phrase nominale (« Vaccination antigrippale annuelle… »).</w:t>
            </w:r>
          </w:p>
          <w:p>
            <w:pPr>
              <w:spacing w:after="0"/>
            </w:pPr>
            <w:r>
              <w:rPr>
                <w:b/>
                <w:color w:val="145A32"/>
                <w:sz w:val="17"/>
                <w:szCs w:val="17"/>
              </w:rPr>
              <w:t xml:space="preserve">→ Réécrire en phrases verbales : « Le médecin prescrit du paracétamol (Dafalgan®) à 500 mg–1 g per os toutes les 6 à 8 heures, au maximum 4 g par jour. » ; « L'OFSP recommande la vaccination antigrippale annuelle… ».</w:t>
            </w:r>
          </w:p>
        </w:tc>
        <w:tc>
          <w:tcPr>
            <w:tcW w:w="1800" w:type="dxa"/>
            <w:vAlign w:val="top"/>
          </w:tcPr>
          <w:p>
            <w:pPr>
              <w:spacing w:after="0"/>
            </w:pPr>
            <w:r>
              <w:rPr>
                <w:sz w:val="17"/>
                <w:szCs w:val="17"/>
              </w:rPr>
              <w:t xml:space="preserve">PROMPT_V6 (Standard V6, prompt de base du lot) § 6.1</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L5-L49</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LOT_5_Appel_B_V5_Ultra_Pedagogique_Partie_2_DX.3_a_DX.5__export_GoogleDoc.html</w:t>
            </w:r>
          </w:p>
        </w:tc>
        <w:tc>
          <w:tcPr>
            <w:tcW w:w="2350" w:type="dxa"/>
            <w:vAlign w:val="top"/>
          </w:tcPr>
          <w:p>
            <w:pPr>
              <w:spacing w:after="0"/>
            </w:pPr>
            <w:r>
              <w:rPr>
                <w:sz w:val="17"/>
                <w:szCs w:val="17"/>
              </w:rPr>
              <w:t xml:space="preserve">D5.4 › Fenêtre 3.4 (Katz) › Exemple clinique</w:t>
            </w:r>
          </w:p>
        </w:tc>
        <w:tc>
          <w:tcPr>
            <w:tcW w:w="2600" w:type="dxa"/>
            <w:vAlign w:val="top"/>
          </w:tcPr>
          <w:p>
            <w:pPr>
              <w:spacing w:after="0"/>
            </w:pPr>
            <w:r>
              <w:rPr>
                <w:i/>
                <w:sz w:val="17"/>
                <w:szCs w:val="17"/>
              </w:rPr>
              <w:t xml:space="preserve">« La natrémie réelle est normale, le trouble est purement hyperglycémique »</w:t>
            </w:r>
          </w:p>
        </w:tc>
        <w:tc>
          <w:tcPr>
            <w:tcW w:w="3000" w:type="dxa"/>
            <w:vAlign w:val="top"/>
          </w:tcPr>
          <w:p>
            <w:pPr>
              <w:spacing w:after="40"/>
            </w:pPr>
            <w:r>
              <w:rPr>
                <w:sz w:val="17"/>
                <w:szCs w:val="17"/>
              </w:rPr>
              <w:t xml:space="preserve">La conclusion est fausse : avec Na = 126 mmol/L et glycémie 25,6 mmol/L, la natrémie corrigée vaut 126 + 1,6 × (25,6 − 5,6)/5,6 ≈ 131,7 mmol/L (Katz) ou ≈ 134,6 mmol/L (facteur 2,4), donc reste &lt; 135 mmol/L (calcul dérivé).</w:t>
            </w:r>
          </w:p>
          <w:p>
            <w:pPr>
              <w:spacing w:after="0"/>
            </w:pPr>
            <w:r>
              <w:rPr>
                <w:b/>
                <w:color w:val="145A32"/>
                <w:sz w:val="17"/>
                <w:szCs w:val="17"/>
              </w:rPr>
              <w:t xml:space="preserve">→ Écrire l'équation en texte, recalculer : « Na corrigée ≈ 131,7 mmol/L (Katz) : une hyponatrémie vraie persiste et doit être explorée » et étiqueter « calcul dérivé ».</w:t>
            </w:r>
          </w:p>
        </w:tc>
        <w:tc>
          <w:tcPr>
            <w:tcW w:w="1800" w:type="dxa"/>
            <w:vAlign w:val="top"/>
          </w:tcPr>
          <w:p>
            <w:pPr>
              <w:spacing w:after="0"/>
            </w:pPr>
            <w:r>
              <w:rPr>
                <w:sz w:val="17"/>
                <w:szCs w:val="17"/>
              </w:rPr>
              <w:t xml:space="preserve">Calcul dérivé ; formule de Katz (facteur 1,6 mmol/L par 5,6 mmol/L de glucose au-delà de 5,6) ; PROMPT_V6 (Standard V6, prompt de base du lot) § 3.6, § 7</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L5-L50</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LOT_5_Appel_B_V5_Ultra_Pedagogique_Partie_2_DX.3_a_DX.5__export_GoogleDoc.html</w:t>
            </w:r>
          </w:p>
        </w:tc>
        <w:tc>
          <w:tcPr>
            <w:tcW w:w="2350" w:type="dxa"/>
            <w:vAlign w:val="top"/>
          </w:tcPr>
          <w:p>
            <w:pPr>
              <w:spacing w:after="0"/>
            </w:pPr>
            <w:r>
              <w:rPr>
                <w:sz w:val="17"/>
                <w:szCs w:val="17"/>
              </w:rPr>
              <w:t xml:space="preserve">D5.4 › Fenêtre 3.4 › tableau › ligne Hyponatrémie</w:t>
            </w:r>
          </w:p>
        </w:tc>
        <w:tc>
          <w:tcPr>
            <w:tcW w:w="2600" w:type="dxa"/>
            <w:vAlign w:val="top"/>
          </w:tcPr>
          <w:p>
            <w:pPr>
              <w:spacing w:after="0"/>
            </w:pPr>
            <w:r>
              <w:rPr>
                <w:i/>
                <w:sz w:val="17"/>
                <w:szCs w:val="17"/>
              </w:rPr>
              <w:t xml:space="preserve">« Modérée : 130 - 134 mmol/L »</w:t>
            </w:r>
          </w:p>
        </w:tc>
        <w:tc>
          <w:tcPr>
            <w:tcW w:w="3000" w:type="dxa"/>
            <w:vAlign w:val="top"/>
          </w:tcPr>
          <w:p>
            <w:pPr>
              <w:spacing w:after="40"/>
            </w:pPr>
            <w:r>
              <w:rPr>
                <w:sz w:val="17"/>
                <w:szCs w:val="17"/>
              </w:rPr>
              <w:t xml:space="preserve">La classification est fausse : la recommandation européenne 2014 classe 130–135 mmol/L en hyponatrémie légère, 125–129 en modérée et &lt; 125 en profonde.</w:t>
            </w:r>
          </w:p>
          <w:p>
            <w:pPr>
              <w:spacing w:after="0"/>
            </w:pPr>
            <w:r>
              <w:rPr>
                <w:b/>
                <w:color w:val="145A32"/>
                <w:sz w:val="17"/>
                <w:szCs w:val="17"/>
              </w:rPr>
              <w:t xml:space="preserve">→ Écrire « Légère : 130–134 mmol/L ; modérée : 125–129 mmol/L ; profonde : &lt; 125 mmol/L ; la conduite d'urgence dépend des symptômes ».</w:t>
            </w:r>
          </w:p>
        </w:tc>
        <w:tc>
          <w:tcPr>
            <w:tcW w:w="1800" w:type="dxa"/>
            <w:vAlign w:val="top"/>
          </w:tcPr>
          <w:p>
            <w:pPr>
              <w:spacing w:after="0"/>
            </w:pPr>
            <w:r>
              <w:rPr>
                <w:sz w:val="17"/>
                <w:szCs w:val="17"/>
              </w:rPr>
              <w:t xml:space="preserve">Spasovski et al., Clinical practice guideline on diagnosis and treatment of hyponatraemia, ESICM/ESE/ERBP, Eur J Endocrinol 2014;170:G1–G47 (résumé dans Malta Medical Journal 2015, https://www.um.edu.mt/library/oar/bitstream/123456789/14250/1/2015-21-3.pdf — consulté le 22.10.2026)</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L5-L52</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LOT_5_Appel_B_V5_Ultra_Pedagogique_Partie_2_DX.3_a_DX.5__export_GoogleDoc.html</w:t>
            </w:r>
          </w:p>
        </w:tc>
        <w:tc>
          <w:tcPr>
            <w:tcW w:w="2350" w:type="dxa"/>
            <w:vAlign w:val="top"/>
          </w:tcPr>
          <w:p>
            <w:pPr>
              <w:spacing w:after="0"/>
            </w:pPr>
            <w:r>
              <w:rPr>
                <w:sz w:val="17"/>
                <w:szCs w:val="17"/>
              </w:rPr>
              <w:t xml:space="preserve">D5.5 › Fenêtre 3.5 (Sepsis-3 &amp; SOFA) › Exemple clinique</w:t>
            </w:r>
          </w:p>
        </w:tc>
        <w:tc>
          <w:tcPr>
            <w:tcW w:w="2600" w:type="dxa"/>
            <w:vAlign w:val="top"/>
          </w:tcPr>
          <w:p>
            <w:pPr>
              <w:spacing w:after="0"/>
            </w:pPr>
            <w:r>
              <w:rPr>
                <w:i/>
                <w:sz w:val="17"/>
                <w:szCs w:val="17"/>
              </w:rPr>
              <w:t xml:space="preserve">« Plaquettes = 95 G/L (SOFA = 1), Créatinine = 185 μmol/L (SOFA = 2), GCS = 13 (SOFA = 2) »</w:t>
            </w:r>
          </w:p>
        </w:tc>
        <w:tc>
          <w:tcPr>
            <w:tcW w:w="3000" w:type="dxa"/>
            <w:vAlign w:val="top"/>
          </w:tcPr>
          <w:p>
            <w:pPr>
              <w:spacing w:after="40"/>
            </w:pPr>
            <w:r>
              <w:rPr>
                <w:sz w:val="17"/>
                <w:szCs w:val="17"/>
              </w:rPr>
              <w:t xml:space="preserve">Les cotations sont fausses : plaquettes &lt; 100 G/L = 2 points et GCS 13–14 = 1 point ; avec PAM ≈ 61 mmHg (1 point), le total vaut 6 et non 5 (calcul dérivé), et le fichier contredit son propre tableau pour le GCS.</w:t>
            </w:r>
          </w:p>
          <w:p>
            <w:pPr>
              <w:spacing w:after="0"/>
            </w:pPr>
            <w:r>
              <w:rPr>
                <w:b/>
                <w:color w:val="145A32"/>
                <w:sz w:val="17"/>
                <w:szCs w:val="17"/>
              </w:rPr>
              <w:t xml:space="preserve">→ Écrire « Plaquettes 95 G/L (SOFA 2), créatinine 185 µmol/L (SOFA 2), GCS 13 (SOFA 1), PAM 61 mmHg (SOFA 1) : SOFA total = 6 points » et remplacer « Sepsis sévère » par « sepsis avec dysfonction multiviscérale ».</w:t>
            </w:r>
          </w:p>
        </w:tc>
        <w:tc>
          <w:tcPr>
            <w:tcW w:w="1800" w:type="dxa"/>
            <w:vAlign w:val="top"/>
          </w:tcPr>
          <w:p>
            <w:pPr>
              <w:spacing w:after="0"/>
            </w:pPr>
            <w:r>
              <w:rPr>
                <w:sz w:val="17"/>
                <w:szCs w:val="17"/>
              </w:rPr>
              <w:t xml:space="preserve">Score SOFA (Vincent et al., ESICM, Intensive Care Med 1996), table reproduite dans PMC6189546 Table 4 — https://pmc.ncbi.nlm.nih.gov/articles/PMC6189546/table/T4 — consulté le 22.10.2026</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L5-L53</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LOT_5_Appel_B_V5_Ultra_Pedagogique_Partie_2_DX.3_a_DX.5__export_GoogleDoc.html</w:t>
            </w:r>
          </w:p>
        </w:tc>
        <w:tc>
          <w:tcPr>
            <w:tcW w:w="2350" w:type="dxa"/>
            <w:vAlign w:val="top"/>
          </w:tcPr>
          <w:p>
            <w:pPr>
              <w:spacing w:after="0"/>
            </w:pPr>
            <w:r>
              <w:rPr>
                <w:sz w:val="17"/>
                <w:szCs w:val="17"/>
              </w:rPr>
              <w:t xml:space="preserve">D5.5 › Fenêtre 3.5 › tableau › ligne Rénal</w:t>
            </w:r>
          </w:p>
        </w:tc>
        <w:tc>
          <w:tcPr>
            <w:tcW w:w="2600" w:type="dxa"/>
            <w:vAlign w:val="top"/>
          </w:tcPr>
          <w:p>
            <w:pPr>
              <w:spacing w:after="0"/>
            </w:pPr>
            <w:r>
              <w:rPr>
                <w:i/>
                <w:sz w:val="17"/>
                <w:szCs w:val="17"/>
              </w:rPr>
              <w:t xml:space="preserve">« 110 - 299 μmol/L (SOFA=2) »</w:t>
            </w:r>
          </w:p>
        </w:tc>
        <w:tc>
          <w:tcPr>
            <w:tcW w:w="3000" w:type="dxa"/>
            <w:vAlign w:val="top"/>
          </w:tcPr>
          <w:p>
            <w:pPr>
              <w:spacing w:after="40"/>
            </w:pPr>
            <w:r>
              <w:rPr>
                <w:sz w:val="17"/>
                <w:szCs w:val="17"/>
              </w:rPr>
              <w:t xml:space="preserve">Le barème rénal est faux : 110–170 µmol/L = 1 point, 171–299 = 2, 300–440 ou diurèse &lt; 500 mL/j = 3, &gt; 440 ou diurèse &lt; 200 mL/j = 4 ; le tableau omet aussi le score respiratoire 4 (PaO₂/FiO₂ &lt; 100).</w:t>
            </w:r>
          </w:p>
          <w:p>
            <w:pPr>
              <w:spacing w:after="0"/>
            </w:pPr>
            <w:r>
              <w:rPr>
                <w:b/>
                <w:color w:val="145A32"/>
                <w:sz w:val="17"/>
                <w:szCs w:val="17"/>
              </w:rPr>
              <w:t xml:space="preserve">→ Reproduire le barème SOFA complet pour les six organes, avec les cinq niveaux 0 à 4 et les unités SI.</w:t>
            </w:r>
          </w:p>
        </w:tc>
        <w:tc>
          <w:tcPr>
            <w:tcW w:w="1800" w:type="dxa"/>
            <w:vAlign w:val="top"/>
          </w:tcPr>
          <w:p>
            <w:pPr>
              <w:spacing w:after="0"/>
            </w:pPr>
            <w:r>
              <w:rPr>
                <w:sz w:val="17"/>
                <w:szCs w:val="17"/>
              </w:rPr>
              <w:t xml:space="preserve">Score SOFA (Vincent et al., ESICM, Intensive Care Med 1996), table reproduite dans PMC6189546 Table 4 — https://pmc.ncbi.nlm.nih.gov/articles/PMC6189546/table/T4 — consulté le 22.10.2026</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L5-L54</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LOT_5_Appel_B_V5_Ultra_Pedagogique_Partie_2_DX.3_a_DX.5__export_GoogleDoc.html</w:t>
            </w:r>
          </w:p>
        </w:tc>
        <w:tc>
          <w:tcPr>
            <w:tcW w:w="2350" w:type="dxa"/>
            <w:vAlign w:val="top"/>
          </w:tcPr>
          <w:p>
            <w:pPr>
              <w:spacing w:after="0"/>
            </w:pPr>
            <w:r>
              <w:rPr>
                <w:sz w:val="17"/>
                <w:szCs w:val="17"/>
              </w:rPr>
              <w:t xml:space="preserve">D5.5 › 11. Prise en charge › D- Pronostic et recherche 2026</w:t>
            </w:r>
          </w:p>
        </w:tc>
        <w:tc>
          <w:tcPr>
            <w:tcW w:w="2600" w:type="dxa"/>
            <w:vAlign w:val="top"/>
          </w:tcPr>
          <w:p>
            <w:pPr>
              <w:spacing w:after="0"/>
            </w:pPr>
            <w:r>
              <w:rPr>
                <w:i/>
                <w:sz w:val="17"/>
                <w:szCs w:val="17"/>
              </w:rPr>
              <w:t xml:space="preserve">« sur le sang total et les urines permettant d'identifier le pathogène et ses gènes de résistance en moins de 1 heure »</w:t>
            </w:r>
          </w:p>
        </w:tc>
        <w:tc>
          <w:tcPr>
            <w:tcW w:w="3000" w:type="dxa"/>
            <w:vAlign w:val="top"/>
          </w:tcPr>
          <w:p>
            <w:pPr>
              <w:spacing w:after="40"/>
            </w:pPr>
            <w:r>
              <w:rPr>
                <w:sz w:val="17"/>
                <w:szCs w:val="17"/>
              </w:rPr>
              <w:t xml:space="preserve">Le panel BioFire BCID2 s'utilise sur un flacon d'hémoculture déjà positif et non sur le sang total ; le gain de temps se compte à partir de la positivité de l'hémoculture.</w:t>
            </w:r>
          </w:p>
          <w:p>
            <w:pPr>
              <w:spacing w:after="0"/>
            </w:pPr>
            <w:r>
              <w:rPr>
                <w:b/>
                <w:color w:val="145A32"/>
                <w:sz w:val="17"/>
                <w:szCs w:val="17"/>
              </w:rPr>
              <w:t xml:space="preserve">→ Écrire « Les panels PCR multiplex (p. ex. BioFire BCID2) identifient en environ 1 heure le germe et 10 gènes de résistance à partir d'une hémoculture positive, ce qui accélère l'adaptation antibiotique. »</w:t>
            </w:r>
          </w:p>
        </w:tc>
        <w:tc>
          <w:tcPr>
            <w:tcW w:w="1800" w:type="dxa"/>
            <w:vAlign w:val="top"/>
          </w:tcPr>
          <w:p>
            <w:pPr>
              <w:spacing w:after="0"/>
            </w:pPr>
            <w:r>
              <w:rPr>
                <w:sz w:val="17"/>
                <w:szCs w:val="17"/>
              </w:rPr>
              <w:t xml:space="preserve">bioMérieux — BIOFIRE BCID2 Panel, Instructions for Use — https://www.biomerieux.com/content/dam/biomerieux-com/service-support/support-documents/instructions-for-use-and-manuals/RFIT-PRT-0841-BioFire-BCID2-Panel-Instructions-for-Use-EN.pdf ; évaluation multicentrique PMC10281132 — consultés le 22.10.2026</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L5-L55</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LOT_5_Appel_B_V5_Ultra_Pedagogique_Partie_2_DX.3_a_DX.5__export_GoogleDoc.html</w:t>
            </w:r>
          </w:p>
        </w:tc>
        <w:tc>
          <w:tcPr>
            <w:tcW w:w="2350" w:type="dxa"/>
            <w:vAlign w:val="top"/>
          </w:tcPr>
          <w:p>
            <w:pPr>
              <w:spacing w:after="0"/>
            </w:pPr>
            <w:r>
              <w:rPr>
                <w:sz w:val="17"/>
                <w:szCs w:val="17"/>
              </w:rPr>
              <w:t xml:space="preserve">D5.5 › 2. Épidémiologie</w:t>
            </w:r>
          </w:p>
        </w:tc>
        <w:tc>
          <w:tcPr>
            <w:tcW w:w="2600" w:type="dxa"/>
            <w:vAlign w:val="top"/>
          </w:tcPr>
          <w:p>
            <w:pPr>
              <w:spacing w:after="0"/>
            </w:pPr>
            <w:r>
              <w:rPr>
                <w:i/>
                <w:sz w:val="17"/>
                <w:szCs w:val="17"/>
              </w:rPr>
              <w:t xml:space="preserve">« le sepsis touche plus de 30 000 patients par an, avec une mortalité hospitalière globale de 15 à 25 % »</w:t>
            </w:r>
          </w:p>
        </w:tc>
        <w:tc>
          <w:tcPr>
            <w:tcW w:w="3000" w:type="dxa"/>
            <w:vAlign w:val="top"/>
          </w:tcPr>
          <w:p>
            <w:pPr>
              <w:spacing w:after="40"/>
            </w:pPr>
            <w:r>
              <w:rPr>
                <w:sz w:val="17"/>
                <w:szCs w:val="17"/>
              </w:rPr>
              <w:t xml:space="preserve">Le nombre de cas, la mortalité et la part de 8 % des malaises sont attribués à la SSI et à la SSCM sans document identifiable.</w:t>
            </w:r>
          </w:p>
          <w:p>
            <w:pPr>
              <w:spacing w:after="0"/>
            </w:pPr>
            <w:r>
              <w:rPr>
                <w:b/>
                <w:color w:val="145A32"/>
                <w:sz w:val="17"/>
                <w:szCs w:val="17"/>
              </w:rPr>
              <w:t xml:space="preserve">→ Citer le document exact (p. ex. plan national suisse sur le sepsis, OFS) avec URL et date, ou écrire « donnée non trouvée dans les sources consultées ».</w:t>
            </w:r>
          </w:p>
        </w:tc>
        <w:tc>
          <w:tcPr>
            <w:tcW w:w="1800" w:type="dxa"/>
            <w:vAlign w:val="top"/>
          </w:tcPr>
          <w:p>
            <w:pPr>
              <w:spacing w:after="0"/>
            </w:pPr>
            <w:r>
              <w:rPr>
                <w:sz w:val="17"/>
                <w:szCs w:val="17"/>
              </w:rPr>
              <w:t xml:space="preserve">PROMPT_V6 (Standard V6, prompt de base du lot) § 3.1</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L5-L56</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LOT_5_Appel_B_V5_Ultra_Pedagogique_Partie_2_DX.3_a_DX.5__export_GoogleDoc.html</w:t>
            </w:r>
          </w:p>
        </w:tc>
        <w:tc>
          <w:tcPr>
            <w:tcW w:w="2350" w:type="dxa"/>
            <w:vAlign w:val="top"/>
          </w:tcPr>
          <w:p>
            <w:pPr>
              <w:spacing w:after="0"/>
            </w:pPr>
            <w:r>
              <w:rPr>
                <w:sz w:val="17"/>
                <w:szCs w:val="17"/>
              </w:rPr>
              <w:t xml:space="preserve">D5.3 › 2. Épidémiologie</w:t>
            </w:r>
          </w:p>
        </w:tc>
        <w:tc>
          <w:tcPr>
            <w:tcW w:w="2600" w:type="dxa"/>
            <w:vAlign w:val="top"/>
          </w:tcPr>
          <w:p>
            <w:pPr>
              <w:spacing w:after="0"/>
            </w:pPr>
            <w:r>
              <w:rPr>
                <w:i/>
                <w:sz w:val="17"/>
                <w:szCs w:val="17"/>
              </w:rPr>
              <w:t xml:space="preserve">« les troubles anxieux touchent environ 15 % de la population suisse au cours de leur vie, et motivent 10 à 15 % des consultations »</w:t>
            </w:r>
          </w:p>
        </w:tc>
        <w:tc>
          <w:tcPr>
            <w:tcW w:w="3000" w:type="dxa"/>
            <w:vAlign w:val="top"/>
          </w:tcPr>
          <w:p>
            <w:pPr>
              <w:spacing w:after="40"/>
            </w:pPr>
            <w:r>
              <w:rPr>
                <w:sz w:val="17"/>
                <w:szCs w:val="17"/>
              </w:rPr>
              <w:t xml:space="preserve">Les proportions sont attribuées à l'OFSP et à la SSPP sans enquête nommée (ESS, Obsan), année ni URL.</w:t>
            </w:r>
          </w:p>
          <w:p>
            <w:pPr>
              <w:spacing w:after="0"/>
            </w:pPr>
            <w:r>
              <w:rPr>
                <w:b/>
                <w:color w:val="145A32"/>
                <w:sz w:val="17"/>
                <w:szCs w:val="17"/>
              </w:rPr>
              <w:t xml:space="preserve">→ Citer le rapport Obsan ou l'Enquête suisse sur la santé correspondant, ou écrire « donnée non trouvée dans les sources consultées ».</w:t>
            </w:r>
          </w:p>
        </w:tc>
        <w:tc>
          <w:tcPr>
            <w:tcW w:w="1800" w:type="dxa"/>
            <w:vAlign w:val="top"/>
          </w:tcPr>
          <w:p>
            <w:pPr>
              <w:spacing w:after="0"/>
            </w:pPr>
            <w:r>
              <w:rPr>
                <w:sz w:val="17"/>
                <w:szCs w:val="17"/>
              </w:rPr>
              <w:t xml:space="preserve">PROMPT_V6 (Standard V6, prompt de base du lot) § 3.1</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L5-L57</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LOT_5_Appel_B_V5_Ultra_Pedagogique_Partie_2_DX.3_a_DX.5__export_GoogleDoc.html</w:t>
            </w:r>
          </w:p>
        </w:tc>
        <w:tc>
          <w:tcPr>
            <w:tcW w:w="2350" w:type="dxa"/>
            <w:vAlign w:val="top"/>
          </w:tcPr>
          <w:p>
            <w:pPr>
              <w:spacing w:after="0"/>
            </w:pPr>
            <w:r>
              <w:rPr>
                <w:sz w:val="17"/>
                <w:szCs w:val="17"/>
              </w:rPr>
              <w:t xml:space="preserve">D5.4 › 2. Épidémiologie</w:t>
            </w:r>
          </w:p>
        </w:tc>
        <w:tc>
          <w:tcPr>
            <w:tcW w:w="2600" w:type="dxa"/>
            <w:vAlign w:val="top"/>
          </w:tcPr>
          <w:p>
            <w:pPr>
              <w:spacing w:after="0"/>
            </w:pPr>
            <w:r>
              <w:rPr>
                <w:i/>
                <w:sz w:val="17"/>
                <w:szCs w:val="17"/>
              </w:rPr>
              <w:t xml:space="preserve">« compliquent 10 à 25 % des hospitalisations en médecine interne générale en Suisse »</w:t>
            </w:r>
          </w:p>
        </w:tc>
        <w:tc>
          <w:tcPr>
            <w:tcW w:w="3000" w:type="dxa"/>
            <w:vAlign w:val="top"/>
          </w:tcPr>
          <w:p>
            <w:pPr>
              <w:spacing w:after="40"/>
            </w:pPr>
            <w:r>
              <w:rPr>
                <w:sz w:val="17"/>
                <w:szCs w:val="17"/>
              </w:rPr>
              <w:t xml:space="preserve">Les fréquences sont attribuées à des « recommandations de la SSN » non identifiables.</w:t>
            </w:r>
          </w:p>
          <w:p>
            <w:pPr>
              <w:spacing w:after="0"/>
            </w:pPr>
            <w:r>
              <w:rPr>
                <w:b/>
                <w:color w:val="145A32"/>
                <w:sz w:val="17"/>
                <w:szCs w:val="17"/>
              </w:rPr>
              <w:t xml:space="preserve">→ Citer l'étude suisse exacte ou écrire « donnée non trouvée dans les sources consultées ».</w:t>
            </w:r>
          </w:p>
        </w:tc>
        <w:tc>
          <w:tcPr>
            <w:tcW w:w="1800" w:type="dxa"/>
            <w:vAlign w:val="top"/>
          </w:tcPr>
          <w:p>
            <w:pPr>
              <w:spacing w:after="0"/>
            </w:pPr>
            <w:r>
              <w:rPr>
                <w:sz w:val="17"/>
                <w:szCs w:val="17"/>
              </w:rPr>
              <w:t xml:space="preserve">PROMPT_V6 (Standard V6, prompt de base du lot) § 3.1</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L5-L58</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LOT_5_Appel_B_V5_Ultra_Pedagogique_Partie_2_DX.3_a_DX.5__export_GoogleDoc.html</w:t>
            </w:r>
          </w:p>
        </w:tc>
        <w:tc>
          <w:tcPr>
            <w:tcW w:w="2350" w:type="dxa"/>
            <w:vAlign w:val="top"/>
          </w:tcPr>
          <w:p>
            <w:pPr>
              <w:spacing w:after="0"/>
            </w:pPr>
            <w:r>
              <w:rPr>
                <w:sz w:val="17"/>
                <w:szCs w:val="17"/>
              </w:rPr>
              <w:t xml:space="preserve">D5.3, D5.4, D5.5 › titres (badges)</w:t>
            </w:r>
          </w:p>
        </w:tc>
        <w:tc>
          <w:tcPr>
            <w:tcW w:w="2600" w:type="dxa"/>
            <w:vAlign w:val="top"/>
          </w:tcPr>
          <w:p>
            <w:pPr>
              <w:spacing w:after="0"/>
            </w:pPr>
            <w:r>
              <w:rPr>
                <w:i/>
                <w:sz w:val="17"/>
                <w:szCs w:val="17"/>
              </w:rPr>
              <w:t xml:space="preserve">« [15 %] »</w:t>
            </w:r>
          </w:p>
        </w:tc>
        <w:tc>
          <w:tcPr>
            <w:tcW w:w="3000" w:type="dxa"/>
            <w:vAlign w:val="top"/>
          </w:tcPr>
          <w:p>
            <w:pPr>
              <w:spacing w:after="40"/>
            </w:pPr>
            <w:r>
              <w:rPr>
                <w:sz w:val="17"/>
                <w:szCs w:val="17"/>
              </w:rPr>
              <w:t xml:space="preserve">Les badges [15 %], [10 %] et [8 %] reprennent les pourcentages non sourcés de l'Appel A.</w:t>
            </w:r>
          </w:p>
          <w:p>
            <w:pPr>
              <w:spacing w:after="0"/>
            </w:pPr>
            <w:r>
              <w:rPr>
                <w:b/>
                <w:color w:val="145A32"/>
                <w:sz w:val="17"/>
                <w:szCs w:val="17"/>
              </w:rPr>
              <w:t xml:space="preserve">→ Remplacer chaque badge par « Ne rang — fréquence non quantifiée (Suisse) » sauf source lue.</w:t>
            </w:r>
          </w:p>
        </w:tc>
        <w:tc>
          <w:tcPr>
            <w:tcW w:w="1800" w:type="dxa"/>
            <w:vAlign w:val="top"/>
          </w:tcPr>
          <w:p>
            <w:pPr>
              <w:spacing w:after="0"/>
            </w:pPr>
            <w:r>
              <w:rPr>
                <w:sz w:val="17"/>
                <w:szCs w:val="17"/>
              </w:rPr>
              <w:t xml:space="preserve">PROMPT_V6 (Standard V6, prompt de base du lot) § 8</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L5-L65</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LOT_5_Appel_B_V5_Ultra_Pedagogique_Partie_2_DX.3_a_DX.5__export_GoogleDoc.html</w:t>
            </w:r>
          </w:p>
        </w:tc>
        <w:tc>
          <w:tcPr>
            <w:tcW w:w="2350" w:type="dxa"/>
            <w:vAlign w:val="top"/>
          </w:tcPr>
          <w:p>
            <w:pPr>
              <w:spacing w:after="0"/>
            </w:pPr>
            <w:r>
              <w:rPr>
                <w:sz w:val="17"/>
                <w:szCs w:val="17"/>
              </w:rPr>
              <w:t xml:space="preserve">D5.3 › 11.B › Moyens pharmacologiques (et D5.4, D5.5 › 11.B)</w:t>
            </w:r>
          </w:p>
        </w:tc>
        <w:tc>
          <w:tcPr>
            <w:tcW w:w="2600" w:type="dxa"/>
            <w:vAlign w:val="top"/>
          </w:tcPr>
          <w:p>
            <w:pPr>
              <w:spacing w:after="0"/>
            </w:pPr>
            <w:r>
              <w:rPr>
                <w:i/>
                <w:sz w:val="17"/>
                <w:szCs w:val="17"/>
              </w:rPr>
              <w:t xml:space="preserve">« Classe : Benzodiazépine à action rapide. Molécule : Lorazépam »</w:t>
            </w:r>
          </w:p>
        </w:tc>
        <w:tc>
          <w:tcPr>
            <w:tcW w:w="3000" w:type="dxa"/>
            <w:vAlign w:val="top"/>
          </w:tcPr>
          <w:p>
            <w:pPr>
              <w:spacing w:after="40"/>
            </w:pPr>
            <w:r>
              <w:rPr>
                <w:sz w:val="17"/>
                <w:szCs w:val="17"/>
              </w:rPr>
              <w:t xml:space="preserve">Les traitements et le point 12 de D5.4 et D5.5 sont rédigés en listes nominales (« Classe : … », « Vaccination antipneumococcique… », « Surveillance biologique… »).</w:t>
            </w:r>
          </w:p>
          <w:p>
            <w:pPr>
              <w:spacing w:after="0"/>
            </w:pPr>
            <w:r>
              <w:rPr>
                <w:b/>
                <w:color w:val="145A32"/>
                <w:sz w:val="17"/>
                <w:szCs w:val="17"/>
              </w:rPr>
              <w:t xml:space="preserve">→ Réécrire en phrases verbales, par exemple : « En cas d'attaque de panique invalidante, le médecin peut donner du lorazépam (Temesta®) 1 mg per os, pour une durée très courte. »</w:t>
            </w:r>
          </w:p>
        </w:tc>
        <w:tc>
          <w:tcPr>
            <w:tcW w:w="1800" w:type="dxa"/>
            <w:vAlign w:val="top"/>
          </w:tcPr>
          <w:p>
            <w:pPr>
              <w:spacing w:after="0"/>
            </w:pPr>
            <w:r>
              <w:rPr>
                <w:sz w:val="17"/>
                <w:szCs w:val="17"/>
              </w:rPr>
              <w:t xml:space="preserve">PROMPT_V6 (Standard V6, prompt de base du lot) § 6.1</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L5-L73</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LOT_5_Appel_B_V5_Ultra_Pedagogique_Partie_3_DX.6_a_DX.7__export_GoogleDoc.html</w:t>
            </w:r>
          </w:p>
        </w:tc>
        <w:tc>
          <w:tcPr>
            <w:tcW w:w="2350" w:type="dxa"/>
            <w:vAlign w:val="top"/>
          </w:tcPr>
          <w:p>
            <w:pPr>
              <w:spacing w:after="0"/>
            </w:pPr>
            <w:r>
              <w:rPr>
                <w:sz w:val="17"/>
                <w:szCs w:val="17"/>
              </w:rPr>
              <w:t xml:space="preserve">D5.7 › Fenêtre 3.7 (ACR/EULAR) › 1. Explicitation</w:t>
            </w:r>
          </w:p>
        </w:tc>
        <w:tc>
          <w:tcPr>
            <w:tcW w:w="2600" w:type="dxa"/>
            <w:vAlign w:val="top"/>
          </w:tcPr>
          <w:p>
            <w:pPr>
              <w:spacing w:after="0"/>
            </w:pPr>
            <w:r>
              <w:rPr>
                <w:i/>
                <w:sz w:val="17"/>
                <w:szCs w:val="17"/>
              </w:rPr>
              <w:t xml:space="preserve">« La présence d'au moins 3 critères sur 5 offre une sensibilité et une spécificité supérieures à 90 %. »</w:t>
            </w:r>
          </w:p>
        </w:tc>
        <w:tc>
          <w:tcPr>
            <w:tcW w:w="3000" w:type="dxa"/>
            <w:vAlign w:val="top"/>
          </w:tcPr>
          <w:p>
            <w:pPr>
              <w:spacing w:after="40"/>
            </w:pPr>
            <w:r>
              <w:rPr>
                <w:sz w:val="17"/>
                <w:szCs w:val="17"/>
              </w:rPr>
              <w:t xml:space="preserve">Le fichier présente les critères ACR 1990 (5 items, 3 sur 5) sous le nom ACR/EULAR ; les critères ACR/EULAR 2022 exigent un âge ≥ 50 ans puis un score pondéré ≥ 6 points (biopsie ou halo 5 points, VS ≥ 50 mm/h ou CRP ≥ 10 mg/L 3 points, perte visuelle brutale 3 points…).</w:t>
            </w:r>
          </w:p>
          <w:p>
            <w:pPr>
              <w:spacing w:after="0"/>
            </w:pPr>
            <w:r>
              <w:rPr>
                <w:b/>
                <w:color w:val="145A32"/>
                <w:sz w:val="17"/>
                <w:szCs w:val="17"/>
              </w:rPr>
              <w:t xml:space="preserve">→ Remplacer la fenêtre par les critères ACR/EULAR 2022 avec leurs pondérations, le seuil de 6 points et la précision qu'il s'agit de critères de classification, puis recalculer l'exemple clinique.</w:t>
            </w:r>
          </w:p>
        </w:tc>
        <w:tc>
          <w:tcPr>
            <w:tcW w:w="1800" w:type="dxa"/>
            <w:vAlign w:val="top"/>
          </w:tcPr>
          <w:p>
            <w:pPr>
              <w:spacing w:after="0"/>
            </w:pPr>
            <w:r>
              <w:rPr>
                <w:sz w:val="17"/>
                <w:szCs w:val="17"/>
              </w:rPr>
              <w:t xml:space="preserve">Ponte et al., 2022 ACR/EULAR Classification Criteria for Giant Cell Arteritis, Ann Rheum Dis 2022;81:1647 — https://ard.bmj.com/content/81/12/1647.abstract — consulté le 22.10.2026</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L5-L74</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LOT_5_Appel_B_V5_Ultra_Pedagogique_Partie_3_DX.6_a_DX.7__export_GoogleDoc.html</w:t>
            </w:r>
          </w:p>
        </w:tc>
        <w:tc>
          <w:tcPr>
            <w:tcW w:w="2350" w:type="dxa"/>
            <w:vAlign w:val="top"/>
          </w:tcPr>
          <w:p>
            <w:pPr>
              <w:spacing w:after="0"/>
            </w:pPr>
            <w:r>
              <w:rPr>
                <w:sz w:val="17"/>
                <w:szCs w:val="17"/>
              </w:rPr>
              <w:t xml:space="preserve">D5.6 › 11.B › 1. Antiagrégants plaquettaires duaux</w:t>
            </w:r>
          </w:p>
        </w:tc>
        <w:tc>
          <w:tcPr>
            <w:tcW w:w="2600" w:type="dxa"/>
            <w:vAlign w:val="top"/>
          </w:tcPr>
          <w:p>
            <w:pPr>
              <w:spacing w:after="0"/>
            </w:pPr>
            <w:r>
              <w:rPr>
                <w:i/>
                <w:sz w:val="17"/>
                <w:szCs w:val="17"/>
              </w:rPr>
              <w:t xml:space="preserve">« Charge immédiate par Ticagrelor (Nom commercial suisse : Brilique® 180 mg per os) ou Prasugrel (Efient®) »</w:t>
            </w:r>
          </w:p>
        </w:tc>
        <w:tc>
          <w:tcPr>
            <w:tcW w:w="3000" w:type="dxa"/>
            <w:vAlign w:val="top"/>
          </w:tcPr>
          <w:p>
            <w:pPr>
              <w:spacing w:after="40"/>
            </w:pPr>
            <w:r>
              <w:rPr>
                <w:sz w:val="17"/>
                <w:szCs w:val="17"/>
              </w:rPr>
              <w:t xml:space="preserve">Le fichier prescrit une charge immédiate d'inhibiteur P2Y12 dans tout SCA, alors que l'ESC 2023 déconseille (classe III) le prétraitement systématique dans le SCA sans sus-décalage lorsque l'anatomie est inconnue et qu'une coronarographie précoce (&lt; 24 h) est prévue.</w:t>
            </w:r>
          </w:p>
          <w:p>
            <w:pPr>
              <w:spacing w:after="0"/>
            </w:pPr>
            <w:r>
              <w:rPr>
                <w:b/>
                <w:color w:val="145A32"/>
                <w:sz w:val="17"/>
                <w:szCs w:val="17"/>
              </w:rPr>
              <w:t xml:space="preserve">→ Écrire « Dans le STEMI, le prétraitement par inhibiteur P2Y12 peut être envisagé ; dans le SCA sans sus-décalage avec coronarographie &lt; 24 h, l'inhibiteur P2Y12 est donné après la coronarographie. »</w:t>
            </w:r>
          </w:p>
        </w:tc>
        <w:tc>
          <w:tcPr>
            <w:tcW w:w="1800" w:type="dxa"/>
            <w:vAlign w:val="top"/>
          </w:tcPr>
          <w:p>
            <w:pPr>
              <w:spacing w:after="0"/>
            </w:pPr>
            <w:r>
              <w:rPr>
                <w:sz w:val="17"/>
                <w:szCs w:val="17"/>
              </w:rPr>
              <w:t xml:space="preserve">ESC 2023 Guidelines for the management of acute coronary syndromes (Byrne et al., Eur Heart J 2023), recommandation résumée dans EuroIntervention, « Pretreatment with antiplatelet agents… » — https://eurointervention.pcronline.com/article/pretreatment-with-antiplatelet-agents-in-patients-undergoing-coronary-revascularisation — consulté le 22.10.2026</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L5-L77</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LOT_5_Appel_B_V5_Ultra_Pedagogique_Partie_3_DX.6_a_DX.7__export_GoogleDoc.html</w:t>
            </w:r>
          </w:p>
        </w:tc>
        <w:tc>
          <w:tcPr>
            <w:tcW w:w="2350" w:type="dxa"/>
            <w:vAlign w:val="top"/>
          </w:tcPr>
          <w:p>
            <w:pPr>
              <w:spacing w:after="0"/>
            </w:pPr>
            <w:r>
              <w:rPr>
                <w:sz w:val="17"/>
                <w:szCs w:val="17"/>
              </w:rPr>
              <w:t xml:space="preserve">D5.7 › 11. Prise en charge › D- Pronostic et recherche 2026</w:t>
            </w:r>
          </w:p>
        </w:tc>
        <w:tc>
          <w:tcPr>
            <w:tcW w:w="2600" w:type="dxa"/>
            <w:vAlign w:val="top"/>
          </w:tcPr>
          <w:p>
            <w:pPr>
              <w:spacing w:after="0"/>
            </w:pPr>
            <w:r>
              <w:rPr>
                <w:i/>
                <w:sz w:val="17"/>
                <w:szCs w:val="17"/>
              </w:rPr>
              <w:t xml:space="preserve">« permet un sevrage stéroïdien complet chez plus de 70 % des patients »</w:t>
            </w:r>
          </w:p>
        </w:tc>
        <w:tc>
          <w:tcPr>
            <w:tcW w:w="3000" w:type="dxa"/>
            <w:vAlign w:val="top"/>
          </w:tcPr>
          <w:p>
            <w:pPr>
              <w:spacing w:after="40"/>
            </w:pPr>
            <w:r>
              <w:rPr>
                <w:sz w:val="17"/>
                <w:szCs w:val="17"/>
              </w:rPr>
              <w:t xml:space="preserve">Le chiffre de plus de 70 % et l'emploi « de première ligne » du tocilizumab en 2026 ne sont appuyés par aucune source.</w:t>
            </w:r>
          </w:p>
          <w:p>
            <w:pPr>
              <w:spacing w:after="0"/>
            </w:pPr>
            <w:r>
              <w:rPr>
                <w:b/>
                <w:color w:val="145A32"/>
                <w:sz w:val="17"/>
                <w:szCs w:val="17"/>
              </w:rPr>
              <w:t xml:space="preserve">→ Citer l'essai de référence (GiACTA, NCT01791153) avec son résultat exact ou écrire « donnée non trouvée dans les sources consultées ».</w:t>
            </w:r>
          </w:p>
        </w:tc>
        <w:tc>
          <w:tcPr>
            <w:tcW w:w="1800" w:type="dxa"/>
            <w:vAlign w:val="top"/>
          </w:tcPr>
          <w:p>
            <w:pPr>
              <w:spacing w:after="0"/>
            </w:pPr>
            <w:r>
              <w:rPr>
                <w:sz w:val="17"/>
                <w:szCs w:val="17"/>
              </w:rPr>
              <w:t xml:space="preserve">PROMPT_V6 (Standard V6, prompt de base du lot) § 3.1, § 5.11.D</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L5-L78</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LOT_5_Appel_B_V5_Ultra_Pedagogique_Partie_3_DX.6_a_DX.7__export_GoogleDoc.html</w:t>
            </w:r>
          </w:p>
        </w:tc>
        <w:tc>
          <w:tcPr>
            <w:tcW w:w="2350" w:type="dxa"/>
            <w:vAlign w:val="top"/>
          </w:tcPr>
          <w:p>
            <w:pPr>
              <w:spacing w:after="0"/>
            </w:pPr>
            <w:r>
              <w:rPr>
                <w:sz w:val="17"/>
                <w:szCs w:val="17"/>
              </w:rPr>
              <w:t xml:space="preserve">D5.6 › 2. Épidémiologie</w:t>
            </w:r>
          </w:p>
        </w:tc>
        <w:tc>
          <w:tcPr>
            <w:tcW w:w="2600" w:type="dxa"/>
            <w:vAlign w:val="top"/>
          </w:tcPr>
          <w:p>
            <w:pPr>
              <w:spacing w:after="0"/>
            </w:pPr>
            <w:r>
              <w:rPr>
                <w:i/>
                <w:sz w:val="17"/>
                <w:szCs w:val="17"/>
              </w:rPr>
              <w:t xml:space="preserve">« près de 20 à 30 % de l'ensemble des infarctus du myocarde aigus se manifestent de manière atypique »</w:t>
            </w:r>
          </w:p>
        </w:tc>
        <w:tc>
          <w:tcPr>
            <w:tcW w:w="3000" w:type="dxa"/>
            <w:vAlign w:val="top"/>
          </w:tcPr>
          <w:p>
            <w:pPr>
              <w:spacing w:after="40"/>
            </w:pPr>
            <w:r>
              <w:rPr>
                <w:sz w:val="17"/>
                <w:szCs w:val="17"/>
              </w:rPr>
              <w:t xml:space="preserve">Les proportions (20 à 30 %, plus de 45 %) et le point 13 (40 à 50 %) sont attribués à des « registres SSC/ESC » non identifiés, et ils se contredisent d'un point à l'autre.</w:t>
            </w:r>
          </w:p>
          <w:p>
            <w:pPr>
              <w:spacing w:after="0"/>
            </w:pPr>
            <w:r>
              <w:rPr>
                <w:b/>
                <w:color w:val="145A32"/>
                <w:sz w:val="17"/>
                <w:szCs w:val="17"/>
              </w:rPr>
              <w:t xml:space="preserve">→ Citer le registre exact (p. ex. AMIS Plus) avec année et URL, harmoniser les chiffres entre points 2 et 13, ou écrire « donnée non trouvée dans les sources consultées ».</w:t>
            </w:r>
          </w:p>
        </w:tc>
        <w:tc>
          <w:tcPr>
            <w:tcW w:w="1800" w:type="dxa"/>
            <w:vAlign w:val="top"/>
          </w:tcPr>
          <w:p>
            <w:pPr>
              <w:spacing w:after="0"/>
            </w:pPr>
            <w:r>
              <w:rPr>
                <w:sz w:val="17"/>
                <w:szCs w:val="17"/>
              </w:rPr>
              <w:t xml:space="preserve">PROMPT_V6 (Standard V6, prompt de base du lot) § 3.1</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L5-L79</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LOT_5_Appel_B_V5_Ultra_Pedagogique_Partie_3_DX.6_a_DX.7__export_GoogleDoc.html</w:t>
            </w:r>
          </w:p>
        </w:tc>
        <w:tc>
          <w:tcPr>
            <w:tcW w:w="2350" w:type="dxa"/>
            <w:vAlign w:val="top"/>
          </w:tcPr>
          <w:p>
            <w:pPr>
              <w:spacing w:after="0"/>
            </w:pPr>
            <w:r>
              <w:rPr>
                <w:sz w:val="17"/>
                <w:szCs w:val="17"/>
              </w:rPr>
              <w:t xml:space="preserve">D5.6 et D5.7 › titres (badges)</w:t>
            </w:r>
          </w:p>
        </w:tc>
        <w:tc>
          <w:tcPr>
            <w:tcW w:w="2600" w:type="dxa"/>
            <w:vAlign w:val="top"/>
          </w:tcPr>
          <w:p>
            <w:pPr>
              <w:spacing w:after="0"/>
            </w:pPr>
            <w:r>
              <w:rPr>
                <w:i/>
                <w:sz w:val="17"/>
                <w:szCs w:val="17"/>
              </w:rPr>
              <w:t xml:space="preserve">« [5 %] »</w:t>
            </w:r>
          </w:p>
        </w:tc>
        <w:tc>
          <w:tcPr>
            <w:tcW w:w="3000" w:type="dxa"/>
            <w:vAlign w:val="top"/>
          </w:tcPr>
          <w:p>
            <w:pPr>
              <w:spacing w:after="40"/>
            </w:pPr>
            <w:r>
              <w:rPr>
                <w:sz w:val="17"/>
                <w:szCs w:val="17"/>
              </w:rPr>
              <w:t xml:space="preserve">Les badges [5 %] et [4 %] reprennent les pourcentages non sourcés de l'Appel A.</w:t>
            </w:r>
          </w:p>
          <w:p>
            <w:pPr>
              <w:spacing w:after="0"/>
            </w:pPr>
            <w:r>
              <w:rPr>
                <w:b/>
                <w:color w:val="145A32"/>
                <w:sz w:val="17"/>
                <w:szCs w:val="17"/>
              </w:rPr>
              <w:t xml:space="preserve">→ Remplacer chaque badge par « Ne rang — fréquence non quantifiée (Suisse) » sauf source lue.</w:t>
            </w:r>
          </w:p>
        </w:tc>
        <w:tc>
          <w:tcPr>
            <w:tcW w:w="1800" w:type="dxa"/>
            <w:vAlign w:val="top"/>
          </w:tcPr>
          <w:p>
            <w:pPr>
              <w:spacing w:after="0"/>
            </w:pPr>
            <w:r>
              <w:rPr>
                <w:sz w:val="17"/>
                <w:szCs w:val="17"/>
              </w:rPr>
              <w:t xml:space="preserve">PROMPT_V6 (Standard V6, prompt de base du lot) § 8</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L5-L92</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LOT_5_Appel_B_V5_Ultra_Pedagogique_Partie_3_DX.6_a_DX.7__export_GoogleDoc.html</w:t>
            </w:r>
          </w:p>
        </w:tc>
        <w:tc>
          <w:tcPr>
            <w:tcW w:w="2350" w:type="dxa"/>
            <w:vAlign w:val="top"/>
          </w:tcPr>
          <w:p>
            <w:pPr>
              <w:spacing w:after="0"/>
            </w:pPr>
            <w:r>
              <w:rPr>
                <w:sz w:val="17"/>
                <w:szCs w:val="17"/>
              </w:rPr>
              <w:t xml:space="preserve">D5.6 › 11.B › Moyens pharmacologiques (et D5.6/D5.7 › 12. Prévention)</w:t>
            </w:r>
          </w:p>
        </w:tc>
        <w:tc>
          <w:tcPr>
            <w:tcW w:w="2600" w:type="dxa"/>
            <w:vAlign w:val="top"/>
          </w:tcPr>
          <w:p>
            <w:pPr>
              <w:spacing w:after="0"/>
            </w:pPr>
            <w:r>
              <w:rPr>
                <w:i/>
                <w:sz w:val="17"/>
                <w:szCs w:val="17"/>
              </w:rPr>
              <w:t xml:space="preserve">« Prévention secondaire agressive : arrêt définitif du tabagisme »</w:t>
            </w:r>
          </w:p>
        </w:tc>
        <w:tc>
          <w:tcPr>
            <w:tcW w:w="3000" w:type="dxa"/>
            <w:vAlign w:val="top"/>
          </w:tcPr>
          <w:p>
            <w:pPr>
              <w:spacing w:after="40"/>
            </w:pPr>
            <w:r>
              <w:rPr>
                <w:sz w:val="17"/>
                <w:szCs w:val="17"/>
              </w:rPr>
              <w:t xml:space="preserve">Le point 12 de D5.6 et D5.7 et les listes de 11.B sont écrits en suites nominales sans verbe conjugué.</w:t>
            </w:r>
          </w:p>
          <w:p>
            <w:pPr>
              <w:spacing w:after="0"/>
            </w:pPr>
            <w:r>
              <w:rPr>
                <w:b/>
                <w:color w:val="145A32"/>
                <w:sz w:val="17"/>
                <w:szCs w:val="17"/>
              </w:rPr>
              <w:t xml:space="preserve">→ Réécrire en phrases verbales : « En prévention secondaire, le patient arrête définitivement le tabac et le médecin contrôle la pression artérielle, la glycémie et le LDL-cholestérol. »</w:t>
            </w:r>
          </w:p>
        </w:tc>
        <w:tc>
          <w:tcPr>
            <w:tcW w:w="1800" w:type="dxa"/>
            <w:vAlign w:val="top"/>
          </w:tcPr>
          <w:p>
            <w:pPr>
              <w:spacing w:after="0"/>
            </w:pPr>
            <w:r>
              <w:rPr>
                <w:sz w:val="17"/>
                <w:szCs w:val="17"/>
              </w:rPr>
              <w:t xml:space="preserve">PROMPT_V6 (Standard V6, prompt de base du lot) § 6.1</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L5-L93</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LOT_5_Appel_B_V5_Ultra_Pedagogique_Partie_4_DX.8_a_DX.10__export_GoogleDoc__v2.html</w:t>
            </w:r>
          </w:p>
        </w:tc>
        <w:tc>
          <w:tcPr>
            <w:tcW w:w="2350" w:type="dxa"/>
            <w:vAlign w:val="top"/>
          </w:tcPr>
          <w:p>
            <w:pPr>
              <w:spacing w:after="0"/>
            </w:pPr>
            <w:r>
              <w:rPr>
                <w:sz w:val="17"/>
                <w:szCs w:val="17"/>
              </w:rPr>
              <w:t xml:space="preserve">D5.8 › Fenêtre 3.8 (CAM &amp; 4AT) › 1. Explicitation</w:t>
            </w:r>
          </w:p>
        </w:tc>
        <w:tc>
          <w:tcPr>
            <w:tcW w:w="2600" w:type="dxa"/>
            <w:vAlign w:val="top"/>
          </w:tcPr>
          <w:p>
            <w:pPr>
              <w:spacing w:after="0"/>
            </w:pPr>
            <w:r>
              <w:rPr>
                <w:i/>
                <w:sz w:val="17"/>
                <w:szCs w:val="17"/>
              </w:rPr>
              <w:t xml:space="preserve">« La CAM exige la présence conjointe de 4 critères »</w:t>
            </w:r>
          </w:p>
        </w:tc>
        <w:tc>
          <w:tcPr>
            <w:tcW w:w="3000" w:type="dxa"/>
            <w:vAlign w:val="top"/>
          </w:tcPr>
          <w:p>
            <w:pPr>
              <w:spacing w:after="40"/>
            </w:pPr>
            <w:r>
              <w:rPr>
                <w:sz w:val="17"/>
                <w:szCs w:val="17"/>
              </w:rPr>
              <w:t xml:space="preserve">La règle de la CAM est fausse : elle exige le début aigu/fluctuant ET l'inattention, plus soit la pensée désorganisée, soit l'altération du niveau de conscience (3 critères sur 4 selon cet algorithme).</w:t>
            </w:r>
          </w:p>
          <w:p>
            <w:pPr>
              <w:spacing w:after="0"/>
            </w:pPr>
            <w:r>
              <w:rPr>
                <w:b/>
                <w:color w:val="145A32"/>
                <w:sz w:val="17"/>
                <w:szCs w:val="17"/>
              </w:rPr>
              <w:t xml:space="preserve">→ Écrire « La CAM est positive si le début est aigu ou fluctuant et s'il existe une inattention, associés à une pensée désorganisée ou à une altération du niveau de conscience. »</w:t>
            </w:r>
          </w:p>
        </w:tc>
        <w:tc>
          <w:tcPr>
            <w:tcW w:w="1800" w:type="dxa"/>
            <w:vAlign w:val="top"/>
          </w:tcPr>
          <w:p>
            <w:pPr>
              <w:spacing w:after="0"/>
            </w:pPr>
            <w:r>
              <w:rPr>
                <w:sz w:val="17"/>
                <w:szCs w:val="17"/>
              </w:rPr>
              <w:t xml:space="preserve">4AT — User guide (seuils et cotation officiels) — https://www.the4at.com/userguide — consulté le 22.10.2026 ; Inouye et al., Ann Intern Med 1990</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L5-L94</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LOT_5_Appel_B_V5_Ultra_Pedagogique_Partie_4_DX.8_a_DX.10__export_GoogleDoc__v2.html</w:t>
            </w:r>
          </w:p>
        </w:tc>
        <w:tc>
          <w:tcPr>
            <w:tcW w:w="2350" w:type="dxa"/>
            <w:vAlign w:val="top"/>
          </w:tcPr>
          <w:p>
            <w:pPr>
              <w:spacing w:after="0"/>
            </w:pPr>
            <w:r>
              <w:rPr>
                <w:sz w:val="17"/>
                <w:szCs w:val="17"/>
              </w:rPr>
              <w:t xml:space="preserve">D5.8 › Fenêtre 3.8 › Exemple clinique</w:t>
            </w:r>
          </w:p>
        </w:tc>
        <w:tc>
          <w:tcPr>
            <w:tcW w:w="2600" w:type="dxa"/>
            <w:vAlign w:val="top"/>
          </w:tcPr>
          <w:p>
            <w:pPr>
              <w:spacing w:after="0"/>
            </w:pPr>
            <w:r>
              <w:rPr>
                <w:i/>
                <w:sz w:val="17"/>
                <w:szCs w:val="17"/>
              </w:rPr>
              <w:t xml:space="preserve">« somnolente par moments (1 pt), incapable de réciter les mois à l'envers (2 pts), début brutal sur 48h (2 pts) »</w:t>
            </w:r>
          </w:p>
        </w:tc>
        <w:tc>
          <w:tcPr>
            <w:tcW w:w="3000" w:type="dxa"/>
            <w:vAlign w:val="top"/>
          </w:tcPr>
          <w:p>
            <w:pPr>
              <w:spacing w:after="40"/>
            </w:pPr>
            <w:r>
              <w:rPr>
                <w:sz w:val="17"/>
                <w:szCs w:val="17"/>
              </w:rPr>
              <w:t xml:space="preserve">La cotation du 4AT est fausse : une vigilance clairement anormale vaut 4 points (0 ou 4), un changement aigu vaut 4 points (0 ou 4) ; le total recalculé atteint au moins 10 points (calcul dérivé) et le 4AT ne « confirme » pas un delirium.</w:t>
            </w:r>
          </w:p>
          <w:p>
            <w:pPr>
              <w:spacing w:after="0"/>
            </w:pPr>
            <w:r>
              <w:rPr>
                <w:b/>
                <w:color w:val="145A32"/>
                <w:sz w:val="17"/>
                <w:szCs w:val="17"/>
              </w:rPr>
              <w:t xml:space="preserve">→ Écrire « Vigilance anormale (4) + mois à l'envers non testables (2) + changement aigu (4) = 10 points au moins (AMT4 à coter) : delirium probable ; le diagnostic reste clinique. »</w:t>
            </w:r>
          </w:p>
        </w:tc>
        <w:tc>
          <w:tcPr>
            <w:tcW w:w="1800" w:type="dxa"/>
            <w:vAlign w:val="top"/>
          </w:tcPr>
          <w:p>
            <w:pPr>
              <w:spacing w:after="0"/>
            </w:pPr>
            <w:r>
              <w:rPr>
                <w:sz w:val="17"/>
                <w:szCs w:val="17"/>
              </w:rPr>
              <w:t xml:space="preserve">4AT — User guide (seuils et cotation officiels) — https://www.the4at.com/userguide — consulté le 22.10.2026</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L5-M01</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LOT_5_Appel_A_V5_Ultra_Pedagogique_Plan_et_Liste__export_GoogleDoc.html</w:t>
            </w:r>
          </w:p>
        </w:tc>
        <w:tc>
          <w:tcPr>
            <w:tcW w:w="2350" w:type="dxa"/>
            <w:vAlign w:val="top"/>
          </w:tcPr>
          <w:p>
            <w:pPr>
              <w:spacing w:after="0"/>
            </w:pPr>
            <w:r>
              <w:rPr>
                <w:sz w:val="17"/>
                <w:szCs w:val="17"/>
              </w:rPr>
              <w:t xml:space="preserve">Ensemble du fichier (6 occurrences : Appel A, Parties 1, 2, 3, Partie 4 v1 et v2)</w:t>
            </w:r>
          </w:p>
        </w:tc>
        <w:tc>
          <w:tcPr>
            <w:tcW w:w="2600" w:type="dxa"/>
            <w:vAlign w:val="top"/>
          </w:tcPr>
          <w:p>
            <w:pPr>
              <w:spacing w:after="0"/>
            </w:pPr>
            <w:r>
              <w:rPr>
                <w:i/>
                <w:sz w:val="17"/>
                <w:szCs w:val="17"/>
              </w:rPr>
              <w:t xml:space="preserve">« Appel A — Plan Monographique &amp; Liste Différentielle »</w:t>
            </w:r>
          </w:p>
        </w:tc>
        <w:tc>
          <w:tcPr>
            <w:tcW w:w="3000" w:type="dxa"/>
            <w:vAlign w:val="top"/>
          </w:tcPr>
          <w:p>
            <w:pPr>
              <w:spacing w:after="40"/>
            </w:pPr>
            <w:r>
              <w:rPr>
                <w:sz w:val="17"/>
                <w:szCs w:val="17"/>
              </w:rPr>
              <w:t xml:space="preserve">Les six versions V5 sont des Google Docs exportés : elles n'ont aucune fenêtre &lt;details&gt;, aucune balise FIN_FICHIER, aucune section Sources [S1]…[Sn] ni mention de non-validation, et leurs formules ne sont que des images PNG sans texte alternatif.</w:t>
            </w:r>
          </w:p>
          <w:p>
            <w:pPr>
              <w:spacing w:after="0"/>
            </w:pPr>
            <w:r>
              <w:rPr>
                <w:b/>
                <w:color w:val="145A32"/>
                <w:sz w:val="17"/>
                <w:szCs w:val="17"/>
              </w:rPr>
              <w:t xml:space="preserve">→ Régénérer chaque partie en fichier .html natif (gabarit V6 § 9), réécrire les formules en texte, ajouter fenêtres, Sources numérotées, mention de non-validation et &lt;!-- FIN_FICHIER LOT_5_… --&gt;, puis déposer en text/html sans conversion.</w:t>
            </w:r>
          </w:p>
        </w:tc>
        <w:tc>
          <w:tcPr>
            <w:tcW w:w="1800" w:type="dxa"/>
            <w:vAlign w:val="top"/>
          </w:tcPr>
          <w:p>
            <w:pPr>
              <w:spacing w:after="0"/>
            </w:pPr>
            <w:r>
              <w:rPr>
                <w:sz w:val="17"/>
                <w:szCs w:val="17"/>
              </w:rPr>
              <w:t xml:space="preserve">PROMPT_V6.md (prompt de base du chantier PROFILES), § 0, § 3.8, § 7 et § 9</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L5-M03</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LOT_5_V6_Enrichi_8plus_Partie_1_Integral.html</w:t>
            </w:r>
          </w:p>
        </w:tc>
        <w:tc>
          <w:tcPr>
            <w:tcW w:w="2350" w:type="dxa"/>
            <w:vAlign w:val="top"/>
          </w:tcPr>
          <w:p>
            <w:pPr>
              <w:spacing w:after="0"/>
            </w:pPr>
            <w:r>
              <w:rPr>
                <w:sz w:val="17"/>
                <w:szCs w:val="17"/>
              </w:rPr>
              <w:t xml:space="preserve">En-tête › présentation de l'édition</w:t>
            </w:r>
          </w:p>
        </w:tc>
        <w:tc>
          <w:tcPr>
            <w:tcW w:w="2600" w:type="dxa"/>
            <w:vAlign w:val="top"/>
          </w:tcPr>
          <w:p>
            <w:pPr>
              <w:spacing w:after="0"/>
            </w:pPr>
            <w:r>
              <w:rPr>
                <w:i/>
                <w:sz w:val="17"/>
                <w:szCs w:val="17"/>
              </w:rPr>
              <w:t xml:space="preserve">« Cette édition réunit le SSP principal et les dix diagnostics du plan initial. »</w:t>
            </w:r>
          </w:p>
        </w:tc>
        <w:tc>
          <w:tcPr>
            <w:tcW w:w="3000" w:type="dxa"/>
            <w:vAlign w:val="top"/>
          </w:tcPr>
          <w:p>
            <w:pPr>
              <w:spacing w:after="40"/>
            </w:pPr>
            <w:r>
              <w:rPr>
                <w:sz w:val="17"/>
                <w:szCs w:val="17"/>
              </w:rPr>
              <w:t xml:space="preserve">Le fichier intitulé « Partie_1 » contient l'Appel A et les dix monographies : il rompt la structure 2-3-2-3 en 5 fichiers et coexiste avec les versions V5, si bien qu'aucune version active unique n'existe pour chaque partie.</w:t>
            </w:r>
          </w:p>
          <w:p>
            <w:pPr>
              <w:spacing w:after="0"/>
            </w:pPr>
            <w:r>
              <w:rPr>
                <w:b/>
                <w:color w:val="145A32"/>
                <w:sz w:val="17"/>
                <w:szCs w:val="17"/>
              </w:rPr>
              <w:t xml:space="preserve">→ Choisir une seule version de référence par partie ; scinder le contenu en LOT_5_Appel_A…html et Parties 1 à 4 nommées selon le § 4, et archiver les autres versions.</w:t>
            </w:r>
          </w:p>
        </w:tc>
        <w:tc>
          <w:tcPr>
            <w:tcW w:w="1800" w:type="dxa"/>
            <w:vAlign w:val="top"/>
          </w:tcPr>
          <w:p>
            <w:pPr>
              <w:spacing w:after="0"/>
            </w:pPr>
            <w:r>
              <w:rPr>
                <w:sz w:val="17"/>
                <w:szCs w:val="17"/>
              </w:rPr>
              <w:t xml:space="preserve">PROMPT_V6.md (prompt de base du chantier PROFILES), § 4 et § 12</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L5-M04</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LOT_5_Appel_A_V5_Ultra_Pedagogique_Plan_et_Liste__export_GoogleDoc.html</w:t>
            </w:r>
          </w:p>
        </w:tc>
        <w:tc>
          <w:tcPr>
            <w:tcW w:w="2350" w:type="dxa"/>
            <w:vAlign w:val="top"/>
          </w:tcPr>
          <w:p>
            <w:pPr>
              <w:spacing w:after="0"/>
            </w:pPr>
            <w:r>
              <w:rPr>
                <w:sz w:val="17"/>
                <w:szCs w:val="17"/>
              </w:rPr>
              <w:t xml:space="preserve">Bloc 2 › badges des DX.1 à DX.10</w:t>
            </w:r>
          </w:p>
        </w:tc>
        <w:tc>
          <w:tcPr>
            <w:tcW w:w="2600" w:type="dxa"/>
            <w:vAlign w:val="top"/>
          </w:tcPr>
          <w:p>
            <w:pPr>
              <w:spacing w:after="0"/>
            </w:pPr>
            <w:r>
              <w:rPr>
                <w:i/>
                <w:sz w:val="17"/>
                <w:szCs w:val="17"/>
              </w:rPr>
              <w:t xml:space="preserve">« Entérovirus) 35 % — (Première cause absolue de sensation aiguë de maladie »</w:t>
            </w:r>
          </w:p>
        </w:tc>
        <w:tc>
          <w:tcPr>
            <w:tcW w:w="3000" w:type="dxa"/>
            <w:vAlign w:val="top"/>
          </w:tcPr>
          <w:p>
            <w:pPr>
              <w:spacing w:after="40"/>
            </w:pPr>
            <w:r>
              <w:rPr>
                <w:sz w:val="17"/>
                <w:szCs w:val="17"/>
              </w:rPr>
              <w:t xml:space="preserve">Les pourcentages 35 %, 18 %, 15 %, 10 %, 8 %, 5 %, 4 %, 2,5 %, 1,5 % et 1 % ne renvoient à aucune source lue et totalisent exactement 100 %, ce qui trahit une construction arbitraire ; ils sont repris dans les titres des Parties 1 à 4.</w:t>
            </w:r>
          </w:p>
          <w:p>
            <w:pPr>
              <w:spacing w:after="0"/>
            </w:pPr>
            <w:r>
              <w:rPr>
                <w:b/>
                <w:color w:val="145A32"/>
                <w:sz w:val="17"/>
                <w:szCs w:val="17"/>
              </w:rPr>
              <w:t xml:space="preserve">→ Remplacer chaque badge par « Ne rang — fréquence non quantifiée (Suisse) » sauf source suisse lue, et annoncer le critère d'ordre (fréquence pondérée par la gravité).</w:t>
            </w:r>
          </w:p>
        </w:tc>
        <w:tc>
          <w:tcPr>
            <w:tcW w:w="1800" w:type="dxa"/>
            <w:vAlign w:val="top"/>
          </w:tcPr>
          <w:p>
            <w:pPr>
              <w:spacing w:after="0"/>
            </w:pPr>
            <w:r>
              <w:rPr>
                <w:sz w:val="17"/>
                <w:szCs w:val="17"/>
              </w:rPr>
              <w:t xml:space="preserve">PROMPT_V6.md (prompt de base du chantier PROFILES), § 8 (badge seulement s'il est sourcé) ; donnée non trouvée dans les sources consultées</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L5-M05</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LOT_5_Appel_A_V5_Ultra_Pedagogique_Plan_et_Liste__export_GoogleDoc.html</w:t>
            </w:r>
          </w:p>
        </w:tc>
        <w:tc>
          <w:tcPr>
            <w:tcW w:w="2350" w:type="dxa"/>
            <w:vAlign w:val="top"/>
          </w:tcPr>
          <w:p>
            <w:pPr>
              <w:spacing w:after="0"/>
            </w:pPr>
            <w:r>
              <w:rPr>
                <w:sz w:val="17"/>
                <w:szCs w:val="17"/>
              </w:rPr>
              <w:t xml:space="preserve">Bloc 2 › liste DX.1–DX.10 (titre)</w:t>
            </w:r>
          </w:p>
        </w:tc>
        <w:tc>
          <w:tcPr>
            <w:tcW w:w="2600" w:type="dxa"/>
            <w:vAlign w:val="top"/>
          </w:tcPr>
          <w:p>
            <w:pPr>
              <w:spacing w:after="0"/>
            </w:pPr>
            <w:r>
              <w:rPr>
                <w:i/>
                <w:sz w:val="17"/>
                <w:szCs w:val="17"/>
              </w:rPr>
              <w:t xml:space="preserve">« BLOC 2 : LISTE ORDONNÉE PAR PRÉVALENCE DÉCROISSANTE DES 10 DIAGNOSTICS DIFFÉRENTIELS (SSP G5) »</w:t>
            </w:r>
          </w:p>
        </w:tc>
        <w:tc>
          <w:tcPr>
            <w:tcW w:w="3000" w:type="dxa"/>
            <w:vAlign w:val="top"/>
          </w:tcPr>
          <w:p>
            <w:pPr>
              <w:spacing w:after="40"/>
            </w:pPr>
            <w:r>
              <w:rPr>
                <w:sz w:val="17"/>
                <w:szCs w:val="17"/>
              </w:rPr>
              <w:t xml:space="preserve">La liste omet des causes graves ou fréquentes de malaise général à ne pas manquer : néoplasie occulte, insuffisance surrénalienne (crise addisonienne), dysthyroïdie, anémie, dépression, primo-infection VIH ou tuberculose ; à l'inverse D5.8 (delirium) décrit un syndrome et non une étiologie.</w:t>
            </w:r>
          </w:p>
          <w:p>
            <w:pPr>
              <w:spacing w:after="0"/>
            </w:pPr>
            <w:r>
              <w:rPr>
                <w:b/>
                <w:color w:val="145A32"/>
                <w:sz w:val="17"/>
                <w:szCs w:val="17"/>
              </w:rPr>
              <w:t xml:space="preserve">→ Réévaluer la liste : intégrer au moins « néoplasie occulte » et « endocrinopathies (insuffisance surrénalienne, dysthyroïdie) », ou les traiter explicitement dans le point 4 de l'Appel A et dans le tableau comparatif ; justifier l'exclusion de chaque cause écartée.</w:t>
            </w:r>
          </w:p>
        </w:tc>
        <w:tc>
          <w:tcPr>
            <w:tcW w:w="1800" w:type="dxa"/>
            <w:vAlign w:val="top"/>
          </w:tcPr>
          <w:p>
            <w:pPr>
              <w:spacing w:after="0"/>
            </w:pPr>
            <w:r>
              <w:rPr>
                <w:sz w:val="17"/>
                <w:szCs w:val="17"/>
              </w:rPr>
              <w:t xml:space="preserve">PROMPT_V6.md (prompt de base du chantier PROFILES), § 8 et § 5.4 ; liste officielle PROFILES 2023, smifk-cims.ch/profiles-2023/ssps (contenu détaillé du SSP G5 : donnée non trouvée dans les sources consultées)</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L5-M06</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LOT_5_Appel_A_V5_Ultra_Pedagogique_Plan_et_Liste__export_GoogleDoc.html</w:t>
            </w:r>
          </w:p>
        </w:tc>
        <w:tc>
          <w:tcPr>
            <w:tcW w:w="2350" w:type="dxa"/>
            <w:vAlign w:val="top"/>
          </w:tcPr>
          <w:p>
            <w:pPr>
              <w:spacing w:after="0"/>
            </w:pPr>
            <w:r>
              <w:rPr>
                <w:sz w:val="17"/>
                <w:szCs w:val="17"/>
              </w:rPr>
              <w:t xml:space="preserve">Bloc 1 › point 2 Épidémiologie</w:t>
            </w:r>
          </w:p>
        </w:tc>
        <w:tc>
          <w:tcPr>
            <w:tcW w:w="2600" w:type="dxa"/>
            <w:vAlign w:val="top"/>
          </w:tcPr>
          <w:p>
            <w:pPr>
              <w:spacing w:after="0"/>
            </w:pPr>
            <w:r>
              <w:rPr>
                <w:i/>
                <w:sz w:val="17"/>
                <w:szCs w:val="17"/>
              </w:rPr>
              <w:t xml:space="preserve">« la plainte non spécifique de sensation de maladie ou d'altération aiguë de l'état général motive 8 à 15 % des consultations »</w:t>
            </w:r>
          </w:p>
        </w:tc>
        <w:tc>
          <w:tcPr>
            <w:tcW w:w="3000" w:type="dxa"/>
            <w:vAlign w:val="top"/>
          </w:tcPr>
          <w:p>
            <w:pPr>
              <w:spacing w:after="40"/>
            </w:pPr>
            <w:r>
              <w:rPr>
                <w:sz w:val="17"/>
                <w:szCs w:val="17"/>
              </w:rPr>
              <w:t xml:space="preserve">Les chiffres 8 à 15 %, &gt; 20 % et &gt; 30 % sont attribués globalement à la SSMIG et à la Revue Médicale Suisse sans référence précise ni date ; ils sont invérifiables.</w:t>
            </w:r>
          </w:p>
          <w:p>
            <w:pPr>
              <w:spacing w:after="0"/>
            </w:pPr>
            <w:r>
              <w:rPr>
                <w:b/>
                <w:color w:val="145A32"/>
                <w:sz w:val="17"/>
                <w:szCs w:val="17"/>
              </w:rPr>
              <w:t xml:space="preserve">→ Citer la publication exacte (auteur, année, URL) ou écrire « donnée non trouvée dans les sources consultées » et ouvrir une question HELP.</w:t>
            </w:r>
          </w:p>
        </w:tc>
        <w:tc>
          <w:tcPr>
            <w:tcW w:w="1800" w:type="dxa"/>
            <w:vAlign w:val="top"/>
          </w:tcPr>
          <w:p>
            <w:pPr>
              <w:spacing w:after="0"/>
            </w:pPr>
            <w:r>
              <w:rPr>
                <w:sz w:val="17"/>
                <w:szCs w:val="17"/>
              </w:rPr>
              <w:t xml:space="preserve">PROMPT_V6.md (prompt de base du chantier PROFILES), § 3.1 et § 3.7 ; donnée non trouvée dans les sources consultées</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L5-M09</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LOT_5_Appel_A_V5_Ultra_Pedagogique_Plan_et_Liste__export_GoogleDoc.html</w:t>
            </w:r>
          </w:p>
        </w:tc>
        <w:tc>
          <w:tcPr>
            <w:tcW w:w="2350" w:type="dxa"/>
            <w:vAlign w:val="top"/>
          </w:tcPr>
          <w:p>
            <w:pPr>
              <w:spacing w:after="0"/>
            </w:pPr>
            <w:r>
              <w:rPr>
                <w:sz w:val="17"/>
                <w:szCs w:val="17"/>
              </w:rPr>
              <w:t xml:space="preserve">Bloc 1 › point 11.D Pronostic et recherche 2026</w:t>
            </w:r>
          </w:p>
        </w:tc>
        <w:tc>
          <w:tcPr>
            <w:tcW w:w="2600" w:type="dxa"/>
            <w:vAlign w:val="top"/>
          </w:tcPr>
          <w:p>
            <w:pPr>
              <w:spacing w:after="0"/>
            </w:pPr>
            <w:r>
              <w:rPr>
                <w:i/>
                <w:sz w:val="17"/>
                <w:szCs w:val="17"/>
              </w:rPr>
              <w:t xml:space="preserve">« qui prédisent avec une précision supérieure à 90 % le risque de dégradation clinique à 7 jours et sécurisent le retour à domicile »</w:t>
            </w:r>
          </w:p>
        </w:tc>
        <w:tc>
          <w:tcPr>
            <w:tcW w:w="3000" w:type="dxa"/>
            <w:vAlign w:val="top"/>
          </w:tcPr>
          <w:p>
            <w:pPr>
              <w:spacing w:after="40"/>
            </w:pPr>
            <w:r>
              <w:rPr>
                <w:sz w:val="17"/>
                <w:szCs w:val="17"/>
              </w:rPr>
              <w:t xml:space="preserve">L'affirmation d'un triage suisse 2026 par suPAR et MR-proADM délocalisés avec précision &gt; 90 % ne cite aucune source et n'a été retrouvée dans aucune recommandation.</w:t>
            </w:r>
          </w:p>
          <w:p>
            <w:pPr>
              <w:spacing w:after="0"/>
            </w:pPr>
            <w:r>
              <w:rPr>
                <w:b/>
                <w:color w:val="145A32"/>
                <w:sz w:val="17"/>
                <w:szCs w:val="17"/>
              </w:rPr>
              <w:t xml:space="preserve">→ Supprimer l'affirmation ou la remplacer par « Le suPAR et la MR-proADM restent des biomarqueurs pronostiques de recherche ; leur usage de routine n'est pas recommandé (donnée non trouvée dans les sources consultées). »</w:t>
            </w:r>
          </w:p>
        </w:tc>
        <w:tc>
          <w:tcPr>
            <w:tcW w:w="1800" w:type="dxa"/>
            <w:vAlign w:val="top"/>
          </w:tcPr>
          <w:p>
            <w:pPr>
              <w:spacing w:after="0"/>
            </w:pPr>
            <w:r>
              <w:rPr>
                <w:sz w:val="17"/>
                <w:szCs w:val="17"/>
              </w:rPr>
              <w:t xml:space="preserve">Donnée non trouvée dans les sources consultées ; PROMPT_V6.md (prompt de base du chantier PROFILES), § 3.1</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L5-M10</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LOT_5_Appel_B_V5_Ultra_Pedagogique_Partie_1_DX.1_a_DX.2__export_GoogleDoc.html</w:t>
            </w:r>
          </w:p>
        </w:tc>
        <w:tc>
          <w:tcPr>
            <w:tcW w:w="2350" w:type="dxa"/>
            <w:vAlign w:val="top"/>
          </w:tcPr>
          <w:p>
            <w:pPr>
              <w:spacing w:after="0"/>
            </w:pPr>
            <w:r>
              <w:rPr>
                <w:sz w:val="17"/>
                <w:szCs w:val="17"/>
              </w:rPr>
              <w:t xml:space="preserve">D5.1 › point 11.B › antiviraux › Oseltamivir</w:t>
            </w:r>
          </w:p>
        </w:tc>
        <w:tc>
          <w:tcPr>
            <w:tcW w:w="2600" w:type="dxa"/>
            <w:vAlign w:val="top"/>
          </w:tcPr>
          <w:p>
            <w:pPr>
              <w:spacing w:after="0"/>
            </w:pPr>
            <w:r>
              <w:rPr>
                <w:i/>
                <w:sz w:val="17"/>
                <w:szCs w:val="17"/>
              </w:rPr>
              <w:t xml:space="preserve">« Posologie : 75 mg 2 fois par jour per os pendant 5 jours (adapter à 75 mg 1x/j si »</w:t>
            </w:r>
          </w:p>
        </w:tc>
        <w:tc>
          <w:tcPr>
            <w:tcW w:w="3000" w:type="dxa"/>
            <w:vAlign w:val="top"/>
          </w:tcPr>
          <w:p>
            <w:pPr>
              <w:spacing w:after="40"/>
            </w:pPr>
            <w:r>
              <w:rPr>
                <w:sz w:val="17"/>
                <w:szCs w:val="17"/>
              </w:rPr>
              <w:t xml:space="preserve">L'adaptation rénale est fausse : pour une clairance de la créatinine &gt; 30 à 60 mL/min, l'information professionnelle prévoit 30 mg 2 fois par jour, et 30 mg 1 fois par jour entre 10 et 30 mL/min ; l'oseltamivir n'est pas recommandé ≤ 10 mL/min.</w:t>
            </w:r>
          </w:p>
          <w:p>
            <w:pPr>
              <w:spacing w:after="0"/>
            </w:pPr>
            <w:r>
              <w:rPr>
                <w:b/>
                <w:color w:val="145A32"/>
                <w:sz w:val="17"/>
                <w:szCs w:val="17"/>
              </w:rPr>
              <w:t xml:space="preserve">→ Écrire : « Adapter selon la clairance de la créatinine : &gt; 30–60 mL/min : 30 mg 2×/j ; &gt; 10–30 mL/min : 30 mg 1×/j ; ≤ 10 mL/min : non recommandé ; hémodialyse : 30 mg après chaque séance. » et vérifier sur la FI suisse (AIPS).</w:t>
            </w:r>
          </w:p>
        </w:tc>
        <w:tc>
          <w:tcPr>
            <w:tcW w:w="1800" w:type="dxa"/>
            <w:vAlign w:val="top"/>
          </w:tcPr>
          <w:p>
            <w:pPr>
              <w:spacing w:after="0"/>
            </w:pPr>
            <w:r>
              <w:rPr>
                <w:sz w:val="17"/>
                <w:szCs w:val="17"/>
              </w:rPr>
              <w:t xml:space="preserve">EMA, Tamiflu — Résumé des caractéristiques du produit, rubrique 4.2 (tableau insuffisance rénale), https://www.ema.europa.eu/en/documents/product-information/tamiflu-epar-product-information_en.pdf, consulté le 22.10.2026</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L5-M12</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LOT_5_Appel_B_V5_Ultra_Pedagogique_Partie_1_DX.1_a_DX.2__export_GoogleDoc.html</w:t>
            </w:r>
          </w:p>
        </w:tc>
        <w:tc>
          <w:tcPr>
            <w:tcW w:w="2350" w:type="dxa"/>
            <w:vAlign w:val="top"/>
          </w:tcPr>
          <w:p>
            <w:pPr>
              <w:spacing w:after="0"/>
            </w:pPr>
            <w:r>
              <w:rPr>
                <w:sz w:val="17"/>
                <w:szCs w:val="17"/>
              </w:rPr>
              <w:t xml:space="preserve">D5.1 › point 11.D Recherche 2026</w:t>
            </w:r>
          </w:p>
        </w:tc>
        <w:tc>
          <w:tcPr>
            <w:tcW w:w="2600" w:type="dxa"/>
            <w:vAlign w:val="top"/>
          </w:tcPr>
          <w:p>
            <w:pPr>
              <w:spacing w:after="0"/>
            </w:pPr>
            <w:r>
              <w:rPr>
                <w:i/>
                <w:sz w:val="17"/>
                <w:szCs w:val="17"/>
              </w:rPr>
              <w:t xml:space="preserve">« la prévention vaccinale suisse intègre les vaccins combinés à ARNm multivalents ciblant simultanément les souches saisonnières d'Influenza A/B »</w:t>
            </w:r>
          </w:p>
        </w:tc>
        <w:tc>
          <w:tcPr>
            <w:tcW w:w="3000" w:type="dxa"/>
            <w:vAlign w:val="top"/>
          </w:tcPr>
          <w:p>
            <w:pPr>
              <w:spacing w:after="40"/>
            </w:pPr>
            <w:r>
              <w:rPr>
                <w:sz w:val="17"/>
                <w:szCs w:val="17"/>
              </w:rPr>
              <w:t xml:space="preserve">Aucun vaccin combiné ARNm grippe/COVID-19 ne figure au plan de vaccination suisse cité ; l'affirmation n'est pas sourcée et risque d'être fausse.</w:t>
            </w:r>
          </w:p>
          <w:p>
            <w:pPr>
              <w:spacing w:after="0"/>
            </w:pPr>
            <w:r>
              <w:rPr>
                <w:b/>
                <w:color w:val="145A32"/>
                <w:sz w:val="17"/>
                <w:szCs w:val="17"/>
              </w:rPr>
              <w:t xml:space="preserve">→ Supprimer la phrase ou écrire « Les vaccins combinés grippe/COVID-19 à ARNm restent en évaluation ; donnée d'autorisation suisse non trouvée dans les sources consultées. »</w:t>
            </w:r>
          </w:p>
        </w:tc>
        <w:tc>
          <w:tcPr>
            <w:tcW w:w="1800" w:type="dxa"/>
            <w:vAlign w:val="top"/>
          </w:tcPr>
          <w:p>
            <w:pPr>
              <w:spacing w:after="0"/>
            </w:pPr>
            <w:r>
              <w:rPr>
                <w:sz w:val="17"/>
                <w:szCs w:val="17"/>
              </w:rPr>
              <w:t xml:space="preserve">OFSP, Plan de vaccination suisse (version en vigueur) — mention non trouvée dans les sources consultées</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L5-M18</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LOT_5_Appel_B_V5_Ultra_Pedagogique_Partie_2_DX.3_a_DX.5__export_GoogleDoc.html</w:t>
            </w:r>
          </w:p>
        </w:tc>
        <w:tc>
          <w:tcPr>
            <w:tcW w:w="2350" w:type="dxa"/>
            <w:vAlign w:val="top"/>
          </w:tcPr>
          <w:p>
            <w:pPr>
              <w:spacing w:after="0"/>
            </w:pPr>
            <w:r>
              <w:rPr>
                <w:sz w:val="17"/>
                <w:szCs w:val="17"/>
              </w:rPr>
              <w:t xml:space="preserve">D5.4 › Fenêtre 3.4 Katz › exemple clinique</w:t>
            </w:r>
          </w:p>
        </w:tc>
        <w:tc>
          <w:tcPr>
            <w:tcW w:w="2600" w:type="dxa"/>
            <w:vAlign w:val="top"/>
          </w:tcPr>
          <w:p>
            <w:pPr>
              <w:spacing w:after="0"/>
            </w:pPr>
            <w:r>
              <w:rPr>
                <w:i/>
                <w:sz w:val="17"/>
                <w:szCs w:val="17"/>
              </w:rPr>
              <w:t xml:space="preserve">« (La natrémie réelle est normale, le trouble est purement hyperglycémique). »</w:t>
            </w:r>
          </w:p>
        </w:tc>
        <w:tc>
          <w:tcPr>
            <w:tcW w:w="3000" w:type="dxa"/>
            <w:vAlign w:val="top"/>
          </w:tcPr>
          <w:p>
            <w:pPr>
              <w:spacing w:after="40"/>
            </w:pPr>
            <w:r>
              <w:rPr>
                <w:sz w:val="17"/>
                <w:szCs w:val="17"/>
              </w:rPr>
              <w:t xml:space="preserve">Le facteur 0,016 s'applique à une glycémie en mg/dL, non en mmol/L : l'exemple aboutit à 126,3 mmol/L tout en concluant à une natrémie normale, ce qui est faux.</w:t>
            </w:r>
          </w:p>
          <w:p>
            <w:pPr>
              <w:spacing w:after="0"/>
            </w:pPr>
            <w:r>
              <w:rPr>
                <w:b/>
                <w:color w:val="145A32"/>
                <w:sz w:val="17"/>
                <w:szCs w:val="17"/>
              </w:rPr>
              <w:t xml:space="preserve">→ Écrire : « Na corrigée = Na mesurée + 1,6 × (glycémie [mmol/L] − 5,6)/5,6. Exemple : 126 + 1,6 × 20/5,6 = 131,7 mmol/L (calcul dérivé) : l'hyponatrémie persiste et doit être explorée. »</w:t>
            </w:r>
          </w:p>
        </w:tc>
        <w:tc>
          <w:tcPr>
            <w:tcW w:w="1800" w:type="dxa"/>
            <w:vAlign w:val="top"/>
          </w:tcPr>
          <w:p>
            <w:pPr>
              <w:spacing w:after="0"/>
            </w:pPr>
            <w:r>
              <w:rPr>
                <w:sz w:val="17"/>
                <w:szCs w:val="17"/>
              </w:rPr>
              <w:t xml:space="preserve">Calcul dérivé à partir du facteur du document (0,016 par mg/dL ; 1 mmol/L de glucose = 18 mg/dL ; 20 mmol/L = 360 mg/dL ; 0,016 × 360 = 5,8 mmol/L)</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L5-M23</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LOT_5_Appel_B_V5_Ultra_Pedagogique_Partie_2_DX.3_a_DX.5__export_GoogleDoc.html</w:t>
            </w:r>
          </w:p>
        </w:tc>
        <w:tc>
          <w:tcPr>
            <w:tcW w:w="2350" w:type="dxa"/>
            <w:vAlign w:val="top"/>
          </w:tcPr>
          <w:p>
            <w:pPr>
              <w:spacing w:after="0"/>
            </w:pPr>
            <w:r>
              <w:rPr>
                <w:sz w:val="17"/>
                <w:szCs w:val="17"/>
              </w:rPr>
              <w:t xml:space="preserve">D5.4 › point 11.B › Hyperkaliémie › résines</w:t>
            </w:r>
          </w:p>
        </w:tc>
        <w:tc>
          <w:tcPr>
            <w:tcW w:w="2600" w:type="dxa"/>
            <w:vAlign w:val="top"/>
          </w:tcPr>
          <w:p>
            <w:pPr>
              <w:spacing w:after="0"/>
            </w:pPr>
            <w:r>
              <w:rPr>
                <w:i/>
                <w:sz w:val="17"/>
                <w:szCs w:val="17"/>
              </w:rPr>
              <w:t xml:space="preserve">« calcium polystyrène sulfonate, Resonium® »</w:t>
            </w:r>
          </w:p>
        </w:tc>
        <w:tc>
          <w:tcPr>
            <w:tcW w:w="3000" w:type="dxa"/>
            <w:vAlign w:val="top"/>
          </w:tcPr>
          <w:p>
            <w:pPr>
              <w:spacing w:after="40"/>
            </w:pPr>
            <w:r>
              <w:rPr>
                <w:sz w:val="17"/>
                <w:szCs w:val="17"/>
              </w:rPr>
              <w:t xml:space="preserve">Resonium® A, autorisé en Suisse sous le n° 33379 (sanofi-aventis), contient du polystyrène sulfonate de sodium et non de calcium.</w:t>
            </w:r>
          </w:p>
          <w:p>
            <w:pPr>
              <w:spacing w:after="0"/>
            </w:pPr>
            <w:r>
              <w:rPr>
                <w:b/>
                <w:color w:val="145A32"/>
                <w:sz w:val="17"/>
                <w:szCs w:val="17"/>
              </w:rPr>
              <w:t xml:space="preserve">→ Écrire « polystyrène sulfonate de sodium (Resonium® A) » ; vérifier sur AIPS l'existence d'une spécialité suisse au polystyrène sulfonate de calcium avant de la nommer.</w:t>
            </w:r>
          </w:p>
        </w:tc>
        <w:tc>
          <w:tcPr>
            <w:tcW w:w="1800" w:type="dxa"/>
            <w:vAlign w:val="top"/>
          </w:tcPr>
          <w:p>
            <w:pPr>
              <w:spacing w:after="0"/>
            </w:pPr>
            <w:r>
              <w:rPr>
                <w:sz w:val="17"/>
                <w:szCs w:val="17"/>
              </w:rPr>
              <w:t xml:space="preserve">ch.oddb.org, Resonium A, Swissmedic n° 33379, natrii polystyrenesulfonas, consulté le 22.10.2026</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L5-M24</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LOT_5_Appel_B_V5_Ultra_Pedagogique_Partie_2_DX.3_a_DX.5__export_GoogleDoc.html</w:t>
            </w:r>
          </w:p>
        </w:tc>
        <w:tc>
          <w:tcPr>
            <w:tcW w:w="2350" w:type="dxa"/>
            <w:vAlign w:val="top"/>
          </w:tcPr>
          <w:p>
            <w:pPr>
              <w:spacing w:after="0"/>
            </w:pPr>
            <w:r>
              <w:rPr>
                <w:sz w:val="17"/>
                <w:szCs w:val="17"/>
              </w:rPr>
              <w:t xml:space="preserve">D5.4 › point 9 › 2e intention</w:t>
            </w:r>
          </w:p>
        </w:tc>
        <w:tc>
          <w:tcPr>
            <w:tcW w:w="2600" w:type="dxa"/>
            <w:vAlign w:val="top"/>
          </w:tcPr>
          <w:p>
            <w:pPr>
              <w:spacing w:after="0"/>
            </w:pPr>
            <w:r>
              <w:rPr>
                <w:i/>
                <w:sz w:val="17"/>
                <w:szCs w:val="17"/>
              </w:rPr>
              <w:t xml:space="preserve">« hypercalcémies malignes à PTHrP bas »</w:t>
            </w:r>
          </w:p>
        </w:tc>
        <w:tc>
          <w:tcPr>
            <w:tcW w:w="3000" w:type="dxa"/>
            <w:vAlign w:val="top"/>
          </w:tcPr>
          <w:p>
            <w:pPr>
              <w:spacing w:after="40"/>
            </w:pPr>
            <w:r>
              <w:rPr>
                <w:sz w:val="17"/>
                <w:szCs w:val="17"/>
              </w:rPr>
              <w:t xml:space="preserve">L'hypercalcémie humorale maligne se caractérise par une PTH basse et une PTHrP élevée ; écrire « PTHrP bas » inverse le raisonnement.</w:t>
            </w:r>
          </w:p>
          <w:p>
            <w:pPr>
              <w:spacing w:after="0"/>
            </w:pPr>
            <w:r>
              <w:rPr>
                <w:b/>
                <w:color w:val="145A32"/>
                <w:sz w:val="17"/>
                <w:szCs w:val="17"/>
              </w:rPr>
              <w:t xml:space="preserve">→ Remplacer par « hypercalcémies malignes à PTH basse (PTHrP souvent élevée) ».</w:t>
            </w:r>
          </w:p>
        </w:tc>
        <w:tc>
          <w:tcPr>
            <w:tcW w:w="1800" w:type="dxa"/>
            <w:vAlign w:val="top"/>
          </w:tcPr>
          <w:p>
            <w:pPr>
              <w:spacing w:after="0"/>
            </w:pPr>
            <w:r>
              <w:rPr>
                <w:sz w:val="17"/>
                <w:szCs w:val="17"/>
              </w:rPr>
              <w:t xml:space="preserve">Donnée physiopathologique classique ; source européenne datée non lue dans cette session (à citer : recommandation SSED/ESE sur l'hypercalcémie)</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L5-M27</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LOT_5_Appel_B_V5_Ultra_Pedagogique_Partie_2_DX.3_a_DX.5__export_GoogleDoc.html</w:t>
            </w:r>
          </w:p>
        </w:tc>
        <w:tc>
          <w:tcPr>
            <w:tcW w:w="2350" w:type="dxa"/>
            <w:vAlign w:val="top"/>
          </w:tcPr>
          <w:p>
            <w:pPr>
              <w:spacing w:after="0"/>
            </w:pPr>
            <w:r>
              <w:rPr>
                <w:sz w:val="17"/>
                <w:szCs w:val="17"/>
              </w:rPr>
              <w:t xml:space="preserve">D5.5 › Fenêtre 3.5 › tableau SOFA › ligne Rénal</w:t>
            </w:r>
          </w:p>
        </w:tc>
        <w:tc>
          <w:tcPr>
            <w:tcW w:w="2600" w:type="dxa"/>
            <w:vAlign w:val="top"/>
          </w:tcPr>
          <w:p>
            <w:pPr>
              <w:spacing w:after="0"/>
            </w:pPr>
            <w:r>
              <w:rPr>
                <w:i/>
                <w:sz w:val="17"/>
                <w:szCs w:val="17"/>
              </w:rPr>
              <w:t xml:space="preserve">« 110 - 299 μmol/L (SOFA=2) »</w:t>
            </w:r>
          </w:p>
        </w:tc>
        <w:tc>
          <w:tcPr>
            <w:tcW w:w="3000" w:type="dxa"/>
            <w:vAlign w:val="top"/>
          </w:tcPr>
          <w:p>
            <w:pPr>
              <w:spacing w:after="40"/>
            </w:pPr>
            <w:r>
              <w:rPr>
                <w:sz w:val="17"/>
                <w:szCs w:val="17"/>
              </w:rPr>
              <w:t xml:space="preserve">Les seuils rénaux du SOFA sont faux : 110–170 µmol/L = 1 ; 171–299 = 2 ; 300–440 ou diurèse &lt; 500 mL/j = 3 ; &gt; 440 ou diurèse &lt; 200 mL/j = 4.</w:t>
            </w:r>
          </w:p>
          <w:p>
            <w:pPr>
              <w:spacing w:after="0"/>
            </w:pPr>
            <w:r>
              <w:rPr>
                <w:b/>
                <w:color w:val="145A32"/>
                <w:sz w:val="17"/>
                <w:szCs w:val="17"/>
              </w:rPr>
              <w:t xml:space="preserve">→ Remplacer la ligne par les quatre paliers exacts ci-dessus.</w:t>
            </w:r>
          </w:p>
        </w:tc>
        <w:tc>
          <w:tcPr>
            <w:tcW w:w="1800" w:type="dxa"/>
            <w:vAlign w:val="top"/>
          </w:tcPr>
          <w:p>
            <w:pPr>
              <w:spacing w:after="0"/>
            </w:pPr>
            <w:r>
              <w:rPr>
                <w:sz w:val="17"/>
                <w:szCs w:val="17"/>
              </w:rPr>
              <w:t xml:space="preserve">Vincent JL et al., The SOFA score, Intensive Care Med 1996;22:707-710 (tableau reproduit, relu via MSD Manual SOFA et PMC6189546)</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L5-M28</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LOT_5_Appel_B_V5_Ultra_Pedagogique_Partie_2_DX.3_a_DX.5__export_GoogleDoc.html</w:t>
            </w:r>
          </w:p>
        </w:tc>
        <w:tc>
          <w:tcPr>
            <w:tcW w:w="2350" w:type="dxa"/>
            <w:vAlign w:val="top"/>
          </w:tcPr>
          <w:p>
            <w:pPr>
              <w:spacing w:after="0"/>
            </w:pPr>
            <w:r>
              <w:rPr>
                <w:sz w:val="17"/>
                <w:szCs w:val="17"/>
              </w:rPr>
              <w:t xml:space="preserve">D5.5 › Fenêtre 3.5 › exemple clinique</w:t>
            </w:r>
          </w:p>
        </w:tc>
        <w:tc>
          <w:tcPr>
            <w:tcW w:w="2600" w:type="dxa"/>
            <w:vAlign w:val="top"/>
          </w:tcPr>
          <w:p>
            <w:pPr>
              <w:spacing w:after="0"/>
            </w:pPr>
            <w:r>
              <w:rPr>
                <w:i/>
                <w:sz w:val="17"/>
                <w:szCs w:val="17"/>
              </w:rPr>
              <w:t xml:space="preserve">« Plaquettes = 95 G/L (SOFA = 1), Créatinine = 185 μmol/L (SOFA = 2), GCS = 13 (SOFA = 2). »</w:t>
            </w:r>
          </w:p>
        </w:tc>
        <w:tc>
          <w:tcPr>
            <w:tcW w:w="3000" w:type="dxa"/>
            <w:vAlign w:val="top"/>
          </w:tcPr>
          <w:p>
            <w:pPr>
              <w:spacing w:after="40"/>
            </w:pPr>
            <w:r>
              <w:rPr>
                <w:sz w:val="17"/>
                <w:szCs w:val="17"/>
              </w:rPr>
              <w:t xml:space="preserve">Le calcul est faux : 95 G/L vaut 2 points, un GCS de 13 vaut 1 point et la PAM de 61 mmHg vaut 1 point ; le total est 6 et non 5.</w:t>
            </w:r>
          </w:p>
          <w:p>
            <w:pPr>
              <w:spacing w:after="0"/>
            </w:pPr>
            <w:r>
              <w:rPr>
                <w:b/>
                <w:color w:val="145A32"/>
                <w:sz w:val="17"/>
                <w:szCs w:val="17"/>
              </w:rPr>
              <w:t xml:space="preserve">→ Écrire : « PAM 61 mmHg (1) + plaquettes 95 G/L (2) + créatinine 185 µmol/L (2) + GCS 13 (1) = SOFA 6 points (calcul refait) → sepsis avec dysfonction multiviscérale. »</w:t>
            </w:r>
          </w:p>
        </w:tc>
        <w:tc>
          <w:tcPr>
            <w:tcW w:w="1800" w:type="dxa"/>
            <w:vAlign w:val="top"/>
          </w:tcPr>
          <w:p>
            <w:pPr>
              <w:spacing w:after="0"/>
            </w:pPr>
            <w:r>
              <w:rPr>
                <w:sz w:val="17"/>
                <w:szCs w:val="17"/>
              </w:rPr>
              <w:t xml:space="preserve">Vincent JL et al., Intensive Care Med 1996;22:707-710 ; calcul refait</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L5-M29</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LOT_5_Appel_B_V5_Ultra_Pedagogique_Partie_2_DX.3_a_DX.5__export_GoogleDoc.html</w:t>
            </w:r>
          </w:p>
        </w:tc>
        <w:tc>
          <w:tcPr>
            <w:tcW w:w="2350" w:type="dxa"/>
            <w:vAlign w:val="top"/>
          </w:tcPr>
          <w:p>
            <w:pPr>
              <w:spacing w:after="0"/>
            </w:pPr>
            <w:r>
              <w:rPr>
                <w:sz w:val="17"/>
                <w:szCs w:val="17"/>
              </w:rPr>
              <w:t xml:space="preserve">D5.5 › point 2 Épidémiologie</w:t>
            </w:r>
          </w:p>
        </w:tc>
        <w:tc>
          <w:tcPr>
            <w:tcW w:w="2600" w:type="dxa"/>
            <w:vAlign w:val="top"/>
          </w:tcPr>
          <w:p>
            <w:pPr>
              <w:spacing w:after="0"/>
            </w:pPr>
            <w:r>
              <w:rPr>
                <w:i/>
                <w:sz w:val="17"/>
                <w:szCs w:val="17"/>
              </w:rPr>
              <w:t xml:space="preserve">« le sepsis touche plus de 30 000 patients par an »</w:t>
            </w:r>
          </w:p>
        </w:tc>
        <w:tc>
          <w:tcPr>
            <w:tcW w:w="3000" w:type="dxa"/>
            <w:vAlign w:val="top"/>
          </w:tcPr>
          <w:p>
            <w:pPr>
              <w:spacing w:after="40"/>
            </w:pPr>
            <w:r>
              <w:rPr>
                <w:sz w:val="17"/>
                <w:szCs w:val="17"/>
              </w:rPr>
              <w:t xml:space="preserve">Le chiffre est surestimé : le programme national suisse recense plus de 20 000 cas hospitaliers par an et environ 3 500 à 4 000 décès hospitaliers ; la part de 8 % des consultations n'est pas sourcée.</w:t>
            </w:r>
          </w:p>
          <w:p>
            <w:pPr>
              <w:spacing w:after="0"/>
            </w:pPr>
            <w:r>
              <w:rPr>
                <w:b/>
                <w:color w:val="145A32"/>
                <w:sz w:val="17"/>
                <w:szCs w:val="17"/>
              </w:rPr>
              <w:t xml:space="preserve">→ Écrire : « En Suisse, plus de 20 000 patients reçoivent chaque année un diagnostic de sepsis en hôpital aigu, et près d'un sur cinq en meurt. »</w:t>
            </w:r>
          </w:p>
        </w:tc>
        <w:tc>
          <w:tcPr>
            <w:tcW w:w="1800" w:type="dxa"/>
            <w:vAlign w:val="top"/>
          </w:tcPr>
          <w:p>
            <w:pPr>
              <w:spacing w:after="0"/>
            </w:pPr>
            <w:r>
              <w:rPr>
                <w:sz w:val="17"/>
                <w:szCs w:val="17"/>
              </w:rPr>
              <w:t xml:space="preserve">OFSP / Swiss Sepsis National Action Plan (SSNAP), 2022 ; rapport du programme national Sepsis 2025 (données 2019–2023), https://www.bag.admin.ch/dam/de/sd-web/iDxeHAiMWqdD/EQK-Medienmitteilung_Sepsis_DE.pdf</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L5-M31</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LOT_5_Appel_B_V5_Ultra_Pedagogique_Partie_2_DX.3_a_DX.5__export_GoogleDoc.html</w:t>
            </w:r>
          </w:p>
        </w:tc>
        <w:tc>
          <w:tcPr>
            <w:tcW w:w="2350" w:type="dxa"/>
            <w:vAlign w:val="top"/>
          </w:tcPr>
          <w:p>
            <w:pPr>
              <w:spacing w:after="0"/>
            </w:pPr>
            <w:r>
              <w:rPr>
                <w:sz w:val="17"/>
                <w:szCs w:val="17"/>
              </w:rPr>
              <w:t xml:space="preserve">D5.5 › point 11.B › Sepsis nosocomial ou neutropénique</w:t>
            </w:r>
          </w:p>
        </w:tc>
        <w:tc>
          <w:tcPr>
            <w:tcW w:w="2600" w:type="dxa"/>
            <w:vAlign w:val="top"/>
          </w:tcPr>
          <w:p>
            <w:pPr>
              <w:spacing w:after="0"/>
            </w:pPr>
            <w:r>
              <w:rPr>
                <w:i/>
                <w:sz w:val="17"/>
                <w:szCs w:val="17"/>
              </w:rPr>
              <w:t xml:space="preserve">« Ceftazidime (Fortum® 2 g IV toutes les 8h) »</w:t>
            </w:r>
          </w:p>
        </w:tc>
        <w:tc>
          <w:tcPr>
            <w:tcW w:w="3000" w:type="dxa"/>
            <w:vAlign w:val="top"/>
          </w:tcPr>
          <w:p>
            <w:pPr>
              <w:spacing w:after="40"/>
            </w:pPr>
            <w:r>
              <w:rPr>
                <w:sz w:val="17"/>
                <w:szCs w:val="17"/>
              </w:rPr>
              <w:t xml:space="preserve">Fortum® est le nom européen ; la spécialité suisse de ceftazidime est Fortam® (Swissmedic n° 46050).</w:t>
            </w:r>
          </w:p>
          <w:p>
            <w:pPr>
              <w:spacing w:after="0"/>
            </w:pPr>
            <w:r>
              <w:rPr>
                <w:b/>
                <w:color w:val="145A32"/>
                <w:sz w:val="17"/>
                <w:szCs w:val="17"/>
              </w:rPr>
              <w:t xml:space="preserve">→ Écrire « Ceftazidime (Fortam®) » et vérifier la posologie sur l'information professionnelle suisse.</w:t>
            </w:r>
          </w:p>
        </w:tc>
        <w:tc>
          <w:tcPr>
            <w:tcW w:w="1800" w:type="dxa"/>
            <w:vAlign w:val="top"/>
          </w:tcPr>
          <w:p>
            <w:pPr>
              <w:spacing w:after="0"/>
            </w:pPr>
            <w:r>
              <w:rPr>
                <w:sz w:val="17"/>
                <w:szCs w:val="17"/>
              </w:rPr>
              <w:t xml:space="preserve">ch.oddb.org, Fortam 1 g / 2 g, Swissmedic n° 46050 ; Fachinformation Fortam (GlaxoSmithKline AG), consultés le 22.10.2026</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L5-M33</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LOT_5_Appel_B_V5_Ultra_Pedagogique_Partie_3_DX.6_a_DX.7__export_GoogleDoc.html</w:t>
            </w:r>
          </w:p>
        </w:tc>
        <w:tc>
          <w:tcPr>
            <w:tcW w:w="2350" w:type="dxa"/>
            <w:vAlign w:val="top"/>
          </w:tcPr>
          <w:p>
            <w:pPr>
              <w:spacing w:after="0"/>
            </w:pPr>
            <w:r>
              <w:rPr>
                <w:sz w:val="17"/>
                <w:szCs w:val="17"/>
              </w:rPr>
              <w:t xml:space="preserve">D5.7 › Fenêtre 3.7 › explicitation des critères</w:t>
            </w:r>
          </w:p>
        </w:tc>
        <w:tc>
          <w:tcPr>
            <w:tcW w:w="2600" w:type="dxa"/>
            <w:vAlign w:val="top"/>
          </w:tcPr>
          <w:p>
            <w:pPr>
              <w:spacing w:after="0"/>
            </w:pPr>
            <w:r>
              <w:rPr>
                <w:i/>
                <w:sz w:val="17"/>
                <w:szCs w:val="17"/>
              </w:rPr>
              <w:t xml:space="preserve">« La présence d'au moins 3 critères sur 5 offre une sensibilité et une spécificité supérieures à 90 %. »</w:t>
            </w:r>
          </w:p>
        </w:tc>
        <w:tc>
          <w:tcPr>
            <w:tcW w:w="3000" w:type="dxa"/>
            <w:vAlign w:val="top"/>
          </w:tcPr>
          <w:p>
            <w:pPr>
              <w:spacing w:after="40"/>
            </w:pPr>
            <w:r>
              <w:rPr>
                <w:sz w:val="17"/>
                <w:szCs w:val="17"/>
              </w:rPr>
              <w:t xml:space="preserve">Les cinq critères décrits sont ceux de l'ACR 1990, non les critères ACR/EULAR 2022, qui exigent un âge ≥ 50 ans puis un score pondéré ≥ 6 points (biopsie ou halo +5 ; VS ≥ 50 mm/h ou CRP ≥ 10 mg/L +3 ; perte visuelle brutale +3 ; autres items +2).</w:t>
            </w:r>
          </w:p>
          <w:p>
            <w:pPr>
              <w:spacing w:after="0"/>
            </w:pPr>
            <w:r>
              <w:rPr>
                <w:b/>
                <w:color w:val="145A32"/>
                <w:sz w:val="17"/>
                <w:szCs w:val="17"/>
              </w:rPr>
              <w:t xml:space="preserve">→ Soit renommer « critères ACR 1990 », soit présenter les critères ACR/EULAR 2022 exacts avec leurs pondérations, leur seuil ≥ 6 et leur usage réservé à la classification.</w:t>
            </w:r>
          </w:p>
        </w:tc>
        <w:tc>
          <w:tcPr>
            <w:tcW w:w="1800" w:type="dxa"/>
            <w:vAlign w:val="top"/>
          </w:tcPr>
          <w:p>
            <w:pPr>
              <w:spacing w:after="0"/>
            </w:pPr>
            <w:r>
              <w:rPr>
                <w:sz w:val="17"/>
                <w:szCs w:val="17"/>
              </w:rPr>
              <w:t xml:space="preserve">Ponte C. et al., 2022 ACR/EULAR classification criteria for giant cell arteritis, Ann Rheum Dis 2022;81:1647-1653, https://ard.bmj.com/content/81/12/1647</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L5-M34</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LOT_5_Appel_B_V5_Ultra_Pedagogique_Partie_3_DX.6_a_DX.7__export_GoogleDoc.html</w:t>
            </w:r>
          </w:p>
        </w:tc>
        <w:tc>
          <w:tcPr>
            <w:tcW w:w="2350" w:type="dxa"/>
            <w:vAlign w:val="top"/>
          </w:tcPr>
          <w:p>
            <w:pPr>
              <w:spacing w:after="0"/>
            </w:pPr>
            <w:r>
              <w:rPr>
                <w:sz w:val="17"/>
                <w:szCs w:val="17"/>
              </w:rPr>
              <w:t xml:space="preserve">D5.7 › point 3 Physiopathologie</w:t>
            </w:r>
          </w:p>
        </w:tc>
        <w:tc>
          <w:tcPr>
            <w:tcW w:w="2600" w:type="dxa"/>
            <w:vAlign w:val="top"/>
          </w:tcPr>
          <w:p>
            <w:pPr>
              <w:spacing w:after="0"/>
            </w:pPr>
            <w:r>
              <w:rPr>
                <w:i/>
                <w:sz w:val="17"/>
                <w:szCs w:val="17"/>
              </w:rPr>
              <w:t xml:space="preserve">« artère temporale superficielle, artère ophtalmique »</w:t>
            </w:r>
          </w:p>
        </w:tc>
        <w:tc>
          <w:tcPr>
            <w:tcW w:w="3000" w:type="dxa"/>
            <w:vAlign w:val="top"/>
          </w:tcPr>
          <w:p>
            <w:pPr>
              <w:spacing w:after="40"/>
            </w:pPr>
            <w:r>
              <w:rPr>
                <w:sz w:val="17"/>
                <w:szCs w:val="17"/>
              </w:rPr>
              <w:t xml:space="preserve">L'artère ophtalmique naît de l'artère carotide interne, non de la carotide externe ; cette erreur fausse le mécanisme de la cécité.</w:t>
            </w:r>
          </w:p>
          <w:p>
            <w:pPr>
              <w:spacing w:after="0"/>
            </w:pPr>
            <w:r>
              <w:rPr>
                <w:b/>
                <w:color w:val="145A32"/>
                <w:sz w:val="17"/>
                <w:szCs w:val="17"/>
              </w:rPr>
              <w:t xml:space="preserve">→ Écrire : « les branches de la carotide externe (artère temporale superficielle) et de la carotide interne (artère ophtalmique et artères ciliaires postérieures) ».</w:t>
            </w:r>
          </w:p>
        </w:tc>
        <w:tc>
          <w:tcPr>
            <w:tcW w:w="1800" w:type="dxa"/>
            <w:vAlign w:val="top"/>
          </w:tcPr>
          <w:p>
            <w:pPr>
              <w:spacing w:after="0"/>
            </w:pPr>
            <w:r>
              <w:rPr>
                <w:sz w:val="17"/>
                <w:szCs w:val="17"/>
              </w:rPr>
              <w:t xml:space="preserve">Anatomie de l'artère ophtalmique, Radiopaedia / Kenhub, consultés le 22.10.2026</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L5-M35</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LOT_5_Appel_B_V5_Ultra_Pedagogique_Partie_3_DX.6_a_DX.7__export_GoogleDoc.html</w:t>
            </w:r>
          </w:p>
        </w:tc>
        <w:tc>
          <w:tcPr>
            <w:tcW w:w="2350" w:type="dxa"/>
            <w:vAlign w:val="top"/>
          </w:tcPr>
          <w:p>
            <w:pPr>
              <w:spacing w:after="0"/>
            </w:pPr>
            <w:r>
              <w:rPr>
                <w:sz w:val="17"/>
                <w:szCs w:val="17"/>
              </w:rPr>
              <w:t xml:space="preserve">D5.6 › point 12 Prévention</w:t>
            </w:r>
          </w:p>
        </w:tc>
        <w:tc>
          <w:tcPr>
            <w:tcW w:w="2600" w:type="dxa"/>
            <w:vAlign w:val="top"/>
          </w:tcPr>
          <w:p>
            <w:pPr>
              <w:spacing w:after="0"/>
            </w:pPr>
            <w:r>
              <w:rPr>
                <w:i/>
                <w:sz w:val="17"/>
                <w:szCs w:val="17"/>
              </w:rPr>
              <w:t xml:space="preserve">« Atorvastatine Lipitor® 80 mg »</w:t>
            </w:r>
          </w:p>
        </w:tc>
        <w:tc>
          <w:tcPr>
            <w:tcW w:w="3000" w:type="dxa"/>
            <w:vAlign w:val="top"/>
          </w:tcPr>
          <w:p>
            <w:pPr>
              <w:spacing w:after="40"/>
            </w:pPr>
            <w:r>
              <w:rPr>
                <w:sz w:val="17"/>
                <w:szCs w:val="17"/>
              </w:rPr>
              <w:t xml:space="preserve">Lipitor® n'est pas la spécialité suisse : l'atorvastatine est commercialisée en Suisse sous Sortis® (Pfizer).</w:t>
            </w:r>
          </w:p>
          <w:p>
            <w:pPr>
              <w:spacing w:after="0"/>
            </w:pPr>
            <w:r>
              <w:rPr>
                <w:b/>
                <w:color w:val="145A32"/>
                <w:sz w:val="17"/>
                <w:szCs w:val="17"/>
              </w:rPr>
              <w:t xml:space="preserve">→ Écrire « Atorvastatine (Sortis®) 80 mg ».</w:t>
            </w:r>
          </w:p>
        </w:tc>
        <w:tc>
          <w:tcPr>
            <w:tcW w:w="1800" w:type="dxa"/>
            <w:vAlign w:val="top"/>
          </w:tcPr>
          <w:p>
            <w:pPr>
              <w:spacing w:after="0"/>
            </w:pPr>
            <w:r>
              <w:rPr>
                <w:sz w:val="17"/>
                <w:szCs w:val="17"/>
              </w:rPr>
              <w:t xml:space="preserve">chemie.de, Lexikon « Sortis » (Sortis® en Allemagne, Autriche et Suisse), consulté le 22.10.2026 ; à confirmer sur compendium.ch</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L5-M41</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LOT_5_Appel_B_V5_Ultra_Pedagogique_Partie_4_DX.8_a_DX.10__export_GoogleDoc__v2.html</w:t>
            </w:r>
          </w:p>
        </w:tc>
        <w:tc>
          <w:tcPr>
            <w:tcW w:w="2350" w:type="dxa"/>
            <w:vAlign w:val="top"/>
          </w:tcPr>
          <w:p>
            <w:pPr>
              <w:spacing w:after="0"/>
            </w:pPr>
            <w:r>
              <w:rPr>
                <w:sz w:val="17"/>
                <w:szCs w:val="17"/>
              </w:rPr>
              <w:t xml:space="preserve">D5.8 › Fenêtre 3.8 › explicitation</w:t>
            </w:r>
          </w:p>
        </w:tc>
        <w:tc>
          <w:tcPr>
            <w:tcW w:w="2600" w:type="dxa"/>
            <w:vAlign w:val="top"/>
          </w:tcPr>
          <w:p>
            <w:pPr>
              <w:spacing w:after="0"/>
            </w:pPr>
            <w:r>
              <w:rPr>
                <w:i/>
                <w:sz w:val="17"/>
                <w:szCs w:val="17"/>
              </w:rPr>
              <w:t xml:space="preserve">« La CAM exige la présence conjointe de 4 critères »</w:t>
            </w:r>
          </w:p>
        </w:tc>
        <w:tc>
          <w:tcPr>
            <w:tcW w:w="3000" w:type="dxa"/>
            <w:vAlign w:val="top"/>
          </w:tcPr>
          <w:p>
            <w:pPr>
              <w:spacing w:after="40"/>
            </w:pPr>
            <w:r>
              <w:rPr>
                <w:sz w:val="17"/>
                <w:szCs w:val="17"/>
              </w:rPr>
              <w:t xml:space="preserve">L'algorithme CAM exige les critères 1 et 2 et l'un des critères 3 ou 4 ; exiger les quatre fait manquer des delirium.</w:t>
            </w:r>
          </w:p>
          <w:p>
            <w:pPr>
              <w:spacing w:after="0"/>
            </w:pPr>
            <w:r>
              <w:rPr>
                <w:b/>
                <w:color w:val="145A32"/>
                <w:sz w:val="17"/>
                <w:szCs w:val="17"/>
              </w:rPr>
              <w:t xml:space="preserve">→ Écrire : « La CAM est positive si (1) début aigu ou fluctuation ET (2) inattention, ET (3) pensée désorganisée OU (4) altération du niveau de conscience. »</w:t>
            </w:r>
          </w:p>
        </w:tc>
        <w:tc>
          <w:tcPr>
            <w:tcW w:w="1800" w:type="dxa"/>
            <w:vAlign w:val="top"/>
          </w:tcPr>
          <w:p>
            <w:pPr>
              <w:spacing w:after="0"/>
            </w:pPr>
            <w:r>
              <w:rPr>
                <w:sz w:val="17"/>
                <w:szCs w:val="17"/>
              </w:rPr>
              <w:t xml:space="preserve">Inouye SK et al., Clarifying confusion: the Confusion Assessment Method, Ann Intern Med 1990;113:941-948</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L5-M42</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LOT_5_Appel_B_V5_Ultra_Pedagogique_Partie_4_DX.8_a_DX.10__export_GoogleDoc__v2.html</w:t>
            </w:r>
          </w:p>
        </w:tc>
        <w:tc>
          <w:tcPr>
            <w:tcW w:w="2350" w:type="dxa"/>
            <w:vAlign w:val="top"/>
          </w:tcPr>
          <w:p>
            <w:pPr>
              <w:spacing w:after="0"/>
            </w:pPr>
            <w:r>
              <w:rPr>
                <w:sz w:val="17"/>
                <w:szCs w:val="17"/>
              </w:rPr>
              <w:t xml:space="preserve">D5.8 › Fenêtre 3.8 › exemple clinique</w:t>
            </w:r>
          </w:p>
        </w:tc>
        <w:tc>
          <w:tcPr>
            <w:tcW w:w="2600" w:type="dxa"/>
            <w:vAlign w:val="top"/>
          </w:tcPr>
          <w:p>
            <w:pPr>
              <w:spacing w:after="0"/>
            </w:pPr>
            <w:r>
              <w:rPr>
                <w:i/>
                <w:sz w:val="17"/>
                <w:szCs w:val="17"/>
              </w:rPr>
              <w:t xml:space="preserve">« somnolente par moments (1 pt), incapable de réciter les mois à l'envers (2 pts), début brutal sur 48h (2 pts) »</w:t>
            </w:r>
          </w:p>
        </w:tc>
        <w:tc>
          <w:tcPr>
            <w:tcW w:w="3000" w:type="dxa"/>
            <w:vAlign w:val="top"/>
          </w:tcPr>
          <w:p>
            <w:pPr>
              <w:spacing w:after="40"/>
            </w:pPr>
            <w:r>
              <w:rPr>
                <w:sz w:val="17"/>
                <w:szCs w:val="17"/>
              </w:rPr>
              <w:t xml:space="preserve">La cotation du 4AT est fausse : une vigilance anormale vaut 4 points et un changement aigu ou fluctuant vaut 4 points ; le score réel dépasse 10 et un 4AT ≥ 4 indique un delirium possible, non « confirmé ».</w:t>
            </w:r>
          </w:p>
          <w:p>
            <w:pPr>
              <w:spacing w:after="0"/>
            </w:pPr>
            <w:r>
              <w:rPr>
                <w:b/>
                <w:color w:val="145A32"/>
                <w:sz w:val="17"/>
                <w:szCs w:val="17"/>
              </w:rPr>
              <w:t xml:space="preserve">→ Écrire : « vigilance anormale (4) + mois à l'envers non testables (2) + changement aigu (4) = 10/12 (calcul refait) → delirium possible : évaluation clinique et recherche de la cause. »</w:t>
            </w:r>
          </w:p>
        </w:tc>
        <w:tc>
          <w:tcPr>
            <w:tcW w:w="1800" w:type="dxa"/>
            <w:vAlign w:val="top"/>
          </w:tcPr>
          <w:p>
            <w:pPr>
              <w:spacing w:after="0"/>
            </w:pPr>
            <w:r>
              <w:rPr>
                <w:sz w:val="17"/>
                <w:szCs w:val="17"/>
              </w:rPr>
              <w:t xml:space="preserve">4AT — guide officiel, https://www.the4at.com/4atguide, consulté le 22.10.2026</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L5-M45</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LOT_5_Appel_B_V5_Ultra_Pedagogique_Partie_4_DX.8_a_DX.10__export_GoogleDoc__v2.html</w:t>
            </w:r>
          </w:p>
        </w:tc>
        <w:tc>
          <w:tcPr>
            <w:tcW w:w="2350" w:type="dxa"/>
            <w:vAlign w:val="top"/>
          </w:tcPr>
          <w:p>
            <w:pPr>
              <w:spacing w:after="0"/>
            </w:pPr>
            <w:r>
              <w:rPr>
                <w:sz w:val="17"/>
                <w:szCs w:val="17"/>
              </w:rPr>
              <w:t xml:space="preserve">D5.9 › point 11.B.2 › Endocardite à Staphylococcus aureus</w:t>
            </w:r>
          </w:p>
        </w:tc>
        <w:tc>
          <w:tcPr>
            <w:tcW w:w="2600" w:type="dxa"/>
            <w:vAlign w:val="top"/>
          </w:tcPr>
          <w:p>
            <w:pPr>
              <w:spacing w:after="0"/>
            </w:pPr>
            <w:r>
              <w:rPr>
                <w:i/>
                <w:sz w:val="17"/>
                <w:szCs w:val="17"/>
              </w:rPr>
              <w:t xml:space="preserve">« associée à la Gentamicine (3 à 5 premiers jours) et à la Rifampicine (en cas de matériel prothétique) »</w:t>
            </w:r>
          </w:p>
        </w:tc>
        <w:tc>
          <w:tcPr>
            <w:tcW w:w="3000" w:type="dxa"/>
            <w:vAlign w:val="top"/>
          </w:tcPr>
          <w:p>
            <w:pPr>
              <w:spacing w:after="40"/>
            </w:pPr>
            <w:r>
              <w:rPr>
                <w:sz w:val="17"/>
                <w:szCs w:val="17"/>
              </w:rPr>
              <w:t xml:space="preserve">L'ajout d'un aminoside dans l'endocardite staphylococcique sur valve native n'est plus recommandé car il augmente la toxicité rénale ; de plus, Orbenine® n'est pas une spécialité suisse vérifiée (la flucloxacilline Floxapen® l'est).</w:t>
            </w:r>
          </w:p>
          <w:p>
            <w:pPr>
              <w:spacing w:after="0"/>
            </w:pPr>
            <w:r>
              <w:rPr>
                <w:b/>
                <w:color w:val="145A32"/>
                <w:sz w:val="17"/>
                <w:szCs w:val="17"/>
              </w:rPr>
              <w:t xml:space="preserve">→ Écrire : « Valve native, SASM : flucloxacilline (Floxapen®) 12 g/24 h IV en 4–6 doses, 4–6 semaines, sans aminoside. Prothèse : flucloxacilline + rifampicine ≥ 6 semaines + gentamicine 2 semaines. » Vérifier les doses sur AIPS.</w:t>
            </w:r>
          </w:p>
        </w:tc>
        <w:tc>
          <w:tcPr>
            <w:tcW w:w="1800" w:type="dxa"/>
            <w:vAlign w:val="top"/>
          </w:tcPr>
          <w:p>
            <w:pPr>
              <w:spacing w:after="0"/>
            </w:pPr>
            <w:r>
              <w:rPr>
                <w:sz w:val="17"/>
                <w:szCs w:val="17"/>
              </w:rPr>
              <w:t xml:space="preserve">ESC 2023 Guidelines for the management of endocarditis, Eur Heart J 2023;44:3948-4042 (« the addition of an aminoglycoside in staphylococcal NVE is no longer recommended »), https://academic.oup.com/eurheartj/article/44/39/3948/7243107 ; compendium.ch, Floxapen®</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L5-M48</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LOT_5_Appel_B_V5_Ultra_Pedagogique_Partie_4_DX.8_a_DX.10__export_GoogleDoc__v2.html</w:t>
            </w:r>
          </w:p>
        </w:tc>
        <w:tc>
          <w:tcPr>
            <w:tcW w:w="2350" w:type="dxa"/>
            <w:vAlign w:val="top"/>
          </w:tcPr>
          <w:p>
            <w:pPr>
              <w:spacing w:after="0"/>
            </w:pPr>
            <w:r>
              <w:rPr>
                <w:sz w:val="17"/>
                <w:szCs w:val="17"/>
              </w:rPr>
              <w:t xml:space="preserve">D5.10 › Fenêtre 3.10 › exemple clinique › prise en charge</w:t>
            </w:r>
          </w:p>
        </w:tc>
        <w:tc>
          <w:tcPr>
            <w:tcW w:w="2600" w:type="dxa"/>
            <w:vAlign w:val="top"/>
          </w:tcPr>
          <w:p>
            <w:pPr>
              <w:spacing w:after="0"/>
            </w:pPr>
            <w:r>
              <w:rPr>
                <w:i/>
                <w:sz w:val="17"/>
                <w:szCs w:val="17"/>
              </w:rPr>
              <w:t xml:space="preserve">« Évacuation immédiate du domicile, oxygénothérapie normobare à »</w:t>
            </w:r>
          </w:p>
        </w:tc>
        <w:tc>
          <w:tcPr>
            <w:tcW w:w="3000" w:type="dxa"/>
            <w:vAlign w:val="top"/>
          </w:tcPr>
          <w:p>
            <w:pPr>
              <w:spacing w:after="40"/>
            </w:pPr>
            <w:r>
              <w:rPr>
                <w:sz w:val="17"/>
                <w:szCs w:val="17"/>
              </w:rPr>
              <w:t xml:space="preserve">Avec une HbCO de 28 à 34 %, le document ne propose que l'oxygène normobare alors que son propre tableau indique l'oxygène hyperbare au-delà de 25 % ; l'enfant et toute personne avec trouble de conscience doivent être discutés avec le centre hyperbare.</w:t>
            </w:r>
          </w:p>
          <w:p>
            <w:pPr>
              <w:spacing w:after="0"/>
            </w:pPr>
            <w:r>
              <w:rPr>
                <w:b/>
                <w:color w:val="145A32"/>
                <w:sz w:val="17"/>
                <w:szCs w:val="17"/>
              </w:rPr>
              <w:t xml:space="preserve">→ Ajouter : « Contacter immédiatement Tox Info Suisse (145) et le centre hyperbare pour discuter l'OHB ; les critères européens reposent sur la perte de connaissance, les signes neurologiques ou cardiaques, l'acidose sévère et la grossesse plutôt que sur un seuil d'HbCO isolé. »</w:t>
            </w:r>
          </w:p>
        </w:tc>
        <w:tc>
          <w:tcPr>
            <w:tcW w:w="1800" w:type="dxa"/>
            <w:vAlign w:val="top"/>
          </w:tcPr>
          <w:p>
            <w:pPr>
              <w:spacing w:after="0"/>
            </w:pPr>
            <w:r>
              <w:rPr>
                <w:sz w:val="17"/>
                <w:szCs w:val="17"/>
              </w:rPr>
              <w:t xml:space="preserve">Mathieu D., Marroni A., Kot J., Tenth European Consensus Conference on Hyperbaric Medicine (ECHM 2016), Diving Hyperb Med 2017;47(1):24-32 (relu via synthèses secondaires)</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L5-M51</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LOT_5_V6_Enrichi_8plus_Partie_1_Integral.html</w:t>
            </w:r>
          </w:p>
        </w:tc>
        <w:tc>
          <w:tcPr>
            <w:tcW w:w="2350" w:type="dxa"/>
            <w:vAlign w:val="top"/>
          </w:tcPr>
          <w:p>
            <w:pPr>
              <w:spacing w:after="0"/>
            </w:pPr>
            <w:r>
              <w:rPr>
                <w:sz w:val="17"/>
                <w:szCs w:val="17"/>
              </w:rPr>
              <w:t xml:space="preserve">D5.1 › point 2 Épidémiologie (et points 3, 5, 11.D, 12)</w:t>
            </w:r>
          </w:p>
        </w:tc>
        <w:tc>
          <w:tcPr>
            <w:tcW w:w="2600" w:type="dxa"/>
            <w:vAlign w:val="top"/>
          </w:tcPr>
          <w:p>
            <w:pPr>
              <w:spacing w:after="0"/>
            </w:pPr>
            <w:r>
              <w:rPr>
                <w:i/>
                <w:sz w:val="17"/>
                <w:szCs w:val="17"/>
              </w:rPr>
              <w:t xml:space="preserve">« Les infections virales dominent les bronchites aiguës simples. La coqueluche peut toucher des adultes vaccinés dont l'immunité a diminué. »</w:t>
            </w:r>
          </w:p>
        </w:tc>
        <w:tc>
          <w:tcPr>
            <w:tcW w:w="3000" w:type="dxa"/>
            <w:vAlign w:val="top"/>
          </w:tcPr>
          <w:p>
            <w:pPr>
              <w:spacing w:after="40"/>
            </w:pPr>
            <w:r>
              <w:rPr>
                <w:sz w:val="17"/>
                <w:szCs w:val="17"/>
              </w:rPr>
              <w:t xml:space="preserve">La monographie D5.1 contient un texte importé d'un autre lot (bronchite aiguë, coqueluche : toux, quintes, vomissements après la toux) sans rapport avec la phase prodromique virale du malaise.</w:t>
            </w:r>
          </w:p>
          <w:p>
            <w:pPr>
              <w:spacing w:after="0"/>
            </w:pPr>
            <w:r>
              <w:rPr>
                <w:b/>
                <w:color w:val="145A32"/>
                <w:sz w:val="17"/>
                <w:szCs w:val="17"/>
              </w:rPr>
              <w:t xml:space="preserve">→ Réécrire les points 2, 3, 5, 11.D et 12 de D5.1 sur la grippe, le SARS-CoV-2 et les viroses systémiques à partir de sources OFSP.</w:t>
            </w:r>
          </w:p>
        </w:tc>
        <w:tc>
          <w:tcPr>
            <w:tcW w:w="1800" w:type="dxa"/>
            <w:vAlign w:val="top"/>
          </w:tcPr>
          <w:p>
            <w:pPr>
              <w:spacing w:after="0"/>
            </w:pPr>
            <w:r>
              <w:rPr>
                <w:sz w:val="17"/>
                <w:szCs w:val="17"/>
              </w:rPr>
              <w:t xml:space="preserve">PROMPT_V6.md (prompt de base du chantier PROFILES), § 5 ; comparaison avec la Partie 1 V5 du même lot</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L5-M52</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LOT_5_V6_Enrichi_8plus_Partie_1_Integral.html</w:t>
            </w:r>
          </w:p>
        </w:tc>
        <w:tc>
          <w:tcPr>
            <w:tcW w:w="2350" w:type="dxa"/>
            <w:vAlign w:val="top"/>
          </w:tcPr>
          <w:p>
            <w:pPr>
              <w:spacing w:after="0"/>
            </w:pPr>
            <w:r>
              <w:rPr>
                <w:sz w:val="17"/>
                <w:szCs w:val="17"/>
              </w:rPr>
              <w:t xml:space="preserve">Ensemble des monographies (exemple : SSP G5 › point 11.A)</w:t>
            </w:r>
          </w:p>
        </w:tc>
        <w:tc>
          <w:tcPr>
            <w:tcW w:w="2600" w:type="dxa"/>
            <w:vAlign w:val="top"/>
          </w:tcPr>
          <w:p>
            <w:pPr>
              <w:spacing w:after="0"/>
            </w:pPr>
            <w:r>
              <w:rPr>
                <w:i/>
                <w:sz w:val="17"/>
                <w:szCs w:val="17"/>
              </w:rPr>
              <w:t xml:space="preserve">« Le traitement vise à expliquer le malaise et traiter une cause accessible sans manquer une urgence. »</w:t>
            </w:r>
          </w:p>
        </w:tc>
        <w:tc>
          <w:tcPr>
            <w:tcW w:w="3000" w:type="dxa"/>
            <w:vAlign w:val="top"/>
          </w:tcPr>
          <w:p>
            <w:pPr>
              <w:spacing w:after="40"/>
            </w:pPr>
            <w:r>
              <w:rPr>
                <w:sz w:val="17"/>
                <w:szCs w:val="17"/>
              </w:rPr>
              <w:t xml:space="preserve">L'édition V6 supprime toutes les doses, spécialités suisses, seuils chiffrés, tableaux d'interprétation et fenêtres bio-mathématiques : elle ne permet plus aucune décision clinique et viole les § 5.9, 5.11 et 13.</w:t>
            </w:r>
          </w:p>
          <w:p>
            <w:pPr>
              <w:spacing w:after="0"/>
            </w:pPr>
            <w:r>
              <w:rPr>
                <w:b/>
                <w:color w:val="145A32"/>
                <w:sz w:val="17"/>
                <w:szCs w:val="17"/>
              </w:rPr>
              <w:t xml:space="preserve">→ Fusionner le contenu corrigé des V5 (doses, seuils, tableaux d'interprétation, spécialités vérifiées) dans le gabarit HTML V6.</w:t>
            </w:r>
          </w:p>
        </w:tc>
        <w:tc>
          <w:tcPr>
            <w:tcW w:w="1800" w:type="dxa"/>
            <w:vAlign w:val="top"/>
          </w:tcPr>
          <w:p>
            <w:pPr>
              <w:spacing w:after="0"/>
            </w:pPr>
            <w:r>
              <w:rPr>
                <w:sz w:val="17"/>
                <w:szCs w:val="17"/>
              </w:rPr>
              <w:t xml:space="preserve">PROMPT_V6.md (prompt de base du chantier PROFILES), § 5 (points 9 et 11), § 6.7 et § 13</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L5-M53</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LOT_5_V6_Enrichi_8plus_Partie_1_Integral.html</w:t>
            </w:r>
          </w:p>
        </w:tc>
        <w:tc>
          <w:tcPr>
            <w:tcW w:w="2350" w:type="dxa"/>
            <w:vAlign w:val="top"/>
          </w:tcPr>
          <w:p>
            <w:pPr>
              <w:spacing w:after="0"/>
            </w:pPr>
            <w:r>
              <w:rPr>
                <w:sz w:val="17"/>
                <w:szCs w:val="17"/>
              </w:rPr>
              <w:t xml:space="preserve">D5.10 › Références</w:t>
            </w:r>
          </w:p>
        </w:tc>
        <w:tc>
          <w:tcPr>
            <w:tcW w:w="2600" w:type="dxa"/>
            <w:vAlign w:val="top"/>
          </w:tcPr>
          <w:p>
            <w:pPr>
              <w:spacing w:after="0"/>
            </w:pPr>
            <w:r>
              <w:rPr>
                <w:i/>
                <w:sz w:val="17"/>
                <w:szCs w:val="17"/>
              </w:rPr>
              <w:t xml:space="preserve">« CDC — Intoxication au monoxyde de carbone »</w:t>
            </w:r>
          </w:p>
        </w:tc>
        <w:tc>
          <w:tcPr>
            <w:tcW w:w="3000" w:type="dxa"/>
            <w:vAlign w:val="top"/>
          </w:tcPr>
          <w:p>
            <w:pPr>
              <w:spacing w:after="40"/>
            </w:pPr>
            <w:r>
              <w:rPr>
                <w:sz w:val="17"/>
                <w:szCs w:val="17"/>
              </w:rPr>
              <w:t xml:space="preserve">La seule référence de la monographie CO est une source américaine (CDC), interdite comme référence.</w:t>
            </w:r>
          </w:p>
          <w:p>
            <w:pPr>
              <w:spacing w:after="0"/>
            </w:pPr>
            <w:r>
              <w:rPr>
                <w:b/>
                <w:color w:val="145A32"/>
                <w:sz w:val="17"/>
                <w:szCs w:val="17"/>
              </w:rPr>
              <w:t xml:space="preserve">→ Remplacer par Tox Info Suisse et le consensus européen ECHM (Diving Hyperb Med 2017;47:24-32).</w:t>
            </w:r>
          </w:p>
        </w:tc>
        <w:tc>
          <w:tcPr>
            <w:tcW w:w="1800" w:type="dxa"/>
            <w:vAlign w:val="top"/>
          </w:tcPr>
          <w:p>
            <w:pPr>
              <w:spacing w:after="0"/>
            </w:pPr>
            <w:r>
              <w:rPr>
                <w:sz w:val="17"/>
                <w:szCs w:val="17"/>
              </w:rPr>
              <w:t xml:space="preserve">PROMPT_V6.md (prompt de base du chantier PROFILES), § 3.2 et § 14</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L5-M54</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LOT_5_V6_Enrichi_8plus_Partie_1_Integral.html</w:t>
            </w:r>
          </w:p>
        </w:tc>
        <w:tc>
          <w:tcPr>
            <w:tcW w:w="2350" w:type="dxa"/>
            <w:vAlign w:val="top"/>
          </w:tcPr>
          <w:p>
            <w:pPr>
              <w:spacing w:after="0"/>
            </w:pPr>
            <w:r>
              <w:rPr>
                <w:sz w:val="17"/>
                <w:szCs w:val="17"/>
              </w:rPr>
              <w:t xml:space="preserve">En-tête et fin de chaque monographie</w:t>
            </w:r>
          </w:p>
        </w:tc>
        <w:tc>
          <w:tcPr>
            <w:tcW w:w="2600" w:type="dxa"/>
            <w:vAlign w:val="top"/>
          </w:tcPr>
          <w:p>
            <w:pPr>
              <w:spacing w:after="0"/>
            </w:pPr>
            <w:r>
              <w:rPr>
                <w:i/>
                <w:sz w:val="17"/>
                <w:szCs w:val="17"/>
              </w:rPr>
              <w:t xml:space="preserve">« Les données quantitatives non vérifiées et les actualités 2026 non établies sont identifiées dans le HELP. »</w:t>
            </w:r>
          </w:p>
        </w:tc>
        <w:tc>
          <w:tcPr>
            <w:tcW w:w="3000" w:type="dxa"/>
            <w:vAlign w:val="top"/>
          </w:tcPr>
          <w:p>
            <w:pPr>
              <w:spacing w:after="40"/>
            </w:pPr>
            <w:r>
              <w:rPr>
                <w:sz w:val="17"/>
                <w:szCs w:val="17"/>
              </w:rPr>
              <w:t xml:space="preserve">Le fichier n'a ni section Sources numérotée [S1]…[Sn] datée ni mention « Contenu produit par IA… non validé cliniquement » ; les références renvoient surtout aux Google Docs de départ.</w:t>
            </w:r>
          </w:p>
          <w:p>
            <w:pPr>
              <w:spacing w:after="0"/>
            </w:pPr>
            <w:r>
              <w:rPr>
                <w:b/>
                <w:color w:val="145A32"/>
                <w:sz w:val="17"/>
                <w:szCs w:val="17"/>
              </w:rPr>
              <w:t xml:space="preserve">→ Ajouter une section Sources numérotée (titre, organisme, année, URL, date de consultation) et la mention de non-validation en fin de fichier.</w:t>
            </w:r>
          </w:p>
        </w:tc>
        <w:tc>
          <w:tcPr>
            <w:tcW w:w="1800" w:type="dxa"/>
            <w:vAlign w:val="top"/>
          </w:tcPr>
          <w:p>
            <w:pPr>
              <w:spacing w:after="0"/>
            </w:pPr>
            <w:r>
              <w:rPr>
                <w:sz w:val="17"/>
                <w:szCs w:val="17"/>
              </w:rPr>
              <w:t xml:space="preserve">PROMPT_V6.md (prompt de base du chantier PROFILES), § 3.8</w:t>
            </w:r>
          </w:p>
        </w:tc>
      </w:tr>
    </w:tbl>
    <w:p>
      <w:pPr>
        <w:spacing w:after="120"/>
      </w:pPr>
    </w:p>
    <w:p>
      <w:pPr>
        <w:pStyle w:val="Titre1"/>
        <w:keepNext/>
      </w:pPr>
      <w:r>
        <w:rPr>
          <w:b/>
          <w:color w:val="B9770E"/>
          <w:sz w:val="26"/>
          <w:szCs w:val="26"/>
        </w:rPr>
        <w:t xml:space="preserve">Moyen — 56 problème(s)</w:t>
      </w:r>
    </w:p>
    <w:tbl>
      <w:tblPr>
        <w:tblW w:w="144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600"/>
        <w:gridCol w:w="900"/>
        <w:gridCol w:w="1250"/>
        <w:gridCol w:w="1900"/>
        <w:gridCol w:w="2350"/>
        <w:gridCol w:w="2600"/>
        <w:gridCol w:w="3000"/>
        <w:gridCol w:w="1800"/>
      </w:tblGrid>
      <w:tr>
        <w:trPr>
          <w:tblHeader/>
          <w:cantSplit/>
        </w:trPr>
        <w:tc>
          <w:tcPr>
            <w:tcW w:w="600" w:type="dxa"/>
            <w:shd w:val="clear" w:color="auto" w:fill="B9770E"/>
            <w:vAlign w:val="top"/>
          </w:tcPr>
          <w:p>
            <w:pPr>
              <w:spacing w:after="0"/>
            </w:pPr>
            <w:r>
              <w:rPr>
                <w:b/>
                <w:color w:val="FFFFFF"/>
                <w:sz w:val="17"/>
                <w:szCs w:val="17"/>
              </w:rPr>
              <w:t xml:space="preserve">Fait</w:t>
            </w:r>
          </w:p>
        </w:tc>
        <w:tc>
          <w:tcPr>
            <w:tcW w:w="900" w:type="dxa"/>
            <w:shd w:val="clear" w:color="auto" w:fill="B9770E"/>
            <w:vAlign w:val="top"/>
          </w:tcPr>
          <w:p>
            <w:pPr>
              <w:spacing w:after="0"/>
            </w:pPr>
            <w:r>
              <w:rPr>
                <w:b/>
                <w:color w:val="FFFFFF"/>
                <w:sz w:val="17"/>
                <w:szCs w:val="17"/>
              </w:rPr>
              <w:t xml:space="preserve">N°</w:t>
            </w:r>
          </w:p>
        </w:tc>
        <w:tc>
          <w:tcPr>
            <w:tcW w:w="1250" w:type="dxa"/>
            <w:shd w:val="clear" w:color="auto" w:fill="B9770E"/>
            <w:vAlign w:val="top"/>
          </w:tcPr>
          <w:p>
            <w:pPr>
              <w:spacing w:after="0"/>
            </w:pPr>
            <w:r>
              <w:rPr>
                <w:b/>
                <w:color w:val="FFFFFF"/>
                <w:sz w:val="17"/>
                <w:szCs w:val="17"/>
              </w:rPr>
              <w:t xml:space="preserve">Domaine</w:t>
            </w:r>
          </w:p>
        </w:tc>
        <w:tc>
          <w:tcPr>
            <w:tcW w:w="1900" w:type="dxa"/>
            <w:shd w:val="clear" w:color="auto" w:fill="B9770E"/>
            <w:vAlign w:val="top"/>
          </w:tcPr>
          <w:p>
            <w:pPr>
              <w:spacing w:after="0"/>
            </w:pPr>
            <w:r>
              <w:rPr>
                <w:b/>
                <w:color w:val="FFFFFF"/>
                <w:sz w:val="17"/>
                <w:szCs w:val="17"/>
              </w:rPr>
              <w:t xml:space="preserve">Fichier</w:t>
            </w:r>
          </w:p>
        </w:tc>
        <w:tc>
          <w:tcPr>
            <w:tcW w:w="2350" w:type="dxa"/>
            <w:shd w:val="clear" w:color="auto" w:fill="B9770E"/>
            <w:vAlign w:val="top"/>
          </w:tcPr>
          <w:p>
            <w:pPr>
              <w:spacing w:after="0"/>
            </w:pPr>
            <w:r>
              <w:rPr>
                <w:b/>
                <w:color w:val="FFFFFF"/>
                <w:sz w:val="17"/>
                <w:szCs w:val="17"/>
              </w:rPr>
              <w:t xml:space="preserve">Emplacement</w:t>
            </w:r>
          </w:p>
        </w:tc>
        <w:tc>
          <w:tcPr>
            <w:tcW w:w="2600" w:type="dxa"/>
            <w:shd w:val="clear" w:color="auto" w:fill="B9770E"/>
            <w:vAlign w:val="top"/>
          </w:tcPr>
          <w:p>
            <w:pPr>
              <w:spacing w:after="0"/>
            </w:pPr>
            <w:r>
              <w:rPr>
                <w:b/>
                <w:color w:val="FFFFFF"/>
                <w:sz w:val="17"/>
                <w:szCs w:val="17"/>
              </w:rPr>
              <w:t xml:space="preserve">Extrait exact</w:t>
            </w:r>
          </w:p>
        </w:tc>
        <w:tc>
          <w:tcPr>
            <w:tcW w:w="3000" w:type="dxa"/>
            <w:shd w:val="clear" w:color="auto" w:fill="B9770E"/>
            <w:vAlign w:val="top"/>
          </w:tcPr>
          <w:p>
            <w:pPr>
              <w:spacing w:after="0"/>
            </w:pPr>
            <w:r>
              <w:rPr>
                <w:b/>
                <w:color w:val="FFFFFF"/>
                <w:sz w:val="17"/>
                <w:szCs w:val="17"/>
              </w:rPr>
              <w:t xml:space="preserve">Problème → correction</w:t>
            </w:r>
          </w:p>
        </w:tc>
        <w:tc>
          <w:tcPr>
            <w:tcW w:w="1800" w:type="dxa"/>
            <w:shd w:val="clear" w:color="auto" w:fill="B9770E"/>
            <w:vAlign w:val="top"/>
          </w:tcPr>
          <w:p>
            <w:pPr>
              <w:spacing w:after="0"/>
            </w:pPr>
            <w:r>
              <w:rPr>
                <w:b/>
                <w:color w:val="FFFFFF"/>
                <w:sz w:val="17"/>
                <w:szCs w:val="17"/>
              </w:rPr>
              <w:t xml:space="preserve">Source</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L5-L106</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LOT_5_Appel_B_V5_Ultra_Pedagogique_Partie_4_DX.8_a_DX.10__export_GoogleDoc__v2.html</w:t>
            </w:r>
          </w:p>
        </w:tc>
        <w:tc>
          <w:tcPr>
            <w:tcW w:w="2350" w:type="dxa"/>
            <w:vAlign w:val="top"/>
          </w:tcPr>
          <w:p>
            <w:pPr>
              <w:spacing w:after="0"/>
            </w:pPr>
            <w:r>
              <w:rPr>
                <w:sz w:val="17"/>
                <w:szCs w:val="17"/>
              </w:rPr>
              <w:t xml:space="preserve">D5.10 › 10. Arbre décisionnel</w:t>
            </w:r>
          </w:p>
        </w:tc>
        <w:tc>
          <w:tcPr>
            <w:tcW w:w="2600" w:type="dxa"/>
            <w:vAlign w:val="top"/>
          </w:tcPr>
          <w:p>
            <w:pPr>
              <w:spacing w:after="0"/>
            </w:pPr>
            <w:r>
              <w:rPr>
                <w:i/>
                <w:sz w:val="17"/>
                <w:szCs w:val="17"/>
              </w:rPr>
              <w:t xml:space="preserve">« l'appel des secours (144 / Pompiers) »</w:t>
            </w:r>
          </w:p>
        </w:tc>
        <w:tc>
          <w:tcPr>
            <w:tcW w:w="3000" w:type="dxa"/>
            <w:vAlign w:val="top"/>
          </w:tcPr>
          <w:p>
            <w:pPr>
              <w:spacing w:after="40"/>
            </w:pPr>
            <w:r>
              <w:rPr>
                <w:sz w:val="17"/>
                <w:szCs w:val="17"/>
              </w:rPr>
              <w:t xml:space="preserve">Le numéro des sapeurs-pompiers en Suisse (118) manque, alors que l'évacuation et la sécurisation du local en dépendent.</w:t>
            </w:r>
          </w:p>
          <w:p>
            <w:pPr>
              <w:spacing w:after="0"/>
            </w:pPr>
            <w:r>
              <w:rPr>
                <w:b/>
                <w:color w:val="145A32"/>
                <w:sz w:val="17"/>
                <w:szCs w:val="17"/>
              </w:rPr>
              <w:t xml:space="preserve">→ Écrire « l'appel des secours (144) et des sapeurs-pompiers (118) ».</w:t>
            </w:r>
          </w:p>
        </w:tc>
        <w:tc>
          <w:tcPr>
            <w:tcW w:w="1800" w:type="dxa"/>
            <w:vAlign w:val="top"/>
          </w:tcPr>
          <w:p>
            <w:pPr>
              <w:spacing w:after="0"/>
            </w:pPr>
            <w:r>
              <w:rPr>
                <w:sz w:val="17"/>
                <w:szCs w:val="17"/>
              </w:rPr>
              <w:t xml:space="preserve">Numéros d'urgence suisses (144 ambulance, 118 feu, 145 Tox Info Suisse)</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L5-L107</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LOT_5_Appel_B_V5_Ultra_Pedagogique_Partie_4_DX.8_a_DX.10__export_GoogleDoc__v2.html</w:t>
            </w:r>
          </w:p>
        </w:tc>
        <w:tc>
          <w:tcPr>
            <w:tcW w:w="2350" w:type="dxa"/>
            <w:vAlign w:val="top"/>
          </w:tcPr>
          <w:p>
            <w:pPr>
              <w:spacing w:after="0"/>
            </w:pPr>
            <w:r>
              <w:rPr>
                <w:sz w:val="17"/>
                <w:szCs w:val="17"/>
              </w:rPr>
              <w:t xml:space="preserve">D5.10 › 12. Prévention</w:t>
            </w:r>
          </w:p>
        </w:tc>
        <w:tc>
          <w:tcPr>
            <w:tcW w:w="2600" w:type="dxa"/>
            <w:vAlign w:val="top"/>
          </w:tcPr>
          <w:p>
            <w:pPr>
              <w:spacing w:after="0"/>
            </w:pPr>
            <w:r>
              <w:rPr>
                <w:i/>
                <w:sz w:val="17"/>
                <w:szCs w:val="17"/>
              </w:rPr>
              <w:t xml:space="preserve">« Installation obligatoire et maintenance annuelle des détecteurs autonomes de monoxyde de carbone »</w:t>
            </w:r>
          </w:p>
        </w:tc>
        <w:tc>
          <w:tcPr>
            <w:tcW w:w="3000" w:type="dxa"/>
            <w:vAlign w:val="top"/>
          </w:tcPr>
          <w:p>
            <w:pPr>
              <w:spacing w:after="40"/>
            </w:pPr>
            <w:r>
              <w:rPr>
                <w:sz w:val="17"/>
                <w:szCs w:val="17"/>
              </w:rPr>
              <w:t xml:space="preserve">Le caractère « obligatoire » des détecteurs de CO en Suisse n'est appuyé par aucune base légale citée.</w:t>
            </w:r>
          </w:p>
          <w:p>
            <w:pPr>
              <w:spacing w:after="0"/>
            </w:pPr>
            <w:r>
              <w:rPr>
                <w:b/>
                <w:color w:val="145A32"/>
                <w:sz w:val="17"/>
                <w:szCs w:val="17"/>
              </w:rPr>
              <w:t xml:space="preserve">→ Citer la base légale cantonale ou fédérale (Fedlex, article, état du texte) ou écrire « recommandée » ; statut : donnée non trouvée dans les sources consultées.</w:t>
            </w:r>
          </w:p>
        </w:tc>
        <w:tc>
          <w:tcPr>
            <w:tcW w:w="1800" w:type="dxa"/>
            <w:vAlign w:val="top"/>
          </w:tcPr>
          <w:p>
            <w:pPr>
              <w:spacing w:after="0"/>
            </w:pPr>
            <w:r>
              <w:rPr>
                <w:sz w:val="17"/>
                <w:szCs w:val="17"/>
              </w:rPr>
              <w:t xml:space="preserve">PROMPT_V6 (Standard V6, prompt de base du lot) § 3.4</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L5-L108</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LOT_5_Appel_B_V5_Ultra_Pedagogique_Partie_4_DX.8_a_DX.10__export_GoogleDoc__v2.html</w:t>
            </w:r>
          </w:p>
        </w:tc>
        <w:tc>
          <w:tcPr>
            <w:tcW w:w="2350" w:type="dxa"/>
            <w:vAlign w:val="top"/>
          </w:tcPr>
          <w:p>
            <w:pPr>
              <w:spacing w:after="0"/>
            </w:pPr>
            <w:r>
              <w:rPr>
                <w:sz w:val="17"/>
                <w:szCs w:val="17"/>
              </w:rPr>
              <w:t xml:space="preserve">D5.10 › Fenêtre 3.10 › tableau › ligne OHB</w:t>
            </w:r>
          </w:p>
        </w:tc>
        <w:tc>
          <w:tcPr>
            <w:tcW w:w="2600" w:type="dxa"/>
            <w:vAlign w:val="top"/>
          </w:tcPr>
          <w:p>
            <w:pPr>
              <w:spacing w:after="0"/>
            </w:pPr>
            <w:r>
              <w:rPr>
                <w:i/>
                <w:sz w:val="17"/>
                <w:szCs w:val="17"/>
              </w:rPr>
              <w:t xml:space="preserve">« Indiquée en urgence si : $\text{HbCO} &gt; 25\ \%$ »</w:t>
            </w:r>
          </w:p>
        </w:tc>
        <w:tc>
          <w:tcPr>
            <w:tcW w:w="3000" w:type="dxa"/>
            <w:vAlign w:val="top"/>
          </w:tcPr>
          <w:p>
            <w:pPr>
              <w:spacing w:after="40"/>
            </w:pPr>
            <w:r>
              <w:rPr>
                <w:sz w:val="17"/>
                <w:szCs w:val="17"/>
              </w:rPr>
              <w:t xml:space="preserve">L'indication de l'oxygène hyperbare repose ici sur un seuil isolé d'HbCO, alors que la gravité ne se déduit pas du seul taux (le fichier V6 le rappelle) ; le seuil n'est pas sourcé.</w:t>
            </w:r>
          </w:p>
          <w:p>
            <w:pPr>
              <w:spacing w:after="0"/>
            </w:pPr>
            <w:r>
              <w:rPr>
                <w:b/>
                <w:color w:val="145A32"/>
                <w:sz w:val="17"/>
                <w:szCs w:val="17"/>
              </w:rPr>
              <w:t xml:space="preserve">→ Fonder l'indication sur la clinique (perte de connaissance, signes neurologiques ou cardiaques, grossesse) selon le consensus européen ECHM lu et cité ; statut du seuil de 25 % : donnée non trouvée dans les sources consultées.</w:t>
            </w:r>
          </w:p>
        </w:tc>
        <w:tc>
          <w:tcPr>
            <w:tcW w:w="1800" w:type="dxa"/>
            <w:vAlign w:val="top"/>
          </w:tcPr>
          <w:p>
            <w:pPr>
              <w:spacing w:after="0"/>
            </w:pPr>
            <w:r>
              <w:rPr>
                <w:sz w:val="17"/>
                <w:szCs w:val="17"/>
              </w:rPr>
              <w:t xml:space="preserve">donnée non trouvée dans les sources consultées</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L5-L11</w:t>
            </w:r>
          </w:p>
        </w:tc>
        <w:tc>
          <w:tcPr>
            <w:tcW w:w="1250" w:type="dxa"/>
            <w:vAlign w:val="top"/>
          </w:tcPr>
          <w:p>
            <w:pPr>
              <w:spacing w:after="0"/>
            </w:pPr>
            <w:r>
              <w:rPr>
                <w:sz w:val="17"/>
                <w:szCs w:val="17"/>
              </w:rPr>
              <w:t xml:space="preserve">Structure</w:t>
            </w:r>
          </w:p>
        </w:tc>
        <w:tc>
          <w:tcPr>
            <w:tcW w:w="1900" w:type="dxa"/>
            <w:vAlign w:val="top"/>
          </w:tcPr>
          <w:p>
            <w:pPr>
              <w:spacing w:after="0"/>
            </w:pPr>
            <w:r>
              <w:rPr>
                <w:sz w:val="17"/>
                <w:szCs w:val="17"/>
              </w:rPr>
              <w:t xml:space="preserve">LOT_5_Appel_B_V5_Ultra_Pedagogique_Partie_4_DX.8_a_DX.10__export_GoogleDoc__v1.html</w:t>
            </w:r>
          </w:p>
        </w:tc>
        <w:tc>
          <w:tcPr>
            <w:tcW w:w="2350" w:type="dxa"/>
            <w:vAlign w:val="top"/>
          </w:tcPr>
          <w:p>
            <w:pPr>
              <w:spacing w:after="0"/>
            </w:pPr>
            <w:r>
              <w:rPr>
                <w:sz w:val="17"/>
                <w:szCs w:val="17"/>
              </w:rPr>
              <w:t xml:space="preserve">Partie 4 (v1, version 18:01) › fichier entier</w:t>
            </w:r>
          </w:p>
        </w:tc>
        <w:tc>
          <w:tcPr>
            <w:tcW w:w="2600" w:type="dxa"/>
            <w:vAlign w:val="top"/>
          </w:tcPr>
          <w:p>
            <w:pPr>
              <w:spacing w:after="0"/>
            </w:pPr>
            <w:r>
              <w:rPr>
                <w:i/>
                <w:sz w:val="17"/>
                <w:szCs w:val="17"/>
              </w:rPr>
              <w:t xml:space="preserve">« Appel B - Partie 4/4 (D5.8 à D5.10) »</w:t>
            </w:r>
          </w:p>
        </w:tc>
        <w:tc>
          <w:tcPr>
            <w:tcW w:w="3000" w:type="dxa"/>
            <w:vAlign w:val="top"/>
          </w:tcPr>
          <w:p>
            <w:pPr>
              <w:spacing w:after="40"/>
            </w:pPr>
            <w:r>
              <w:rPr>
                <w:sz w:val="17"/>
                <w:szCs w:val="17"/>
              </w:rPr>
              <w:t xml:space="preserve">Le fichier est une version périmée de la Partie 4 qui coexiste avec la version 18:10 dans le même dossier ; ce doublon viole la règle « aucun doublon » (audit de fond non réalisé).</w:t>
            </w:r>
          </w:p>
          <w:p>
            <w:pPr>
              <w:spacing w:after="0"/>
            </w:pPr>
            <w:r>
              <w:rPr>
                <w:b/>
                <w:color w:val="145A32"/>
                <w:sz w:val="17"/>
                <w:szCs w:val="17"/>
              </w:rPr>
              <w:t xml:space="preserve">→ Déplacer ce fichier dans CORBEILLE_DOUBLONS_OBSOLETES avec le suffixe _OBSOLETE_ après dépôt et vérification de la Partie 4 régénérée en HTML.</w:t>
            </w:r>
          </w:p>
        </w:tc>
        <w:tc>
          <w:tcPr>
            <w:tcW w:w="1800" w:type="dxa"/>
            <w:vAlign w:val="top"/>
          </w:tcPr>
          <w:p>
            <w:pPr>
              <w:spacing w:after="0"/>
            </w:pPr>
            <w:r>
              <w:rPr>
                <w:sz w:val="17"/>
                <w:szCs w:val="17"/>
              </w:rPr>
              <w:t xml:space="preserve">PROMPT_V6 (Standard V6, prompt de base du lot) § 12</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L5-L19</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LOT_5_V6_Enrichi_8plus_Partie_1_Integral.html</w:t>
            </w:r>
          </w:p>
        </w:tc>
        <w:tc>
          <w:tcPr>
            <w:tcW w:w="2350" w:type="dxa"/>
            <w:vAlign w:val="top"/>
          </w:tcPr>
          <w:p>
            <w:pPr>
              <w:spacing w:after="0"/>
            </w:pPr>
            <w:r>
              <w:rPr>
                <w:sz w:val="17"/>
                <w:szCs w:val="17"/>
              </w:rPr>
              <w:t xml:space="preserve">SSP G5 › 13. Points clés (même défaut dans les 11 monographies)</w:t>
            </w:r>
          </w:p>
        </w:tc>
        <w:tc>
          <w:tcPr>
            <w:tcW w:w="2600" w:type="dxa"/>
            <w:vAlign w:val="top"/>
          </w:tcPr>
          <w:p>
            <w:pPr>
              <w:spacing w:after="0"/>
            </w:pPr>
            <w:r>
              <w:rPr>
                <w:i/>
                <w:sz w:val="17"/>
                <w:szCs w:val="17"/>
              </w:rPr>
              <w:t xml:space="preserve">« Le traitement corrige la cause identifiée et maintient les apports ainsi que la sécurité fonctionnelle. Le suivi porte sur la conscience »</w:t>
            </w:r>
          </w:p>
        </w:tc>
        <w:tc>
          <w:tcPr>
            <w:tcW w:w="3000" w:type="dxa"/>
            <w:vAlign w:val="top"/>
          </w:tcPr>
          <w:p>
            <w:pPr>
              <w:spacing w:after="40"/>
            </w:pPr>
            <w:r>
              <w:rPr>
                <w:sz w:val="17"/>
                <w:szCs w:val="17"/>
              </w:rPr>
              <w:t xml:space="preserve">Les points clés recopient mot pour mot les phrases des points 8, 11.B et 11.C au lieu de formuler un enseignement propre (11 occurrences), ce qui crée une répétition interdite.</w:t>
            </w:r>
          </w:p>
          <w:p>
            <w:pPr>
              <w:spacing w:after="0"/>
            </w:pPr>
            <w:r>
              <w:rPr>
                <w:b/>
                <w:color w:val="145A32"/>
                <w:sz w:val="17"/>
                <w:szCs w:val="17"/>
              </w:rPr>
              <w:t xml:space="preserve">→ Rédiger pour chaque monographie 3 à 6 phrases clés originales, verbales et chiffrées, sans reprendre le texte des points précédents.</w:t>
            </w:r>
          </w:p>
        </w:tc>
        <w:tc>
          <w:tcPr>
            <w:tcW w:w="1800" w:type="dxa"/>
            <w:vAlign w:val="top"/>
          </w:tcPr>
          <w:p>
            <w:pPr>
              <w:spacing w:after="0"/>
            </w:pPr>
            <w:r>
              <w:rPr>
                <w:sz w:val="17"/>
                <w:szCs w:val="17"/>
              </w:rPr>
              <w:t xml:space="preserve">PROMPT_V6 (Standard V6, prompt de base du lot) § 5.13, § 6.4</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L5-L20</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LOT_5_V6_Enrichi_8plus_Partie_1_Integral.html</w:t>
            </w:r>
          </w:p>
        </w:tc>
        <w:tc>
          <w:tcPr>
            <w:tcW w:w="2350" w:type="dxa"/>
            <w:vAlign w:val="top"/>
          </w:tcPr>
          <w:p>
            <w:pPr>
              <w:spacing w:after="0"/>
            </w:pPr>
            <w:r>
              <w:rPr>
                <w:sz w:val="17"/>
                <w:szCs w:val="17"/>
              </w:rPr>
              <w:t xml:space="preserve">SSP G5 › 9. Examens › fenêtre « Consulter la hiérarchie des examens » (même défaut dans les 11 monographies)</w:t>
            </w:r>
          </w:p>
        </w:tc>
        <w:tc>
          <w:tcPr>
            <w:tcW w:w="2600" w:type="dxa"/>
            <w:vAlign w:val="top"/>
          </w:tcPr>
          <w:p>
            <w:pPr>
              <w:spacing w:after="0"/>
            </w:pPr>
            <w:r>
              <w:rPr>
                <w:i/>
                <w:sz w:val="17"/>
                <w:szCs w:val="17"/>
              </w:rPr>
              <w:t xml:space="preserve">« Gold standard / référence : le test confirme une question précise Aucun examen unique ne confirme la cause du malaise. La preuve dépend »</w:t>
            </w:r>
          </w:p>
        </w:tc>
        <w:tc>
          <w:tcPr>
            <w:tcW w:w="3000" w:type="dxa"/>
            <w:vAlign w:val="top"/>
          </w:tcPr>
          <w:p>
            <w:pPr>
              <w:spacing w:after="40"/>
            </w:pPr>
            <w:r>
              <w:rPr>
                <w:sz w:val="17"/>
                <w:szCs w:val="17"/>
              </w:rPr>
              <w:t xml:space="preserve">La rubrique 9.a répète littéralement la phrase d'introduction du point 9 dans chaque monographie (11 occurrences), ce qui n'apporte aucune information sur le gold standard, sa sensibilité ni sa spécificité.</w:t>
            </w:r>
          </w:p>
          <w:p>
            <w:pPr>
              <w:spacing w:after="0"/>
            </w:pPr>
            <w:r>
              <w:rPr>
                <w:b/>
                <w:color w:val="145A32"/>
                <w:sz w:val="17"/>
                <w:szCs w:val="17"/>
              </w:rPr>
              <w:t xml:space="preserve">→ Supprimer la répétition et donner en 9.a l'examen de référence nommé, avec sensibilité, spécificité et seuil sourcés.</w:t>
            </w:r>
          </w:p>
        </w:tc>
        <w:tc>
          <w:tcPr>
            <w:tcW w:w="1800" w:type="dxa"/>
            <w:vAlign w:val="top"/>
          </w:tcPr>
          <w:p>
            <w:pPr>
              <w:spacing w:after="0"/>
            </w:pPr>
            <w:r>
              <w:rPr>
                <w:sz w:val="17"/>
                <w:szCs w:val="17"/>
              </w:rPr>
              <w:t xml:space="preserve">PROMPT_V6 (Standard V6, prompt de base du lot) § 5.9.a, § 6.4</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L5-L21</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LOT_5_V6_Enrichi_8plus_Partie_1_Integral.html</w:t>
            </w:r>
          </w:p>
        </w:tc>
        <w:tc>
          <w:tcPr>
            <w:tcW w:w="2350" w:type="dxa"/>
            <w:vAlign w:val="top"/>
          </w:tcPr>
          <w:p>
            <w:pPr>
              <w:spacing w:after="0"/>
            </w:pPr>
            <w:r>
              <w:rPr>
                <w:sz w:val="17"/>
                <w:szCs w:val="17"/>
              </w:rPr>
              <w:t xml:space="preserve">D5.8 › 8. Critères</w:t>
            </w:r>
          </w:p>
        </w:tc>
        <w:tc>
          <w:tcPr>
            <w:tcW w:w="2600" w:type="dxa"/>
            <w:vAlign w:val="top"/>
          </w:tcPr>
          <w:p>
            <w:pPr>
              <w:spacing w:after="0"/>
            </w:pPr>
            <w:r>
              <w:rPr>
                <w:i/>
                <w:sz w:val="17"/>
                <w:szCs w:val="17"/>
              </w:rPr>
              <w:t xml:space="preserve">« La CAM requiert les deux premiers éléments et une pensée désorganisée ou une altération de conscience, plutôt que les quatre éléments obligatoirement. »</w:t>
            </w:r>
          </w:p>
        </w:tc>
        <w:tc>
          <w:tcPr>
            <w:tcW w:w="3000" w:type="dxa"/>
            <w:vAlign w:val="top"/>
          </w:tcPr>
          <w:p>
            <w:pPr>
              <w:spacing w:after="40"/>
            </w:pPr>
            <w:r>
              <w:rPr>
                <w:sz w:val="17"/>
                <w:szCs w:val="17"/>
              </w:rPr>
              <w:t xml:space="preserve">La phrase est correcte sur le fond mais se termine par une tournure polémique et mal construite (« plutôt que les quatre éléments obligatoirement ») qui répond à une ancienne version au lieu d'enseigner.</w:t>
            </w:r>
          </w:p>
          <w:p>
            <w:pPr>
              <w:spacing w:after="0"/>
            </w:pPr>
            <w:r>
              <w:rPr>
                <w:b/>
                <w:color w:val="145A32"/>
                <w:sz w:val="17"/>
                <w:szCs w:val="17"/>
              </w:rPr>
              <w:t xml:space="preserve">→ La CAM retient un delirium si le début est aigu ou fluctuant et s'il existe une inattention, associés à une pensée désorganisée ou à une altération du niveau de conscience.</w:t>
            </w:r>
          </w:p>
        </w:tc>
        <w:tc>
          <w:tcPr>
            <w:tcW w:w="1800" w:type="dxa"/>
            <w:vAlign w:val="top"/>
          </w:tcPr>
          <w:p>
            <w:pPr>
              <w:spacing w:after="0"/>
            </w:pPr>
            <w:r>
              <w:rPr>
                <w:sz w:val="17"/>
                <w:szCs w:val="17"/>
              </w:rPr>
              <w:t xml:space="preserve">4AT — User guide (seuils et cotation officiels) — https://www.the4at.com/userguide — consulté le 22.10.2026 (lien 4AT–CAM) ; Inouye et al., Ann Intern Med 1990</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L5-L27</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LOT_5_Appel_A_V5_Ultra_Pedagogique_Plan_et_Liste__export_GoogleDoc.html</w:t>
            </w:r>
          </w:p>
        </w:tc>
        <w:tc>
          <w:tcPr>
            <w:tcW w:w="2350" w:type="dxa"/>
            <w:vAlign w:val="top"/>
          </w:tcPr>
          <w:p>
            <w:pPr>
              <w:spacing w:after="0"/>
            </w:pPr>
            <w:r>
              <w:rPr>
                <w:sz w:val="17"/>
                <w:szCs w:val="17"/>
              </w:rPr>
              <w:t xml:space="preserve">Bloc 1 › Fenêtre 3.1 › tableau › ligne Lactatémie</w:t>
            </w:r>
          </w:p>
        </w:tc>
        <w:tc>
          <w:tcPr>
            <w:tcW w:w="2600" w:type="dxa"/>
            <w:vAlign w:val="top"/>
          </w:tcPr>
          <w:p>
            <w:pPr>
              <w:spacing w:after="0"/>
            </w:pPr>
            <w:r>
              <w:rPr>
                <w:i/>
                <w:sz w:val="17"/>
                <w:szCs w:val="17"/>
              </w:rPr>
              <w:t xml:space="preserve">« ≥ 2,0 mmol/L (Sepsis sévère / Choc) »</w:t>
            </w:r>
          </w:p>
        </w:tc>
        <w:tc>
          <w:tcPr>
            <w:tcW w:w="3000" w:type="dxa"/>
            <w:vAlign w:val="top"/>
          </w:tcPr>
          <w:p>
            <w:pPr>
              <w:spacing w:after="40"/>
            </w:pPr>
            <w:r>
              <w:rPr>
                <w:sz w:val="17"/>
                <w:szCs w:val="17"/>
              </w:rPr>
              <w:t xml:space="preserve">Le terme « sepsis sévère » a été supprimé par la définition Sepsis-3 ; son emploi entretient une classification obsolète.</w:t>
            </w:r>
          </w:p>
          <w:p>
            <w:pPr>
              <w:spacing w:after="0"/>
            </w:pPr>
            <w:r>
              <w:rPr>
                <w:b/>
                <w:color w:val="145A32"/>
                <w:sz w:val="17"/>
                <w:szCs w:val="17"/>
              </w:rPr>
              <w:t xml:space="preserve">→ Écrire « ≥ 2,0 mmol/L : hyperlactatémie ; avec vasopresseur nécessaire pour PAM ≥ 65 mmHg après remplissage : choc septique ».</w:t>
            </w:r>
          </w:p>
        </w:tc>
        <w:tc>
          <w:tcPr>
            <w:tcW w:w="1800" w:type="dxa"/>
            <w:vAlign w:val="top"/>
          </w:tcPr>
          <w:p>
            <w:pPr>
              <w:spacing w:after="0"/>
            </w:pPr>
            <w:r>
              <w:rPr>
                <w:sz w:val="17"/>
                <w:szCs w:val="17"/>
              </w:rPr>
              <w:t xml:space="preserve">Singer et al., The Third International Consensus Definitions for Sepsis and Septic Shock (Sepsis-3), JAMA 2016 (co-élaboré par l'ESICM) ; Surviving Sepsis Campaign : International Guidelines for Management of Sepsis and Septic Shock 2026 — SCCM/ESICM — 2026 — https://www.sccm.org/clinical-resources/guidelines/guidelines/surviving-sepsis-campaign-international-guidelines-for-management-of-sepsis-and-septic-shock-2026 ; annonce ESICM https://www.esicm.org/?p=449735 — consultés le 22.10.2026</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L5-L30</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LOT_5_Appel_A_V5_Ultra_Pedagogique_Plan_et_Liste__export_GoogleDoc.html</w:t>
            </w:r>
          </w:p>
        </w:tc>
        <w:tc>
          <w:tcPr>
            <w:tcW w:w="2350" w:type="dxa"/>
            <w:vAlign w:val="top"/>
          </w:tcPr>
          <w:p>
            <w:pPr>
              <w:spacing w:after="0"/>
            </w:pPr>
            <w:r>
              <w:rPr>
                <w:sz w:val="17"/>
                <w:szCs w:val="17"/>
              </w:rPr>
              <w:t xml:space="preserve">Bloc 1 › 1. Définition et sémantique de la plainte</w:t>
            </w:r>
          </w:p>
        </w:tc>
        <w:tc>
          <w:tcPr>
            <w:tcW w:w="2600" w:type="dxa"/>
            <w:vAlign w:val="top"/>
          </w:tcPr>
          <w:p>
            <w:pPr>
              <w:spacing w:after="0"/>
            </w:pPr>
            <w:r>
              <w:rPr>
                <w:i/>
                <w:sz w:val="17"/>
                <w:szCs w:val="17"/>
              </w:rPr>
              <w:t xml:space="preserve">« La sensation de maladie (feeling of illness ou malaise général) désigne une perception intéroceptive subjective, diffuse et inconfortable »</w:t>
            </w:r>
          </w:p>
        </w:tc>
        <w:tc>
          <w:tcPr>
            <w:tcW w:w="3000" w:type="dxa"/>
            <w:vAlign w:val="top"/>
          </w:tcPr>
          <w:p>
            <w:pPr>
              <w:spacing w:after="40"/>
            </w:pPr>
            <w:r>
              <w:rPr>
                <w:sz w:val="17"/>
                <w:szCs w:val="17"/>
              </w:rPr>
              <w:t xml:space="preserve">La définition tient en une seule phrase de plus de 60 mots, non sourcée, alors que chaque point doit compter 1 à 4 phrases courtes avec une définition issue d'une source médicale.</w:t>
            </w:r>
          </w:p>
          <w:p>
            <w:pPr>
              <w:spacing w:after="0"/>
            </w:pPr>
            <w:r>
              <w:rPr>
                <w:b/>
                <w:color w:val="145A32"/>
                <w:sz w:val="17"/>
                <w:szCs w:val="17"/>
              </w:rPr>
              <w:t xml:space="preserve">→ Scinder en 2 ou 3 phrases courtes : définir la plainte selon une source médicale citée [Sn], puis expliquer le comportement de maladie dans une fenêtre &lt;details&gt;.</w:t>
            </w:r>
          </w:p>
        </w:tc>
        <w:tc>
          <w:tcPr>
            <w:tcW w:w="1800" w:type="dxa"/>
            <w:vAlign w:val="top"/>
          </w:tcPr>
          <w:p>
            <w:pPr>
              <w:spacing w:after="0"/>
            </w:pPr>
            <w:r>
              <w:rPr>
                <w:sz w:val="17"/>
                <w:szCs w:val="17"/>
              </w:rPr>
              <w:t xml:space="preserve">PROMPT_V6 (Standard V6, prompt de base du lot) § 5.1, § 6.2</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L5-L36</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LOT_5_Appel_B_V5_Ultra_Pedagogique_Partie_1_DX.1_a_DX.2__export_GoogleDoc.html</w:t>
            </w:r>
          </w:p>
        </w:tc>
        <w:tc>
          <w:tcPr>
            <w:tcW w:w="2350" w:type="dxa"/>
            <w:vAlign w:val="top"/>
          </w:tcPr>
          <w:p>
            <w:pPr>
              <w:spacing w:after="0"/>
            </w:pPr>
            <w:r>
              <w:rPr>
                <w:sz w:val="17"/>
                <w:szCs w:val="17"/>
              </w:rPr>
              <w:t xml:space="preserve">D5.1 › Fenêtre 3.1 › Exemple clinique</w:t>
            </w:r>
          </w:p>
        </w:tc>
        <w:tc>
          <w:tcPr>
            <w:tcW w:w="2600" w:type="dxa"/>
            <w:vAlign w:val="top"/>
          </w:tcPr>
          <w:p>
            <w:pPr>
              <w:spacing w:after="0"/>
            </w:pPr>
            <w:r>
              <w:rPr>
                <w:i/>
                <w:sz w:val="17"/>
                <w:szCs w:val="17"/>
              </w:rPr>
              <w:t xml:space="preserve">« SI = 104 / 128 = 0,81 (Hémodynamique conservée) »</w:t>
            </w:r>
          </w:p>
        </w:tc>
        <w:tc>
          <w:tcPr>
            <w:tcW w:w="3000" w:type="dxa"/>
            <w:vAlign w:val="top"/>
          </w:tcPr>
          <w:p>
            <w:pPr>
              <w:spacing w:after="40"/>
            </w:pPr>
            <w:r>
              <w:rPr>
                <w:sz w:val="17"/>
                <w:szCs w:val="17"/>
              </w:rPr>
              <w:t xml:space="preserve">L'exemple qualifie de « conservée » une valeur de 0,81 qui dépasse la norme de 0,5 à 0,7 donnée dans le même tableau, ce qui rend l'interprétation contradictoire.</w:t>
            </w:r>
          </w:p>
          <w:p>
            <w:pPr>
              <w:spacing w:after="0"/>
            </w:pPr>
            <w:r>
              <w:rPr>
                <w:b/>
                <w:color w:val="145A32"/>
                <w:sz w:val="17"/>
                <w:szCs w:val="17"/>
              </w:rPr>
              <w:t xml:space="preserve">→ Écrire « SI = 104 / 128 = 0,81 : valeur au-dessus de la norme (0,5–0,7) mais sous le seuil d'alerte de 0,9 ; le médecin réévalue après antipyrétique et hydratation ».</w:t>
            </w:r>
          </w:p>
        </w:tc>
        <w:tc>
          <w:tcPr>
            <w:tcW w:w="1800" w:type="dxa"/>
            <w:vAlign w:val="top"/>
          </w:tcPr>
          <w:p>
            <w:pPr>
              <w:spacing w:after="0"/>
            </w:pPr>
            <w:r>
              <w:rPr>
                <w:sz w:val="17"/>
                <w:szCs w:val="17"/>
              </w:rPr>
              <w:t xml:space="preserve">Calcul dérivé à partir des seuils du fichier lui-même ; PROMPT_V6 (Standard V6, prompt de base du lot) § 3.6</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L5-L42</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LOT_5_Appel_B_V5_Ultra_Pedagogique_Partie_1_DX.1_a_DX.2__export_GoogleDoc.html</w:t>
            </w:r>
          </w:p>
        </w:tc>
        <w:tc>
          <w:tcPr>
            <w:tcW w:w="2350" w:type="dxa"/>
            <w:vAlign w:val="top"/>
          </w:tcPr>
          <w:p>
            <w:pPr>
              <w:spacing w:after="0"/>
            </w:pPr>
            <w:r>
              <w:rPr>
                <w:sz w:val="17"/>
                <w:szCs w:val="17"/>
              </w:rPr>
              <w:t xml:space="preserve">D5.2 › Fenêtre 3.2 › tableau › ligne Score ACB</w:t>
            </w:r>
          </w:p>
        </w:tc>
        <w:tc>
          <w:tcPr>
            <w:tcW w:w="2600" w:type="dxa"/>
            <w:vAlign w:val="top"/>
          </w:tcPr>
          <w:p>
            <w:pPr>
              <w:spacing w:after="0"/>
            </w:pPr>
            <w:r>
              <w:rPr>
                <w:i/>
                <w:sz w:val="17"/>
                <w:szCs w:val="17"/>
              </w:rPr>
              <w:t xml:space="preserve">« Chaque point ACB ≥ 3 augmente de 50 % le risque de confusion mentale »</w:t>
            </w:r>
          </w:p>
        </w:tc>
        <w:tc>
          <w:tcPr>
            <w:tcW w:w="3000" w:type="dxa"/>
            <w:vAlign w:val="top"/>
          </w:tcPr>
          <w:p>
            <w:pPr>
              <w:spacing w:after="40"/>
            </w:pPr>
            <w:r>
              <w:rPr>
                <w:sz w:val="17"/>
                <w:szCs w:val="17"/>
              </w:rPr>
              <w:t xml:space="preserve">La phrase est incohérente (« chaque point ≥ 3 ») et le chiffre de 50 % n'a pas de source.</w:t>
            </w:r>
          </w:p>
          <w:p>
            <w:pPr>
              <w:spacing w:after="0"/>
            </w:pPr>
            <w:r>
              <w:rPr>
                <w:b/>
                <w:color w:val="145A32"/>
                <w:sz w:val="17"/>
                <w:szCs w:val="17"/>
              </w:rPr>
              <w:t xml:space="preserve">→ Écrire « Un score ACB total ≥ 3 est associé à un risque accru de confusion, de chutes et de rétention urinaire chez la personne âgée [Sn] » ; sans chiffre sourcé, écrire « donnée non trouvée dans les sources consultées ».</w:t>
            </w:r>
          </w:p>
        </w:tc>
        <w:tc>
          <w:tcPr>
            <w:tcW w:w="1800" w:type="dxa"/>
            <w:vAlign w:val="top"/>
          </w:tcPr>
          <w:p>
            <w:pPr>
              <w:spacing w:after="0"/>
            </w:pPr>
            <w:r>
              <w:rPr>
                <w:sz w:val="17"/>
                <w:szCs w:val="17"/>
              </w:rPr>
              <w:t xml:space="preserve">donnée non trouvée dans les sources consultées</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L5-L43</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LOT_5_Appel_B_V5_Ultra_Pedagogique_Partie_1_DX.1_a_DX.2__export_GoogleDoc.html</w:t>
            </w:r>
          </w:p>
        </w:tc>
        <w:tc>
          <w:tcPr>
            <w:tcW w:w="2350" w:type="dxa"/>
            <w:vAlign w:val="top"/>
          </w:tcPr>
          <w:p>
            <w:pPr>
              <w:spacing w:after="0"/>
            </w:pPr>
            <w:r>
              <w:rPr>
                <w:sz w:val="17"/>
                <w:szCs w:val="17"/>
              </w:rPr>
              <w:t xml:space="preserve">D5.2 › 9. Examens › 2e intention</w:t>
            </w:r>
          </w:p>
        </w:tc>
        <w:tc>
          <w:tcPr>
            <w:tcW w:w="2600" w:type="dxa"/>
            <w:vAlign w:val="top"/>
          </w:tcPr>
          <w:p>
            <w:pPr>
              <w:spacing w:after="0"/>
            </w:pPr>
            <w:r>
              <w:rPr>
                <w:i/>
                <w:sz w:val="17"/>
                <w:szCs w:val="17"/>
              </w:rPr>
              <w:t xml:space="preserve">« Digoxinémie [toxique si &gt; 1,5-2,0 nmol/L] »</w:t>
            </w:r>
          </w:p>
        </w:tc>
        <w:tc>
          <w:tcPr>
            <w:tcW w:w="3000" w:type="dxa"/>
            <w:vAlign w:val="top"/>
          </w:tcPr>
          <w:p>
            <w:pPr>
              <w:spacing w:after="40"/>
            </w:pPr>
            <w:r>
              <w:rPr>
                <w:sz w:val="17"/>
                <w:szCs w:val="17"/>
              </w:rPr>
              <w:t xml:space="preserve">Le seuil toxique semble repris d'une valeur en ng/mL : 2,0 ng/mL correspondent à environ 2,6 nmol/L (calcul dérivé, 1 ng/mL ≈ 1,28 nmol/L), si bien que l'unité ou la valeur est probablement erronée.</w:t>
            </w:r>
          </w:p>
          <w:p>
            <w:pPr>
              <w:spacing w:after="0"/>
            </w:pPr>
            <w:r>
              <w:rPr>
                <w:b/>
                <w:color w:val="145A32"/>
                <w:sz w:val="17"/>
                <w:szCs w:val="17"/>
              </w:rPr>
              <w:t xml:space="preserve">→ Vérifier le seuil dans l'information professionnelle suisse de la digoxine et l'écrire en nmol/L avec sa source ; signaler le calcul de conversion comme « calcul dérivé ».</w:t>
            </w:r>
          </w:p>
        </w:tc>
        <w:tc>
          <w:tcPr>
            <w:tcW w:w="1800" w:type="dxa"/>
            <w:vAlign w:val="top"/>
          </w:tcPr>
          <w:p>
            <w:pPr>
              <w:spacing w:after="0"/>
            </w:pPr>
            <w:r>
              <w:rPr>
                <w:sz w:val="17"/>
                <w:szCs w:val="17"/>
              </w:rPr>
              <w:t xml:space="preserve">donnée non trouvée dans les sources consultées (calcul dérivé de conversion)</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L5-L44</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LOT_5_Appel_B_V5_Ultra_Pedagogique_Partie_1_DX.1_a_DX.2__export_GoogleDoc.html</w:t>
            </w:r>
          </w:p>
        </w:tc>
        <w:tc>
          <w:tcPr>
            <w:tcW w:w="2350" w:type="dxa"/>
            <w:vAlign w:val="top"/>
          </w:tcPr>
          <w:p>
            <w:pPr>
              <w:spacing w:after="0"/>
            </w:pPr>
            <w:r>
              <w:rPr>
                <w:sz w:val="17"/>
                <w:szCs w:val="17"/>
              </w:rPr>
              <w:t xml:space="preserve">D5.2 › 11.B › 1. Syndrome sérotoninergique</w:t>
            </w:r>
          </w:p>
        </w:tc>
        <w:tc>
          <w:tcPr>
            <w:tcW w:w="2600" w:type="dxa"/>
            <w:vAlign w:val="top"/>
          </w:tcPr>
          <w:p>
            <w:pPr>
              <w:spacing w:after="0"/>
            </w:pPr>
            <w:r>
              <w:rPr>
                <w:i/>
                <w:sz w:val="17"/>
                <w:szCs w:val="17"/>
              </w:rPr>
              <w:t xml:space="preserve">« Cyproheptadine (Periactin® »</w:t>
            </w:r>
          </w:p>
        </w:tc>
        <w:tc>
          <w:tcPr>
            <w:tcW w:w="3000" w:type="dxa"/>
            <w:vAlign w:val="top"/>
          </w:tcPr>
          <w:p>
            <w:pPr>
              <w:spacing w:after="40"/>
            </w:pPr>
            <w:r>
              <w:rPr>
                <w:sz w:val="17"/>
                <w:szCs w:val="17"/>
              </w:rPr>
              <w:t xml:space="preserve">La disponibilité de Periactin® en Suisse n'est pas vérifiée ; le prompt exige une spécialité suisse contrôlée dans l'AIPS ou la mention d'un produit non autorisé.</w:t>
            </w:r>
          </w:p>
          <w:p>
            <w:pPr>
              <w:spacing w:after="0"/>
            </w:pPr>
            <w:r>
              <w:rPr>
                <w:b/>
                <w:color w:val="145A32"/>
                <w:sz w:val="17"/>
                <w:szCs w:val="17"/>
              </w:rPr>
              <w:t xml:space="preserve">→ Vérifier dans compendium.ch ; si aucune spécialité n'est autorisée, écrire « cyproheptadine : aucune spécialité autorisée en Suisse, importation selon l'art. 49 OAMéd » ; sinon citer la spécialité [Sn]. Statut actuel : donnée non trouvée dans les sources consultées.</w:t>
            </w:r>
          </w:p>
        </w:tc>
        <w:tc>
          <w:tcPr>
            <w:tcW w:w="1800" w:type="dxa"/>
            <w:vAlign w:val="top"/>
          </w:tcPr>
          <w:p>
            <w:pPr>
              <w:spacing w:after="0"/>
            </w:pPr>
            <w:r>
              <w:rPr>
                <w:sz w:val="17"/>
                <w:szCs w:val="17"/>
              </w:rPr>
              <w:t xml:space="preserve">PROMPT_V6 (Standard V6, prompt de base du lot) § 3.3</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L5-L51</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LOT_5_Appel_B_V5_Ultra_Pedagogique_Partie_2_DX.3_a_DX.5__export_GoogleDoc.html</w:t>
            </w:r>
          </w:p>
        </w:tc>
        <w:tc>
          <w:tcPr>
            <w:tcW w:w="2350" w:type="dxa"/>
            <w:vAlign w:val="top"/>
          </w:tcPr>
          <w:p>
            <w:pPr>
              <w:spacing w:after="0"/>
            </w:pPr>
            <w:r>
              <w:rPr>
                <w:sz w:val="17"/>
                <w:szCs w:val="17"/>
              </w:rPr>
              <w:t xml:space="preserve">D5.4 › Fenêtre 3.4 › tableau › ligne Hyponatrémie</w:t>
            </w:r>
          </w:p>
        </w:tc>
        <w:tc>
          <w:tcPr>
            <w:tcW w:w="2600" w:type="dxa"/>
            <w:vAlign w:val="top"/>
          </w:tcPr>
          <w:p>
            <w:pPr>
              <w:spacing w:after="0"/>
            </w:pPr>
            <w:r>
              <w:rPr>
                <w:i/>
                <w:sz w:val="17"/>
                <w:szCs w:val="17"/>
              </w:rPr>
              <w:t xml:space="preserve">« IV en 10 min) pour relever la natrémie de 1 à 2 mmol/L/h »</w:t>
            </w:r>
          </w:p>
        </w:tc>
        <w:tc>
          <w:tcPr>
            <w:tcW w:w="3000" w:type="dxa"/>
            <w:vAlign w:val="top"/>
          </w:tcPr>
          <w:p>
            <w:pPr>
              <w:spacing w:after="40"/>
            </w:pPr>
            <w:r>
              <w:rPr>
                <w:sz w:val="17"/>
                <w:szCs w:val="17"/>
              </w:rPr>
              <w:t xml:space="preserve">Le tableau donne un bolus de NaCl 3 % en 10 minutes alors que le point 11.B indique 20 minutes, et l'objectif « 1 à 2 mmol/L/h » ne correspond pas à l'objectif d'une hausse rapide initiale de la recommandation européenne ; la donnée exacte n'a pas été relue.</w:t>
            </w:r>
          </w:p>
          <w:p>
            <w:pPr>
              <w:spacing w:after="0"/>
            </w:pPr>
            <w:r>
              <w:rPr>
                <w:b/>
                <w:color w:val="145A32"/>
                <w:sz w:val="17"/>
                <w:szCs w:val="17"/>
              </w:rPr>
              <w:t xml:space="preserve">→ Harmoniser les deux passages sur la recommandation européenne 2014 (volume, durée, répétitions, objectif de la première heure, limite de 10 mmol/L sur 24 h) après lecture du texte source [Sn].</w:t>
            </w:r>
          </w:p>
        </w:tc>
        <w:tc>
          <w:tcPr>
            <w:tcW w:w="1800" w:type="dxa"/>
            <w:vAlign w:val="top"/>
          </w:tcPr>
          <w:p>
            <w:pPr>
              <w:spacing w:after="0"/>
            </w:pPr>
            <w:r>
              <w:rPr>
                <w:sz w:val="17"/>
                <w:szCs w:val="17"/>
              </w:rPr>
              <w:t xml:space="preserve">Spasovski et al., ESICM/ESE/ERBP 2014 (texte intégral non relu : donnée non trouvée dans les sources consultées pour le volume et l'objectif horaire) ; incohérence interne au fichier</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L5-L59</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LOT_5_Appel_B_V5_Ultra_Pedagogique_Partie_2_DX.3_a_DX.5__export_GoogleDoc.html</w:t>
            </w:r>
          </w:p>
        </w:tc>
        <w:tc>
          <w:tcPr>
            <w:tcW w:w="2350" w:type="dxa"/>
            <w:vAlign w:val="top"/>
          </w:tcPr>
          <w:p>
            <w:pPr>
              <w:spacing w:after="0"/>
            </w:pPr>
            <w:r>
              <w:rPr>
                <w:sz w:val="17"/>
                <w:szCs w:val="17"/>
              </w:rPr>
              <w:t xml:space="preserve">D5.3 › 1. Définition et sémantique de la plainte</w:t>
            </w:r>
          </w:p>
        </w:tc>
        <w:tc>
          <w:tcPr>
            <w:tcW w:w="2600" w:type="dxa"/>
            <w:vAlign w:val="top"/>
          </w:tcPr>
          <w:p>
            <w:pPr>
              <w:spacing w:after="0"/>
            </w:pPr>
            <w:r>
              <w:rPr>
                <w:i/>
                <w:sz w:val="17"/>
                <w:szCs w:val="17"/>
              </w:rPr>
              <w:t xml:space="preserve">« persistance chronique de malaises corporels multiples sans substrat organique proportionné »</w:t>
            </w:r>
          </w:p>
        </w:tc>
        <w:tc>
          <w:tcPr>
            <w:tcW w:w="3000" w:type="dxa"/>
            <w:vAlign w:val="top"/>
          </w:tcPr>
          <w:p>
            <w:pPr>
              <w:spacing w:after="40"/>
            </w:pPr>
            <w:r>
              <w:rPr>
                <w:sz w:val="17"/>
                <w:szCs w:val="17"/>
              </w:rPr>
              <w:t xml:space="preserve">La définition assimile le trouble à symptomatologie somatique à une absence de substrat organique, alors que ce trouble se définit par une réponse disproportionnée aux symptômes, qu'une maladie somatique existe ou non (le fichier V6 le dit d'ailleurs).</w:t>
            </w:r>
          </w:p>
          <w:p>
            <w:pPr>
              <w:spacing w:after="0"/>
            </w:pPr>
            <w:r>
              <w:rPr>
                <w:b/>
                <w:color w:val="145A32"/>
                <w:sz w:val="17"/>
                <w:szCs w:val="17"/>
              </w:rPr>
              <w:t xml:space="preserve">→ Écrire « Le trouble à symptomatologie somatique associe des symptômes corporels persistants à des pensées, émotions ou comportements disproportionnés, qu'une maladie somatique soit présente ou non [Sn]. »</w:t>
            </w:r>
          </w:p>
        </w:tc>
        <w:tc>
          <w:tcPr>
            <w:tcW w:w="1800" w:type="dxa"/>
            <w:vAlign w:val="top"/>
          </w:tcPr>
          <w:p>
            <w:pPr>
              <w:spacing w:after="0"/>
            </w:pPr>
            <w:r>
              <w:rPr>
                <w:sz w:val="17"/>
                <w:szCs w:val="17"/>
              </w:rPr>
              <w:t xml:space="preserve">donnée non trouvée dans les sources consultées dans une source suisse ou européenne lue (référence à confirmer : CIM-11 OMS, 6C20 « Bodily distress disorder ») ; cohérence avec LOT_5_V6_Enrichi_8plus_Partie_1_Integral.html</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L5-L60</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LOT_5_Appel_B_V5_Ultra_Pedagogique_Partie_2_DX.3_a_DX.5__export_GoogleDoc.html</w:t>
            </w:r>
          </w:p>
        </w:tc>
        <w:tc>
          <w:tcPr>
            <w:tcW w:w="2350" w:type="dxa"/>
            <w:vAlign w:val="top"/>
          </w:tcPr>
          <w:p>
            <w:pPr>
              <w:spacing w:after="0"/>
            </w:pPr>
            <w:r>
              <w:rPr>
                <w:sz w:val="17"/>
                <w:szCs w:val="17"/>
              </w:rPr>
              <w:t xml:space="preserve">D5.3 › Fenêtre 3.3 › tableau › ligne Critères DSM-5</w:t>
            </w:r>
          </w:p>
        </w:tc>
        <w:tc>
          <w:tcPr>
            <w:tcW w:w="2600" w:type="dxa"/>
            <w:vAlign w:val="top"/>
          </w:tcPr>
          <w:p>
            <w:pPr>
              <w:spacing w:after="0"/>
            </w:pPr>
            <w:r>
              <w:rPr>
                <w:i/>
                <w:sz w:val="17"/>
                <w:szCs w:val="17"/>
              </w:rPr>
              <w:t xml:space="preserve">« atteignant son maximum en &lt; 10 minutes associant ≥ 4 symptômes »</w:t>
            </w:r>
          </w:p>
        </w:tc>
        <w:tc>
          <w:tcPr>
            <w:tcW w:w="3000" w:type="dxa"/>
            <w:vAlign w:val="top"/>
          </w:tcPr>
          <w:p>
            <w:pPr>
              <w:spacing w:after="40"/>
            </w:pPr>
            <w:r>
              <w:rPr>
                <w:sz w:val="17"/>
                <w:szCs w:val="17"/>
              </w:rPr>
              <w:t xml:space="preserve">Le délai « &lt; 10 minutes » provient de l'ancienne définition (DSM-IV) ; la classification actuelle parle d'un pic atteint « en quelques minutes », et le prompt exige une référence suisse ou européenne (CIM) plutôt qu'américaine.</w:t>
            </w:r>
          </w:p>
          <w:p>
            <w:pPr>
              <w:spacing w:after="0"/>
            </w:pPr>
            <w:r>
              <w:rPr>
                <w:b/>
                <w:color w:val="145A32"/>
                <w:sz w:val="17"/>
                <w:szCs w:val="17"/>
              </w:rPr>
              <w:t xml:space="preserve">→ Écrire « Le pic d'intensité survient en quelques minutes et associe au moins 4 symptômes » et citer la CIM-11 (OMS) en parallèle du DSM-5.</w:t>
            </w:r>
          </w:p>
        </w:tc>
        <w:tc>
          <w:tcPr>
            <w:tcW w:w="1800" w:type="dxa"/>
            <w:vAlign w:val="top"/>
          </w:tcPr>
          <w:p>
            <w:pPr>
              <w:spacing w:after="0"/>
            </w:pPr>
            <w:r>
              <w:rPr>
                <w:sz w:val="17"/>
                <w:szCs w:val="17"/>
              </w:rPr>
              <w:t xml:space="preserve">donnée non trouvée dans les sources consultées (texte CIM-11 non relu)</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L5-L61</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LOT_5_Appel_B_V5_Ultra_Pedagogique_Partie_2_DX.3_a_DX.5__export_GoogleDoc.html</w:t>
            </w:r>
          </w:p>
        </w:tc>
        <w:tc>
          <w:tcPr>
            <w:tcW w:w="2350" w:type="dxa"/>
            <w:vAlign w:val="top"/>
          </w:tcPr>
          <w:p>
            <w:pPr>
              <w:spacing w:after="0"/>
            </w:pPr>
            <w:r>
              <w:rPr>
                <w:sz w:val="17"/>
                <w:szCs w:val="17"/>
              </w:rPr>
              <w:t xml:space="preserve">D5.4 › 11.B › 2. Hyperkaliémie</w:t>
            </w:r>
          </w:p>
        </w:tc>
        <w:tc>
          <w:tcPr>
            <w:tcW w:w="2600" w:type="dxa"/>
            <w:vAlign w:val="top"/>
          </w:tcPr>
          <w:p>
            <w:pPr>
              <w:spacing w:after="0"/>
            </w:pPr>
            <w:r>
              <w:rPr>
                <w:i/>
                <w:sz w:val="17"/>
                <w:szCs w:val="17"/>
              </w:rPr>
              <w:t xml:space="preserve">« calcium polystyrène sulfonate, Resonium® »</w:t>
            </w:r>
          </w:p>
        </w:tc>
        <w:tc>
          <w:tcPr>
            <w:tcW w:w="3000" w:type="dxa"/>
            <w:vAlign w:val="top"/>
          </w:tcPr>
          <w:p>
            <w:pPr>
              <w:spacing w:after="40"/>
            </w:pPr>
            <w:r>
              <w:rPr>
                <w:sz w:val="17"/>
                <w:szCs w:val="17"/>
              </w:rPr>
              <w:t xml:space="preserve">La DCI et la spécialité ne concordent probablement pas : Resonium A® contient du polystyrène sulfonate de sodium, le sel calcique étant commercialisé sous un autre nom ; la spécialité n'est pas vérifiée dans l'AIPS.</w:t>
            </w:r>
          </w:p>
          <w:p>
            <w:pPr>
              <w:spacing w:after="0"/>
            </w:pPr>
            <w:r>
              <w:rPr>
                <w:b/>
                <w:color w:val="145A32"/>
                <w:sz w:val="17"/>
                <w:szCs w:val="17"/>
              </w:rPr>
              <w:t xml:space="preserve">→ Vérifier dans compendium.ch et écrire la paire exacte DCI/spécialité suisse ® (sel sodique ou calcique) avec sa posologie.</w:t>
            </w:r>
          </w:p>
        </w:tc>
        <w:tc>
          <w:tcPr>
            <w:tcW w:w="1800" w:type="dxa"/>
            <w:vAlign w:val="top"/>
          </w:tcPr>
          <w:p>
            <w:pPr>
              <w:spacing w:after="0"/>
            </w:pPr>
            <w:r>
              <w:rPr>
                <w:sz w:val="17"/>
                <w:szCs w:val="17"/>
              </w:rPr>
              <w:t xml:space="preserve">donnée non trouvée dans les sources consultées (AIPS non consultée pour ce produit)</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L5-L62</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LOT_5_Appel_B_V5_Ultra_Pedagogique_Partie_2_DX.3_a_DX.5__export_GoogleDoc.html</w:t>
            </w:r>
          </w:p>
        </w:tc>
        <w:tc>
          <w:tcPr>
            <w:tcW w:w="2350" w:type="dxa"/>
            <w:vAlign w:val="top"/>
          </w:tcPr>
          <w:p>
            <w:pPr>
              <w:spacing w:after="0"/>
            </w:pPr>
            <w:r>
              <w:rPr>
                <w:sz w:val="17"/>
                <w:szCs w:val="17"/>
              </w:rPr>
              <w:t xml:space="preserve">D5.4 › 11.B › 2. Hyperkaliémie</w:t>
            </w:r>
          </w:p>
        </w:tc>
        <w:tc>
          <w:tcPr>
            <w:tcW w:w="2600" w:type="dxa"/>
            <w:vAlign w:val="top"/>
          </w:tcPr>
          <w:p>
            <w:pPr>
              <w:spacing w:after="0"/>
            </w:pPr>
            <w:r>
              <w:rPr>
                <w:i/>
                <w:sz w:val="17"/>
                <w:szCs w:val="17"/>
              </w:rPr>
              <w:t xml:space="preserve">« Insuline rapide (Actrapid® 10 UI) + Glucose 20% (500 mL) »</w:t>
            </w:r>
          </w:p>
        </w:tc>
        <w:tc>
          <w:tcPr>
            <w:tcW w:w="3000" w:type="dxa"/>
            <w:vAlign w:val="top"/>
          </w:tcPr>
          <w:p>
            <w:pPr>
              <w:spacing w:after="40"/>
            </w:pPr>
            <w:r>
              <w:rPr>
                <w:sz w:val="17"/>
                <w:szCs w:val="17"/>
              </w:rPr>
              <w:t xml:space="preserve">500 mL de glucose 20 % apportent 100 g de glucose, quantité inhabituelle pour 10 UI d'insuline ; le volume n'est appuyé par aucune source.</w:t>
            </w:r>
          </w:p>
          <w:p>
            <w:pPr>
              <w:spacing w:after="0"/>
            </w:pPr>
            <w:r>
              <w:rPr>
                <w:b/>
                <w:color w:val="145A32"/>
                <w:sz w:val="17"/>
                <w:szCs w:val="17"/>
              </w:rPr>
              <w:t xml:space="preserve">→ Vérifier le protocole suisse ou européen (quantité de glucose en g, volume, durée, contrôle glycémique horaire) et le citer [Sn] ; à défaut, écrire « donnée non trouvée dans les sources consultées ».</w:t>
            </w:r>
          </w:p>
        </w:tc>
        <w:tc>
          <w:tcPr>
            <w:tcW w:w="1800" w:type="dxa"/>
            <w:vAlign w:val="top"/>
          </w:tcPr>
          <w:p>
            <w:pPr>
              <w:spacing w:after="0"/>
            </w:pPr>
            <w:r>
              <w:rPr>
                <w:sz w:val="17"/>
                <w:szCs w:val="17"/>
              </w:rPr>
              <w:t xml:space="preserve">donnée non trouvée dans les sources consultées</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L5-L63</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LOT_5_Appel_B_V5_Ultra_Pedagogique_Partie_2_DX.3_a_DX.5__export_GoogleDoc.html</w:t>
            </w:r>
          </w:p>
        </w:tc>
        <w:tc>
          <w:tcPr>
            <w:tcW w:w="2350" w:type="dxa"/>
            <w:vAlign w:val="top"/>
          </w:tcPr>
          <w:p>
            <w:pPr>
              <w:spacing w:after="0"/>
            </w:pPr>
            <w:r>
              <w:rPr>
                <w:sz w:val="17"/>
                <w:szCs w:val="17"/>
              </w:rPr>
              <w:t xml:space="preserve">D5.5 › 11.B › 2. Sepsis nosocomial</w:t>
            </w:r>
          </w:p>
        </w:tc>
        <w:tc>
          <w:tcPr>
            <w:tcW w:w="2600" w:type="dxa"/>
            <w:vAlign w:val="top"/>
          </w:tcPr>
          <w:p>
            <w:pPr>
              <w:spacing w:after="0"/>
            </w:pPr>
            <w:r>
              <w:rPr>
                <w:i/>
                <w:sz w:val="17"/>
                <w:szCs w:val="17"/>
              </w:rPr>
              <w:t xml:space="preserve">« Ceftazidime (Fortum® 2 g IV toutes les 8h) »</w:t>
            </w:r>
          </w:p>
        </w:tc>
        <w:tc>
          <w:tcPr>
            <w:tcW w:w="3000" w:type="dxa"/>
            <w:vAlign w:val="top"/>
          </w:tcPr>
          <w:p>
            <w:pPr>
              <w:spacing w:after="40"/>
            </w:pPr>
            <w:r>
              <w:rPr>
                <w:sz w:val="17"/>
                <w:szCs w:val="17"/>
              </w:rPr>
              <w:t xml:space="preserve">La spécialité Fortum® n'est pas vérifiée dans l'AIPS suisse ; le nom suisse de la ceftazidime peut différer.</w:t>
            </w:r>
          </w:p>
          <w:p>
            <w:pPr>
              <w:spacing w:after="0"/>
            </w:pPr>
            <w:r>
              <w:rPr>
                <w:b/>
                <w:color w:val="145A32"/>
                <w:sz w:val="17"/>
                <w:szCs w:val="17"/>
              </w:rPr>
              <w:t xml:space="preserve">→ Vérifier dans compendium.ch et écrire la spécialité suisse autorisée de la ceftazidime avec sa posologie.</w:t>
            </w:r>
          </w:p>
        </w:tc>
        <w:tc>
          <w:tcPr>
            <w:tcW w:w="1800" w:type="dxa"/>
            <w:vAlign w:val="top"/>
          </w:tcPr>
          <w:p>
            <w:pPr>
              <w:spacing w:after="0"/>
            </w:pPr>
            <w:r>
              <w:rPr>
                <w:sz w:val="17"/>
                <w:szCs w:val="17"/>
              </w:rPr>
              <w:t xml:space="preserve">donnée non trouvée dans les sources consultées (spécialité non retrouvée dans la recherche compendium.ch du 22.10.2026)</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L5-L64</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LOT_5_Appel_B_V5_Ultra_Pedagogique_Partie_2_DX.3_a_DX.5__export_GoogleDoc.html</w:t>
            </w:r>
          </w:p>
        </w:tc>
        <w:tc>
          <w:tcPr>
            <w:tcW w:w="2350" w:type="dxa"/>
            <w:vAlign w:val="top"/>
          </w:tcPr>
          <w:p>
            <w:pPr>
              <w:spacing w:after="0"/>
            </w:pPr>
            <w:r>
              <w:rPr>
                <w:sz w:val="17"/>
                <w:szCs w:val="17"/>
              </w:rPr>
              <w:t xml:space="preserve">D5.5 › Fenêtre 3.5 › Exemple clinique</w:t>
            </w:r>
          </w:p>
        </w:tc>
        <w:tc>
          <w:tcPr>
            <w:tcW w:w="2600" w:type="dxa"/>
            <w:vAlign w:val="top"/>
          </w:tcPr>
          <w:p>
            <w:pPr>
              <w:spacing w:after="0"/>
            </w:pPr>
            <w:r>
              <w:rPr>
                <w:i/>
                <w:sz w:val="17"/>
                <w:szCs w:val="17"/>
              </w:rPr>
              <w:t xml:space="preserve">« Sepsis sévère avec dysfonction rénale, neurologique et hématologique. »</w:t>
            </w:r>
          </w:p>
        </w:tc>
        <w:tc>
          <w:tcPr>
            <w:tcW w:w="3000" w:type="dxa"/>
            <w:vAlign w:val="top"/>
          </w:tcPr>
          <w:p>
            <w:pPr>
              <w:spacing w:after="40"/>
            </w:pPr>
            <w:r>
              <w:rPr>
                <w:sz w:val="17"/>
                <w:szCs w:val="17"/>
              </w:rPr>
              <w:t xml:space="preserve">Le terme « sepsis sévère » est obsolète depuis Sepsis-3.</w:t>
            </w:r>
          </w:p>
          <w:p>
            <w:pPr>
              <w:spacing w:after="0"/>
            </w:pPr>
            <w:r>
              <w:rPr>
                <w:b/>
                <w:color w:val="145A32"/>
                <w:sz w:val="17"/>
                <w:szCs w:val="17"/>
              </w:rPr>
              <w:t xml:space="preserve">→ Écrire « Sepsis avec dysfonction rénale, neurologique, hématologique et circulatoire ».</w:t>
            </w:r>
          </w:p>
        </w:tc>
        <w:tc>
          <w:tcPr>
            <w:tcW w:w="1800" w:type="dxa"/>
            <w:vAlign w:val="top"/>
          </w:tcPr>
          <w:p>
            <w:pPr>
              <w:spacing w:after="0"/>
            </w:pPr>
            <w:r>
              <w:rPr>
                <w:sz w:val="17"/>
                <w:szCs w:val="17"/>
              </w:rPr>
              <w:t xml:space="preserve">Singer et al., Sepsis-3, JAMA 2016 (co-élaboré par l'ESICM)</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L5-L75</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LOT_5_Appel_B_V5_Ultra_Pedagogique_Partie_3_DX.6_a_DX.7__export_GoogleDoc.html</w:t>
            </w:r>
          </w:p>
        </w:tc>
        <w:tc>
          <w:tcPr>
            <w:tcW w:w="2350" w:type="dxa"/>
            <w:vAlign w:val="top"/>
          </w:tcPr>
          <w:p>
            <w:pPr>
              <w:spacing w:after="0"/>
            </w:pPr>
            <w:r>
              <w:rPr>
                <w:sz w:val="17"/>
                <w:szCs w:val="17"/>
              </w:rPr>
              <w:t xml:space="preserve">D5.6 › 11.B › 1. Antiagrégants</w:t>
            </w:r>
          </w:p>
        </w:tc>
        <w:tc>
          <w:tcPr>
            <w:tcW w:w="2600" w:type="dxa"/>
            <w:vAlign w:val="top"/>
          </w:tcPr>
          <w:p>
            <w:pPr>
              <w:spacing w:after="0"/>
            </w:pPr>
            <w:r>
              <w:rPr>
                <w:i/>
                <w:sz w:val="17"/>
                <w:szCs w:val="17"/>
              </w:rPr>
              <w:t xml:space="preserve">« Acide acétylsalicylique (Aspirine Cardio®) 250 à 300 mg IV ou per os »</w:t>
            </w:r>
          </w:p>
        </w:tc>
        <w:tc>
          <w:tcPr>
            <w:tcW w:w="3000" w:type="dxa"/>
            <w:vAlign w:val="top"/>
          </w:tcPr>
          <w:p>
            <w:pPr>
              <w:spacing w:after="40"/>
            </w:pPr>
            <w:r>
              <w:rPr>
                <w:sz w:val="17"/>
                <w:szCs w:val="17"/>
              </w:rPr>
              <w:t xml:space="preserve">Aspirine Cardio® est une forme orale ; la voie IV relève d'une autre spécialité, et la dose IV indiquée n'est pas vérifiée.</w:t>
            </w:r>
          </w:p>
          <w:p>
            <w:pPr>
              <w:spacing w:after="0"/>
            </w:pPr>
            <w:r>
              <w:rPr>
                <w:b/>
                <w:color w:val="145A32"/>
                <w:sz w:val="17"/>
                <w:szCs w:val="17"/>
              </w:rPr>
              <w:t xml:space="preserve">→ Séparer la dose orale et la dose IV selon l'ESC 2023, nommer la spécialité IV suisse vérifiée dans l'AIPS ; statut de la dose IV : donnée non trouvée dans les sources consultées.</w:t>
            </w:r>
          </w:p>
        </w:tc>
        <w:tc>
          <w:tcPr>
            <w:tcW w:w="1800" w:type="dxa"/>
            <w:vAlign w:val="top"/>
          </w:tcPr>
          <w:p>
            <w:pPr>
              <w:spacing w:after="0"/>
            </w:pPr>
            <w:r>
              <w:rPr>
                <w:sz w:val="17"/>
                <w:szCs w:val="17"/>
              </w:rPr>
              <w:t xml:space="preserve">donnée non trouvée dans les sources consultées</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L5-L76</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LOT_5_Appel_B_V5_Ultra_Pedagogique_Partie_3_DX.6_a_DX.7__export_GoogleDoc.html</w:t>
            </w:r>
          </w:p>
        </w:tc>
        <w:tc>
          <w:tcPr>
            <w:tcW w:w="2350" w:type="dxa"/>
            <w:vAlign w:val="top"/>
          </w:tcPr>
          <w:p>
            <w:pPr>
              <w:spacing w:after="0"/>
            </w:pPr>
            <w:r>
              <w:rPr>
                <w:sz w:val="17"/>
                <w:szCs w:val="17"/>
              </w:rPr>
              <w:t xml:space="preserve">D5.6 › 12. Prévention</w:t>
            </w:r>
          </w:p>
        </w:tc>
        <w:tc>
          <w:tcPr>
            <w:tcW w:w="2600" w:type="dxa"/>
            <w:vAlign w:val="top"/>
          </w:tcPr>
          <w:p>
            <w:pPr>
              <w:spacing w:after="0"/>
            </w:pPr>
            <w:r>
              <w:rPr>
                <w:i/>
                <w:sz w:val="17"/>
                <w:szCs w:val="17"/>
              </w:rPr>
              <w:t xml:space="preserve">« Atorvastatine Lipitor® 80 mg »</w:t>
            </w:r>
          </w:p>
        </w:tc>
        <w:tc>
          <w:tcPr>
            <w:tcW w:w="3000" w:type="dxa"/>
            <w:vAlign w:val="top"/>
          </w:tcPr>
          <w:p>
            <w:pPr>
              <w:spacing w:after="40"/>
            </w:pPr>
            <w:r>
              <w:rPr>
                <w:sz w:val="17"/>
                <w:szCs w:val="17"/>
              </w:rPr>
              <w:t xml:space="preserve">Lipitor® n'est pas la spécialité suisse de l'atorvastatine ; en Suisse, l'atorvastatine princeps est commercialisée sous le nom Sortis®.</w:t>
            </w:r>
          </w:p>
          <w:p>
            <w:pPr>
              <w:spacing w:after="0"/>
            </w:pPr>
            <w:r>
              <w:rPr>
                <w:b/>
                <w:color w:val="145A32"/>
                <w:sz w:val="17"/>
                <w:szCs w:val="17"/>
              </w:rPr>
              <w:t xml:space="preserve">→ Écrire « atorvastatine (Sortis®) 80 mg ».</w:t>
            </w:r>
          </w:p>
        </w:tc>
        <w:tc>
          <w:tcPr>
            <w:tcW w:w="1800" w:type="dxa"/>
            <w:vAlign w:val="top"/>
          </w:tcPr>
          <w:p>
            <w:pPr>
              <w:spacing w:after="0"/>
            </w:pPr>
            <w:r>
              <w:rPr>
                <w:sz w:val="17"/>
                <w:szCs w:val="17"/>
              </w:rPr>
              <w:t xml:space="preserve">ch.oddb.org — Sortis 10/20/40/80 mg, Viatris Pharma GmbH — https://ch.oddb.org/en/gcc/search/search_query/Sortis+40 — consulté le 22.10.2026</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L5-L80</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LOT_5_Appel_B_V5_Ultra_Pedagogique_Partie_3_DX.6_a_DX.7__export_GoogleDoc.html</w:t>
            </w:r>
          </w:p>
        </w:tc>
        <w:tc>
          <w:tcPr>
            <w:tcW w:w="2350" w:type="dxa"/>
            <w:vAlign w:val="top"/>
          </w:tcPr>
          <w:p>
            <w:pPr>
              <w:spacing w:after="0"/>
            </w:pPr>
            <w:r>
              <w:rPr>
                <w:sz w:val="17"/>
                <w:szCs w:val="17"/>
              </w:rPr>
              <w:t xml:space="preserve">D5.6 › Fenêtre 3.6 › Exemple clinique</w:t>
            </w:r>
          </w:p>
        </w:tc>
        <w:tc>
          <w:tcPr>
            <w:tcW w:w="2600" w:type="dxa"/>
            <w:vAlign w:val="top"/>
          </w:tcPr>
          <w:p>
            <w:pPr>
              <w:spacing w:after="0"/>
            </w:pPr>
            <w:r>
              <w:rPr>
                <w:i/>
                <w:sz w:val="17"/>
                <w:szCs w:val="17"/>
              </w:rPr>
              <w:t xml:space="preserve">« Infarctus du myocarde aigu (NSTEMI) confirmé »</w:t>
            </w:r>
          </w:p>
        </w:tc>
        <w:tc>
          <w:tcPr>
            <w:tcW w:w="3000" w:type="dxa"/>
            <w:vAlign w:val="top"/>
          </w:tcPr>
          <w:p>
            <w:pPr>
              <w:spacing w:after="40"/>
            </w:pPr>
            <w:r>
              <w:rPr>
                <w:sz w:val="17"/>
                <w:szCs w:val="17"/>
              </w:rPr>
              <w:t xml:space="preserve">Un résultat « rule-in » de l'algorithme 0 h/1 h indique une forte probabilité d'infarctus mais ne le confirme pas : le diagnostic exige aussi un contexte ischémique selon la 4e définition universelle.</w:t>
            </w:r>
          </w:p>
          <w:p>
            <w:pPr>
              <w:spacing w:after="0"/>
            </w:pPr>
            <w:r>
              <w:rPr>
                <w:b/>
                <w:color w:val="145A32"/>
                <w:sz w:val="17"/>
                <w:szCs w:val="17"/>
              </w:rPr>
              <w:t xml:space="preserve">→ Écrire « Rule-in : forte probabilité de NSTEMI ; le diagnostic se confirme par le tableau ischémique et la cinétique, et le patient est orienté vers une coronarographie précoce. »</w:t>
            </w:r>
          </w:p>
        </w:tc>
        <w:tc>
          <w:tcPr>
            <w:tcW w:w="1800" w:type="dxa"/>
            <w:vAlign w:val="top"/>
          </w:tcPr>
          <w:p>
            <w:pPr>
              <w:spacing w:after="0"/>
            </w:pPr>
            <w:r>
              <w:rPr>
                <w:sz w:val="17"/>
                <w:szCs w:val="17"/>
              </w:rPr>
              <w:t xml:space="preserve">ESC 2023 ACS Guidelines (Byrne et al., Eur Heart J 2023) ; Fourth Universal Definition of MI (Thygesen et al., ESC 2018)</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L5-L81</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LOT_5_Appel_B_V5_Ultra_Pedagogique_Partie_3_DX.6_a_DX.7__export_GoogleDoc.html</w:t>
            </w:r>
          </w:p>
        </w:tc>
        <w:tc>
          <w:tcPr>
            <w:tcW w:w="2350" w:type="dxa"/>
            <w:vAlign w:val="top"/>
          </w:tcPr>
          <w:p>
            <w:pPr>
              <w:spacing w:after="0"/>
            </w:pPr>
            <w:r>
              <w:rPr>
                <w:sz w:val="17"/>
                <w:szCs w:val="17"/>
              </w:rPr>
              <w:t xml:space="preserve">D5.6 › 9. Examens › Gold standard</w:t>
            </w:r>
          </w:p>
        </w:tc>
        <w:tc>
          <w:tcPr>
            <w:tcW w:w="2600" w:type="dxa"/>
            <w:vAlign w:val="top"/>
          </w:tcPr>
          <w:p>
            <w:pPr>
              <w:spacing w:after="0"/>
            </w:pPr>
            <w:r>
              <w:rPr>
                <w:i/>
                <w:sz w:val="17"/>
                <w:szCs w:val="17"/>
              </w:rPr>
              <w:t xml:space="preserve">« La **Coronarographie invasive en urgence** »</w:t>
            </w:r>
          </w:p>
        </w:tc>
        <w:tc>
          <w:tcPr>
            <w:tcW w:w="3000" w:type="dxa"/>
            <w:vAlign w:val="top"/>
          </w:tcPr>
          <w:p>
            <w:pPr>
              <w:spacing w:after="40"/>
            </w:pPr>
            <w:r>
              <w:rPr>
                <w:sz w:val="17"/>
                <w:szCs w:val="17"/>
              </w:rPr>
              <w:t xml:space="preserve">La coronarographie « en urgence » n'est indiquée immédiatement que dans le STEMI ou le SCA à très haut risque ; dans les autres cas, l'ESC 2023 distingue une stratégie précoce (&lt; 24 h) ou sélective.</w:t>
            </w:r>
          </w:p>
          <w:p>
            <w:pPr>
              <w:spacing w:after="0"/>
            </w:pPr>
            <w:r>
              <w:rPr>
                <w:b/>
                <w:color w:val="145A32"/>
                <w:sz w:val="17"/>
                <w:szCs w:val="17"/>
              </w:rPr>
              <w:t xml:space="preserve">→ Écrire « La coronarographie est l'examen de référence ; son délai dépend du risque (immédiat &lt; 2 h, précoce &lt; 24 h ou sélectif selon l'ESC 2023). »</w:t>
            </w:r>
          </w:p>
        </w:tc>
        <w:tc>
          <w:tcPr>
            <w:tcW w:w="1800" w:type="dxa"/>
            <w:vAlign w:val="top"/>
          </w:tcPr>
          <w:p>
            <w:pPr>
              <w:spacing w:after="0"/>
            </w:pPr>
            <w:r>
              <w:rPr>
                <w:sz w:val="17"/>
                <w:szCs w:val="17"/>
              </w:rPr>
              <w:t xml:space="preserve">ESC 2023 ACS Guidelines (Byrne et al., Eur Heart J 2023) — donnée non trouvée dans les sources consultées pour les délais exacts (texte intégral non relu)</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L5-L82</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LOT_5_Appel_B_V5_Ultra_Pedagogique_Partie_3_DX.6_a_DX.7__export_GoogleDoc.html</w:t>
            </w:r>
          </w:p>
        </w:tc>
        <w:tc>
          <w:tcPr>
            <w:tcW w:w="2350" w:type="dxa"/>
            <w:vAlign w:val="top"/>
          </w:tcPr>
          <w:p>
            <w:pPr>
              <w:spacing w:after="0"/>
            </w:pPr>
            <w:r>
              <w:rPr>
                <w:sz w:val="17"/>
                <w:szCs w:val="17"/>
              </w:rPr>
              <w:t xml:space="preserve">D5.6 › Fenêtre 3.6 › tableau › ligne Équivalents ischémiques subtils</w:t>
            </w:r>
          </w:p>
        </w:tc>
        <w:tc>
          <w:tcPr>
            <w:tcW w:w="2600" w:type="dxa"/>
            <w:vAlign w:val="top"/>
          </w:tcPr>
          <w:p>
            <w:pPr>
              <w:spacing w:after="0"/>
            </w:pPr>
            <w:r>
              <w:rPr>
                <w:i/>
                <w:sz w:val="17"/>
                <w:szCs w:val="17"/>
              </w:rPr>
              <w:t xml:space="preserve">« sous-décalage du ST horizontal (Signe de de Winter / Wellens) »</w:t>
            </w:r>
          </w:p>
        </w:tc>
        <w:tc>
          <w:tcPr>
            <w:tcW w:w="3000" w:type="dxa"/>
            <w:vAlign w:val="top"/>
          </w:tcPr>
          <w:p>
            <w:pPr>
              <w:spacing w:after="40"/>
            </w:pPr>
            <w:r>
              <w:rPr>
                <w:sz w:val="17"/>
                <w:szCs w:val="17"/>
              </w:rPr>
              <w:t xml:space="preserve">Le fichier confond deux aspects : le syndrome de Wellens correspond à des ondes T profondes ou biphasiques en V2–V3, tandis que l'aspect de de Winter associe un sous-décalage ascendant du point J à de grandes ondes T symétriques.</w:t>
            </w:r>
          </w:p>
          <w:p>
            <w:pPr>
              <w:spacing w:after="0"/>
            </w:pPr>
            <w:r>
              <w:rPr>
                <w:b/>
                <w:color w:val="145A32"/>
                <w:sz w:val="17"/>
                <w:szCs w:val="17"/>
              </w:rPr>
              <w:t xml:space="preserve">→ Décrire séparément les deux aspects ECG avec une source cardiologique européenne lue ; à défaut, écrire « donnée non trouvée dans les sources consultées ».</w:t>
            </w:r>
          </w:p>
        </w:tc>
        <w:tc>
          <w:tcPr>
            <w:tcW w:w="1800" w:type="dxa"/>
            <w:vAlign w:val="top"/>
          </w:tcPr>
          <w:p>
            <w:pPr>
              <w:spacing w:after="0"/>
            </w:pPr>
            <w:r>
              <w:rPr>
                <w:sz w:val="17"/>
                <w:szCs w:val="17"/>
              </w:rPr>
              <w:t xml:space="preserve">donnée non trouvée dans les sources consultées</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L5-L83</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LOT_5_Appel_B_V5_Ultra_Pedagogique_Partie_3_DX.6_a_DX.7__export_GoogleDoc.html</w:t>
            </w:r>
          </w:p>
        </w:tc>
        <w:tc>
          <w:tcPr>
            <w:tcW w:w="2350" w:type="dxa"/>
            <w:vAlign w:val="top"/>
          </w:tcPr>
          <w:p>
            <w:pPr>
              <w:spacing w:after="0"/>
            </w:pPr>
            <w:r>
              <w:rPr>
                <w:sz w:val="17"/>
                <w:szCs w:val="17"/>
              </w:rPr>
              <w:t xml:space="preserve">D5.7 › 2. Épidémiologie</w:t>
            </w:r>
          </w:p>
        </w:tc>
        <w:tc>
          <w:tcPr>
            <w:tcW w:w="2600" w:type="dxa"/>
            <w:vAlign w:val="top"/>
          </w:tcPr>
          <w:p>
            <w:pPr>
              <w:spacing w:after="0"/>
            </w:pPr>
            <w:r>
              <w:rPr>
                <w:i/>
                <w:sz w:val="17"/>
                <w:szCs w:val="17"/>
              </w:rPr>
              <w:t xml:space="preserve">« environ 20 nouveaux cas pour 100 000 habitants de plus de 50 ans par an, selon la Société Suisse de Rhumatologie »</w:t>
            </w:r>
          </w:p>
        </w:tc>
        <w:tc>
          <w:tcPr>
            <w:tcW w:w="3000" w:type="dxa"/>
            <w:vAlign w:val="top"/>
          </w:tcPr>
          <w:p>
            <w:pPr>
              <w:spacing w:after="40"/>
            </w:pPr>
            <w:r>
              <w:rPr>
                <w:sz w:val="17"/>
                <w:szCs w:val="17"/>
              </w:rPr>
              <w:t xml:space="preserve">L'incidence n'a pas de source identifiable et l'adverbe « exclusivement » est trop absolu pour l'âge.</w:t>
            </w:r>
          </w:p>
          <w:p>
            <w:pPr>
              <w:spacing w:after="0"/>
            </w:pPr>
            <w:r>
              <w:rPr>
                <w:b/>
                <w:color w:val="145A32"/>
                <w:sz w:val="17"/>
                <w:szCs w:val="17"/>
              </w:rPr>
              <w:t xml:space="preserve">→ Citer l'étude d'incidence (titre, année, URL) ou écrire « donnée non trouvée dans les sources consultées » ; remplacer « exclusivement » par « presque exclusivement ».</w:t>
            </w:r>
          </w:p>
        </w:tc>
        <w:tc>
          <w:tcPr>
            <w:tcW w:w="1800" w:type="dxa"/>
            <w:vAlign w:val="top"/>
          </w:tcPr>
          <w:p>
            <w:pPr>
              <w:spacing w:after="0"/>
            </w:pPr>
            <w:r>
              <w:rPr>
                <w:sz w:val="17"/>
                <w:szCs w:val="17"/>
              </w:rPr>
              <w:t xml:space="preserve">PROMPT_V6 (Standard V6, prompt de base du lot) § 3.1</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L5-L95</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LOT_5_Appel_B_V5_Ultra_Pedagogique_Partie_4_DX.8_a_DX.10__export_GoogleDoc__v2.html</w:t>
            </w:r>
          </w:p>
        </w:tc>
        <w:tc>
          <w:tcPr>
            <w:tcW w:w="2350" w:type="dxa"/>
            <w:vAlign w:val="top"/>
          </w:tcPr>
          <w:p>
            <w:pPr>
              <w:spacing w:after="0"/>
            </w:pPr>
            <w:r>
              <w:rPr>
                <w:sz w:val="17"/>
                <w:szCs w:val="17"/>
              </w:rPr>
              <w:t xml:space="preserve">D5.8 › 11.B › Moyens pharmacologiques</w:t>
            </w:r>
          </w:p>
        </w:tc>
        <w:tc>
          <w:tcPr>
            <w:tcW w:w="2600" w:type="dxa"/>
            <w:vAlign w:val="top"/>
          </w:tcPr>
          <w:p>
            <w:pPr>
              <w:spacing w:after="0"/>
            </w:pPr>
            <w:r>
              <w:rPr>
                <w:i/>
                <w:sz w:val="17"/>
                <w:szCs w:val="17"/>
              </w:rPr>
              <w:t xml:space="preserve">« Classe : Neuroleptique atypique à faible dose. Molécule : Quétiapine »</w:t>
            </w:r>
          </w:p>
        </w:tc>
        <w:tc>
          <w:tcPr>
            <w:tcW w:w="3000" w:type="dxa"/>
            <w:vAlign w:val="top"/>
          </w:tcPr>
          <w:p>
            <w:pPr>
              <w:spacing w:after="40"/>
            </w:pPr>
            <w:r>
              <w:rPr>
                <w:sz w:val="17"/>
                <w:szCs w:val="17"/>
              </w:rPr>
              <w:t xml:space="preserve">L'halopéridol, cité dans la même classe, est un neuroleptique typique (butyrophénone) et non atypique.</w:t>
            </w:r>
          </w:p>
          <w:p>
            <w:pPr>
              <w:spacing w:after="0"/>
            </w:pPr>
            <w:r>
              <w:rPr>
                <w:b/>
                <w:color w:val="145A32"/>
                <w:sz w:val="17"/>
                <w:szCs w:val="17"/>
              </w:rPr>
              <w:t xml:space="preserve">→ Écrire « Le médecin peut recourir à un neuroleptique à faible dose : quétiapine (atypique, Seroquel®) 12,5 à 25 mg per os ou halopéridol (typique, Haldol®) 0,5 mg… ».</w:t>
            </w:r>
          </w:p>
        </w:tc>
        <w:tc>
          <w:tcPr>
            <w:tcW w:w="1800" w:type="dxa"/>
            <w:vAlign w:val="top"/>
          </w:tcPr>
          <w:p>
            <w:pPr>
              <w:spacing w:after="0"/>
            </w:pPr>
            <w:r>
              <w:rPr>
                <w:sz w:val="17"/>
                <w:szCs w:val="17"/>
              </w:rPr>
              <w:t xml:space="preserve">Classification pharmacologique des antipsychotiques (information professionnelle suisse Haldol®, à citer [Sn])</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L5-L96</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LOT_5_Appel_B_V5_Ultra_Pedagogique_Partie_4_DX.8_a_DX.10__export_GoogleDoc__v2.html</w:t>
            </w:r>
          </w:p>
        </w:tc>
        <w:tc>
          <w:tcPr>
            <w:tcW w:w="2350" w:type="dxa"/>
            <w:vAlign w:val="top"/>
          </w:tcPr>
          <w:p>
            <w:pPr>
              <w:spacing w:after="0"/>
            </w:pPr>
            <w:r>
              <w:rPr>
                <w:sz w:val="17"/>
                <w:szCs w:val="17"/>
              </w:rPr>
              <w:t xml:space="preserve">D5.8 › 10. Arbre décisionnel</w:t>
            </w:r>
          </w:p>
        </w:tc>
        <w:tc>
          <w:tcPr>
            <w:tcW w:w="2600" w:type="dxa"/>
            <w:vAlign w:val="top"/>
          </w:tcPr>
          <w:p>
            <w:pPr>
              <w:spacing w:after="0"/>
            </w:pPr>
            <w:r>
              <w:rPr>
                <w:i/>
                <w:sz w:val="17"/>
                <w:szCs w:val="17"/>
              </w:rPr>
              <w:t xml:space="preserve">« hypoglycémie (Grisé/Gucose IV) »</w:t>
            </w:r>
          </w:p>
        </w:tc>
        <w:tc>
          <w:tcPr>
            <w:tcW w:w="3000" w:type="dxa"/>
            <w:vAlign w:val="top"/>
          </w:tcPr>
          <w:p>
            <w:pPr>
              <w:spacing w:after="40"/>
            </w:pPr>
            <w:r>
              <w:rPr>
                <w:sz w:val="17"/>
                <w:szCs w:val="17"/>
              </w:rPr>
              <w:t xml:space="preserve">Le traitement de l'hypoglycémie est illisible (texte corrompu) et ne donne ni produit, ni dose, ni concentration.</w:t>
            </w:r>
          </w:p>
          <w:p>
            <w:pPr>
              <w:spacing w:after="0"/>
            </w:pPr>
            <w:r>
              <w:rPr>
                <w:b/>
                <w:color w:val="145A32"/>
                <w:sz w:val="17"/>
                <w:szCs w:val="17"/>
              </w:rPr>
              <w:t xml:space="preserve">→ Écrire « hypoglycémie (glucose IV, dose et concentration selon le protocole cité [Sn]) » ; sans source, écrire « donnée non trouvée dans les sources consultées ».</w:t>
            </w:r>
          </w:p>
        </w:tc>
        <w:tc>
          <w:tcPr>
            <w:tcW w:w="1800" w:type="dxa"/>
            <w:vAlign w:val="top"/>
          </w:tcPr>
          <w:p>
            <w:pPr>
              <w:spacing w:after="0"/>
            </w:pPr>
            <w:r>
              <w:rPr>
                <w:sz w:val="17"/>
                <w:szCs w:val="17"/>
              </w:rPr>
              <w:t xml:space="preserve">PROMPT_V6 (Standard V6, prompt de base du lot) § 6.7</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L5-L97</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LOT_5_Appel_B_V5_Ultra_Pedagogique_Partie_4_DX.8_a_DX.10__export_GoogleDoc__v2.html</w:t>
            </w:r>
          </w:p>
        </w:tc>
        <w:tc>
          <w:tcPr>
            <w:tcW w:w="2350" w:type="dxa"/>
            <w:vAlign w:val="top"/>
          </w:tcPr>
          <w:p>
            <w:pPr>
              <w:spacing w:after="0"/>
            </w:pPr>
            <w:r>
              <w:rPr>
                <w:sz w:val="17"/>
                <w:szCs w:val="17"/>
              </w:rPr>
              <w:t xml:space="preserve">D5.9 › 11.B › 2. Endocardite à Staphylococcus aureus</w:t>
            </w:r>
          </w:p>
        </w:tc>
        <w:tc>
          <w:tcPr>
            <w:tcW w:w="2600" w:type="dxa"/>
            <w:vAlign w:val="top"/>
          </w:tcPr>
          <w:p>
            <w:pPr>
              <w:spacing w:after="0"/>
            </w:pPr>
            <w:r>
              <w:rPr>
                <w:i/>
                <w:sz w:val="17"/>
                <w:szCs w:val="17"/>
              </w:rPr>
              <w:t xml:space="preserve">« Cloxacilline, Orbenine® 2 g IV toutes les 4-6 heures »</w:t>
            </w:r>
          </w:p>
        </w:tc>
        <w:tc>
          <w:tcPr>
            <w:tcW w:w="3000" w:type="dxa"/>
            <w:vAlign w:val="top"/>
          </w:tcPr>
          <w:p>
            <w:pPr>
              <w:spacing w:after="40"/>
            </w:pPr>
            <w:r>
              <w:rPr>
                <w:sz w:val="17"/>
                <w:szCs w:val="17"/>
              </w:rPr>
              <w:t xml:space="preserve">Orbénine® est une spécialité française ; en Suisse, la pénicilline M injectable autorisée est la flucloxacilline (Floxapen®). L'association systématique de gentamicine dans l'endocardite à S. aureus sur valve native n'est pas appuyée par une source lue et expose à la néphrotoxicité.</w:t>
            </w:r>
          </w:p>
          <w:p>
            <w:pPr>
              <w:spacing w:after="0"/>
            </w:pPr>
            <w:r>
              <w:rPr>
                <w:b/>
                <w:color w:val="145A32"/>
                <w:sz w:val="17"/>
                <w:szCs w:val="17"/>
              </w:rPr>
              <w:t xml:space="preserve">→ Écrire « flucloxacilline (Floxapen®) IV selon l'information professionnelle suisse » et vérifier dans l'ESC 2023 l'indication de la gentamicine (valve native ou prothèse) ; statut de la gentamicine : donnée non trouvée dans les sources consultées.</w:t>
            </w:r>
          </w:p>
        </w:tc>
        <w:tc>
          <w:tcPr>
            <w:tcW w:w="1800" w:type="dxa"/>
            <w:vAlign w:val="top"/>
          </w:tcPr>
          <w:p>
            <w:pPr>
              <w:spacing w:after="0"/>
            </w:pPr>
            <w:r>
              <w:rPr>
                <w:sz w:val="17"/>
                <w:szCs w:val="17"/>
              </w:rPr>
              <w:t xml:space="preserve">compendium.ch — Floxapen® subst. sèche 500 mg (Teva Pharma AG) — https://compendium.ch/fr/product/24998-floxapen-subst-seche-500-mg/mpro — consulté le 22.10.2026 ; ESC 2023 Endocarditis Guidelines (Delgado et al., Eur Heart J 2023) non relues en texte intégral</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L5-L98</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LOT_5_Appel_B_V5_Ultra_Pedagogique_Partie_4_DX.8_a_DX.10__export_GoogleDoc__v2.html</w:t>
            </w:r>
          </w:p>
        </w:tc>
        <w:tc>
          <w:tcPr>
            <w:tcW w:w="2350" w:type="dxa"/>
            <w:vAlign w:val="top"/>
          </w:tcPr>
          <w:p>
            <w:pPr>
              <w:spacing w:after="0"/>
            </w:pPr>
            <w:r>
              <w:rPr>
                <w:sz w:val="17"/>
                <w:szCs w:val="17"/>
              </w:rPr>
              <w:t xml:space="preserve">D5.9 › 11.B › 1. Streptocoques</w:t>
            </w:r>
          </w:p>
        </w:tc>
        <w:tc>
          <w:tcPr>
            <w:tcW w:w="2600" w:type="dxa"/>
            <w:vAlign w:val="top"/>
          </w:tcPr>
          <w:p>
            <w:pPr>
              <w:spacing w:after="0"/>
            </w:pPr>
            <w:r>
              <w:rPr>
                <w:i/>
                <w:sz w:val="17"/>
                <w:szCs w:val="17"/>
              </w:rPr>
              <w:t xml:space="preserve">« associée à la Gentamicine (3 mg/kg/j en 1 injection) pendant les 2 premières semaines, puis monothérapie »</w:t>
            </w:r>
          </w:p>
        </w:tc>
        <w:tc>
          <w:tcPr>
            <w:tcW w:w="3000" w:type="dxa"/>
            <w:vAlign w:val="top"/>
          </w:tcPr>
          <w:p>
            <w:pPr>
              <w:spacing w:after="40"/>
            </w:pPr>
            <w:r>
              <w:rPr>
                <w:sz w:val="17"/>
                <w:szCs w:val="17"/>
              </w:rPr>
              <w:t xml:space="preserve">Le schéma mélange le traitement court de 2 semaines (bêtalactamine + gentamicine) et le traitement standard de 4 semaines en monothérapie, ce qui ne correspond à aucun schéma identifié.</w:t>
            </w:r>
          </w:p>
          <w:p>
            <w:pPr>
              <w:spacing w:after="0"/>
            </w:pPr>
            <w:r>
              <w:rPr>
                <w:b/>
                <w:color w:val="145A32"/>
                <w:sz w:val="17"/>
                <w:szCs w:val="17"/>
              </w:rPr>
              <w:t xml:space="preserve">→ Présenter séparément le schéma standard de 4 semaines et le schéma court de 2 semaines avec leurs critères, d'après l'ESC 2023 lue ; à défaut, écrire « donnée non trouvée dans les sources consultées ».</w:t>
            </w:r>
          </w:p>
        </w:tc>
        <w:tc>
          <w:tcPr>
            <w:tcW w:w="1800" w:type="dxa"/>
            <w:vAlign w:val="top"/>
          </w:tcPr>
          <w:p>
            <w:pPr>
              <w:spacing w:after="0"/>
            </w:pPr>
            <w:r>
              <w:rPr>
                <w:sz w:val="17"/>
                <w:szCs w:val="17"/>
              </w:rPr>
              <w:t xml:space="preserve">donnée non trouvée dans les sources consultées</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L5-L99</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LOT_5_Appel_B_V5_Ultra_Pedagogique_Partie_4_DX.8_a_DX.10__export_GoogleDoc__v2.html</w:t>
            </w:r>
          </w:p>
        </w:tc>
        <w:tc>
          <w:tcPr>
            <w:tcW w:w="2350" w:type="dxa"/>
            <w:vAlign w:val="top"/>
          </w:tcPr>
          <w:p>
            <w:pPr>
              <w:spacing w:after="0"/>
            </w:pPr>
            <w:r>
              <w:rPr>
                <w:sz w:val="17"/>
                <w:szCs w:val="17"/>
              </w:rPr>
              <w:t xml:space="preserve">D5.9 › Fenêtre 3.9 › titre</w:t>
            </w:r>
          </w:p>
        </w:tc>
        <w:tc>
          <w:tcPr>
            <w:tcW w:w="2600" w:type="dxa"/>
            <w:vAlign w:val="top"/>
          </w:tcPr>
          <w:p>
            <w:pPr>
              <w:spacing w:after="0"/>
            </w:pPr>
            <w:r>
              <w:rPr>
                <w:i/>
                <w:sz w:val="17"/>
                <w:szCs w:val="17"/>
              </w:rPr>
              <w:t xml:space="preserve">« Critères de Duke Modifiés (ESC 2023/2025) &amp; Scores Pronostiques d'Eichhorn »</w:t>
            </w:r>
          </w:p>
        </w:tc>
        <w:tc>
          <w:tcPr>
            <w:tcW w:w="3000" w:type="dxa"/>
            <w:vAlign w:val="top"/>
          </w:tcPr>
          <w:p>
            <w:pPr>
              <w:spacing w:after="40"/>
            </w:pPr>
            <w:r>
              <w:rPr>
                <w:sz w:val="17"/>
                <w:szCs w:val="17"/>
              </w:rPr>
              <w:t xml:space="preserve">Le titre annonce des « scores pronostiques d'Eichhorn » qui ne sont ni développés ni retrouvés, et une version ESC « 2025 » non sourcée.</w:t>
            </w:r>
          </w:p>
          <w:p>
            <w:pPr>
              <w:spacing w:after="0"/>
            </w:pPr>
            <w:r>
              <w:rPr>
                <w:b/>
                <w:color w:val="145A32"/>
                <w:sz w:val="17"/>
                <w:szCs w:val="17"/>
              </w:rPr>
              <w:t xml:space="preserve">→ Supprimer la mention d'Eichhorn et de 2025, ou citer la source exacte ; écrire « critères de Duke-ISCVID 2023 / ESC 2023 » ; statut d'Eichhorn : donnée non trouvée dans les sources consultées.</w:t>
            </w:r>
          </w:p>
        </w:tc>
        <w:tc>
          <w:tcPr>
            <w:tcW w:w="1800" w:type="dxa"/>
            <w:vAlign w:val="top"/>
          </w:tcPr>
          <w:p>
            <w:pPr>
              <w:spacing w:after="0"/>
            </w:pPr>
            <w:r>
              <w:rPr>
                <w:sz w:val="17"/>
                <w:szCs w:val="17"/>
              </w:rPr>
              <w:t xml:space="preserve">donnée non trouvée dans les sources consultées</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L5-M02</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LOT_5_Appel_B_V5_Ultra_Pedagogique_Partie_4_DX.8_a_DX.10__export_GoogleDoc__v1.html</w:t>
            </w:r>
          </w:p>
        </w:tc>
        <w:tc>
          <w:tcPr>
            <w:tcW w:w="2350" w:type="dxa"/>
            <w:vAlign w:val="top"/>
          </w:tcPr>
          <w:p>
            <w:pPr>
              <w:spacing w:after="0"/>
            </w:pPr>
            <w:r>
              <w:rPr>
                <w:sz w:val="17"/>
                <w:szCs w:val="17"/>
              </w:rPr>
              <w:t xml:space="preserve">Partie 4 v1 (version 18:01) › fichier entier</w:t>
            </w:r>
          </w:p>
        </w:tc>
        <w:tc>
          <w:tcPr>
            <w:tcW w:w="2600" w:type="dxa"/>
            <w:vAlign w:val="top"/>
          </w:tcPr>
          <w:p>
            <w:pPr>
              <w:spacing w:after="0"/>
            </w:pPr>
            <w:r>
              <w:rPr>
                <w:i/>
                <w:sz w:val="17"/>
                <w:szCs w:val="17"/>
              </w:rPr>
              <w:t xml:space="preserve">« macules érythématosas-hémorragiques indolores des paumes et plantes »</w:t>
            </w:r>
          </w:p>
        </w:tc>
        <w:tc>
          <w:tcPr>
            <w:tcW w:w="3000" w:type="dxa"/>
            <w:vAlign w:val="top"/>
          </w:tcPr>
          <w:p>
            <w:pPr>
              <w:spacing w:after="40"/>
            </w:pPr>
            <w:r>
              <w:rPr>
                <w:sz w:val="17"/>
                <w:szCs w:val="17"/>
              </w:rPr>
              <w:t xml:space="preserve">La Partie 4 existe en deux versions dans le dossier du lot ; la v1 est périmée (coquilles corrigées dans la v2) et constitue un doublon interdit.</w:t>
            </w:r>
          </w:p>
          <w:p>
            <w:pPr>
              <w:spacing w:after="0"/>
            </w:pPr>
            <w:r>
              <w:rPr>
                <w:b/>
                <w:color w:val="145A32"/>
                <w:sz w:val="17"/>
                <w:szCs w:val="17"/>
              </w:rPr>
              <w:t xml:space="preserve">→ Déplacer la v1 dans CORBEILLE_DOUBLONS_OBSOLETES avec le suffixe _OBSOLETE_ après dépôt de la version HTML conforme ; ne conserver qu'une Partie 4.</w:t>
            </w:r>
          </w:p>
        </w:tc>
        <w:tc>
          <w:tcPr>
            <w:tcW w:w="1800" w:type="dxa"/>
            <w:vAlign w:val="top"/>
          </w:tcPr>
          <w:p>
            <w:pPr>
              <w:spacing w:after="0"/>
            </w:pPr>
            <w:r>
              <w:rPr>
                <w:sz w:val="17"/>
                <w:szCs w:val="17"/>
              </w:rPr>
              <w:t xml:space="preserve">PROMPT_V6.md (prompt de base du chantier PROFILES), § 12</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L5-M07</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LOT_5_Appel_A_V5_Ultra_Pedagogique_Plan_et_Liste__export_GoogleDoc.html</w:t>
            </w:r>
          </w:p>
        </w:tc>
        <w:tc>
          <w:tcPr>
            <w:tcW w:w="2350" w:type="dxa"/>
            <w:vAlign w:val="top"/>
          </w:tcPr>
          <w:p>
            <w:pPr>
              <w:spacing w:after="0"/>
            </w:pPr>
            <w:r>
              <w:rPr>
                <w:sz w:val="17"/>
                <w:szCs w:val="17"/>
              </w:rPr>
              <w:t xml:space="preserve">Bloc 1 › point 3 › Fenêtre 3.1 qSOFA &amp; NEWS-2 › explicitation</w:t>
            </w:r>
          </w:p>
        </w:tc>
        <w:tc>
          <w:tcPr>
            <w:tcW w:w="2600" w:type="dxa"/>
            <w:vAlign w:val="top"/>
          </w:tcPr>
          <w:p>
            <w:pPr>
              <w:spacing w:after="0"/>
            </w:pPr>
            <w:r>
              <w:rPr>
                <w:i/>
                <w:sz w:val="17"/>
                <w:szCs w:val="17"/>
              </w:rPr>
              <w:t xml:space="preserve">« qui additionne 3 variables cliniques binaires (cotées 0 ou 1 point chacune) »</w:t>
            </w:r>
          </w:p>
        </w:tc>
        <w:tc>
          <w:tcPr>
            <w:tcW w:w="3000" w:type="dxa"/>
            <w:vAlign w:val="top"/>
          </w:tcPr>
          <w:p>
            <w:pPr>
              <w:spacing w:after="40"/>
            </w:pPr>
            <w:r>
              <w:rPr>
                <w:sz w:val="17"/>
                <w:szCs w:val="17"/>
              </w:rPr>
              <w:t xml:space="preserve">Le qSOFA est présenté comme l'outil de discrimination du sepsis débutant, alors que les recommandations internationales 2026 déconseillent le qSOFA seul comme outil de dépistage et lui préfèrent NEWS/NEWS2, MEWS ou SIRS ; le NEWS-2 annoncé dans le titre n'est jamais expliqué.</w:t>
            </w:r>
          </w:p>
          <w:p>
            <w:pPr>
              <w:spacing w:after="0"/>
            </w:pPr>
            <w:r>
              <w:rPr>
                <w:b/>
                <w:color w:val="145A32"/>
                <w:sz w:val="17"/>
                <w:szCs w:val="17"/>
              </w:rPr>
              <w:t xml:space="preserve">→ Ajouter : « Le qSOFA ne doit pas servir seul au dépistage ; le NEWS2 (seuils 5 et 7) est préféré pour repérer le patient qui se dégrade. » et détailler le NEWS2 dans la fenêtre.</w:t>
            </w:r>
          </w:p>
        </w:tc>
        <w:tc>
          <w:tcPr>
            <w:tcW w:w="1800" w:type="dxa"/>
            <w:vAlign w:val="top"/>
          </w:tcPr>
          <w:p>
            <w:pPr>
              <w:spacing w:after="0"/>
            </w:pPr>
            <w:r>
              <w:rPr>
                <w:sz w:val="17"/>
                <w:szCs w:val="17"/>
              </w:rPr>
              <w:t xml:space="preserve">Surviving Sepsis Campaign (SCCM/ESICM), International Guidelines for Management of Sepsis and Septic Shock 2026, Crit Care Med / Intensive Care Med, 23.03.2026, https://www.sccm.org/clinical-resources/guidelines/guidelines/surviving-sepsis-campaign-international-guidelines-for-management-of-sepsis-and-septic-shock-2026</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L5-M08</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LOT_5_Appel_A_V5_Ultra_Pedagogique_Plan_et_Liste__export_GoogleDoc.html</w:t>
            </w:r>
          </w:p>
        </w:tc>
        <w:tc>
          <w:tcPr>
            <w:tcW w:w="2350" w:type="dxa"/>
            <w:vAlign w:val="top"/>
          </w:tcPr>
          <w:p>
            <w:pPr>
              <w:spacing w:after="0"/>
            </w:pPr>
            <w:r>
              <w:rPr>
                <w:sz w:val="17"/>
                <w:szCs w:val="17"/>
              </w:rPr>
              <w:t xml:space="preserve">Bloc 1 › Fenêtre 3.1 › tableau › ligne Lactatémie</w:t>
            </w:r>
          </w:p>
        </w:tc>
        <w:tc>
          <w:tcPr>
            <w:tcW w:w="2600" w:type="dxa"/>
            <w:vAlign w:val="top"/>
          </w:tcPr>
          <w:p>
            <w:pPr>
              <w:spacing w:after="0"/>
            </w:pPr>
            <w:r>
              <w:rPr>
                <w:i/>
                <w:sz w:val="17"/>
                <w:szCs w:val="17"/>
              </w:rPr>
              <w:t xml:space="preserve">« ≥ 2,0 mmol/L (Sepsis sévère / Choc) »</w:t>
            </w:r>
          </w:p>
        </w:tc>
        <w:tc>
          <w:tcPr>
            <w:tcW w:w="3000" w:type="dxa"/>
            <w:vAlign w:val="top"/>
          </w:tcPr>
          <w:p>
            <w:pPr>
              <w:spacing w:after="40"/>
            </w:pPr>
            <w:r>
              <w:rPr>
                <w:sz w:val="17"/>
                <w:szCs w:val="17"/>
              </w:rPr>
              <w:t xml:space="preserve">Le terme « sepsis sévère » a été abandonné par la définition Sepsis-3 ; il réapparaît en Partie 2 (exemple SOFA) et entretient une confusion de vocabulaire.</w:t>
            </w:r>
          </w:p>
          <w:p>
            <w:pPr>
              <w:spacing w:after="0"/>
            </w:pPr>
            <w:r>
              <w:rPr>
                <w:b/>
                <w:color w:val="145A32"/>
                <w:sz w:val="17"/>
                <w:szCs w:val="17"/>
              </w:rPr>
              <w:t xml:space="preserve">→ Remplacer par « ≥ 2,0 mmol/L : hypoperfusion ; avec vasopresseurs pour PAM ≥ 65 mmHg : choc septique (Sepsis-3) ».</w:t>
            </w:r>
          </w:p>
        </w:tc>
        <w:tc>
          <w:tcPr>
            <w:tcW w:w="1800" w:type="dxa"/>
            <w:vAlign w:val="top"/>
          </w:tcPr>
          <w:p>
            <w:pPr>
              <w:spacing w:after="0"/>
            </w:pPr>
            <w:r>
              <w:rPr>
                <w:sz w:val="17"/>
                <w:szCs w:val="17"/>
              </w:rPr>
              <w:t xml:space="preserve">Singer M. et al., The Third International Consensus Definitions for Sepsis and Septic Shock (Sepsis-3), JAMA 2016 ; SSC 2026 (voir L5-M07)</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L5-M11</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LOT_5_Appel_B_V5_Ultra_Pedagogique_Partie_1_DX.1_a_DX.2__export_GoogleDoc.html</w:t>
            </w:r>
          </w:p>
        </w:tc>
        <w:tc>
          <w:tcPr>
            <w:tcW w:w="2350" w:type="dxa"/>
            <w:vAlign w:val="top"/>
          </w:tcPr>
          <w:p>
            <w:pPr>
              <w:spacing w:after="0"/>
            </w:pPr>
            <w:r>
              <w:rPr>
                <w:sz w:val="17"/>
                <w:szCs w:val="17"/>
              </w:rPr>
              <w:t xml:space="preserve">D5.1 › point 11.B › antiviraux › Nirmatrelvir/ritonavir</w:t>
            </w:r>
          </w:p>
        </w:tc>
        <w:tc>
          <w:tcPr>
            <w:tcW w:w="2600" w:type="dxa"/>
            <w:vAlign w:val="top"/>
          </w:tcPr>
          <w:p>
            <w:pPr>
              <w:spacing w:after="0"/>
            </w:pPr>
            <w:r>
              <w:rPr>
                <w:i/>
                <w:sz w:val="17"/>
                <w:szCs w:val="17"/>
              </w:rPr>
              <w:t xml:space="preserve">« 300 mg de nirmatrelvir + 100 mg de ritonavir 2 fois par jour per os pendant 5 jours »</w:t>
            </w:r>
          </w:p>
        </w:tc>
        <w:tc>
          <w:tcPr>
            <w:tcW w:w="3000" w:type="dxa"/>
            <w:vAlign w:val="top"/>
          </w:tcPr>
          <w:p>
            <w:pPr>
              <w:spacing w:after="40"/>
            </w:pPr>
            <w:r>
              <w:rPr>
                <w:sz w:val="17"/>
                <w:szCs w:val="17"/>
              </w:rPr>
              <w:t xml:space="preserve">Le texte omet l'adaptation rénale obligatoire : 150 mg/100 mg toutes les 12 h si DFGe 30 à &lt; 60 mL/min, et non-utilisation si DFGe &lt; 30 mL/min.</w:t>
            </w:r>
          </w:p>
          <w:p>
            <w:pPr>
              <w:spacing w:after="0"/>
            </w:pPr>
            <w:r>
              <w:rPr>
                <w:b/>
                <w:color w:val="145A32"/>
                <w:sz w:val="17"/>
                <w:szCs w:val="17"/>
              </w:rPr>
              <w:t xml:space="preserve">→ Ajouter : « DFGe 30–&lt; 60 mL/min : 150 mg de nirmatrelvir + 100 mg de ritonavir toutes les 12 h ; DFGe &lt; 30 mL/min : ne pas utiliser. »</w:t>
            </w:r>
          </w:p>
        </w:tc>
        <w:tc>
          <w:tcPr>
            <w:tcW w:w="1800" w:type="dxa"/>
            <w:vAlign w:val="top"/>
          </w:tcPr>
          <w:p>
            <w:pPr>
              <w:spacing w:after="0"/>
            </w:pPr>
            <w:r>
              <w:rPr>
                <w:sz w:val="17"/>
                <w:szCs w:val="17"/>
              </w:rPr>
              <w:t xml:space="preserve">Pfizer, Paxlovid SmPC (rubrique 4.2), https://webfiles.pfizer.com/Paxlovid_SMPC_PaxEducation ; HSE Ireland, Clinical guidance on Paxlovid, consultés le 22.10.2026 ; à confirmer sur la FI suisse (AIPS)</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L5-M13</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LOT_5_Appel_B_V5_Ultra_Pedagogique_Partie_1_DX.1_a_DX.2__export_GoogleDoc.html</w:t>
            </w:r>
          </w:p>
        </w:tc>
        <w:tc>
          <w:tcPr>
            <w:tcW w:w="2350" w:type="dxa"/>
            <w:vAlign w:val="top"/>
          </w:tcPr>
          <w:p>
            <w:pPr>
              <w:spacing w:after="0"/>
            </w:pPr>
            <w:r>
              <w:rPr>
                <w:sz w:val="17"/>
                <w:szCs w:val="17"/>
              </w:rPr>
              <w:t xml:space="preserve">D5.1 › point 2 Épidémiologie</w:t>
            </w:r>
          </w:p>
        </w:tc>
        <w:tc>
          <w:tcPr>
            <w:tcW w:w="2600" w:type="dxa"/>
            <w:vAlign w:val="top"/>
          </w:tcPr>
          <w:p>
            <w:pPr>
              <w:spacing w:after="0"/>
            </w:pPr>
            <w:r>
              <w:rPr>
                <w:i/>
                <w:sz w:val="17"/>
                <w:szCs w:val="17"/>
              </w:rPr>
              <w:t xml:space="preserve">« entre 150 000 et 350 000 consultations médicales en Suisse »</w:t>
            </w:r>
          </w:p>
        </w:tc>
        <w:tc>
          <w:tcPr>
            <w:tcW w:w="3000" w:type="dxa"/>
            <w:vAlign w:val="top"/>
          </w:tcPr>
          <w:p>
            <w:pPr>
              <w:spacing w:after="40"/>
            </w:pPr>
            <w:r>
              <w:rPr>
                <w:sz w:val="17"/>
                <w:szCs w:val="17"/>
              </w:rPr>
              <w:t xml:space="preserve">Les volumes Sentinella et la part de 35 % ne sont rattachés à aucun rapport daté de l'OFSP.</w:t>
            </w:r>
          </w:p>
          <w:p>
            <w:pPr>
              <w:spacing w:after="0"/>
            </w:pPr>
            <w:r>
              <w:rPr>
                <w:b/>
                <w:color w:val="145A32"/>
                <w:sz w:val="17"/>
                <w:szCs w:val="17"/>
              </w:rPr>
              <w:t xml:space="preserve">→ Citer le bulletin Sentinella précis (saison, URL) avec les consultations pour syndrome grippal extrapolées, ou écrire « donnée non trouvée ».</w:t>
            </w:r>
          </w:p>
        </w:tc>
        <w:tc>
          <w:tcPr>
            <w:tcW w:w="1800" w:type="dxa"/>
            <w:vAlign w:val="top"/>
          </w:tcPr>
          <w:p>
            <w:pPr>
              <w:spacing w:after="0"/>
            </w:pPr>
            <w:r>
              <w:rPr>
                <w:sz w:val="17"/>
                <w:szCs w:val="17"/>
              </w:rPr>
              <w:t xml:space="preserve">OFSP, Système de déclaration Sentinella — donnée non trouvée dans les sources consultées</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L5-M15</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LOT_5_Appel_B_V5_Ultra_Pedagogique_Partie_1_DX.1_a_DX.2__export_GoogleDoc.html</w:t>
            </w:r>
          </w:p>
        </w:tc>
        <w:tc>
          <w:tcPr>
            <w:tcW w:w="2350" w:type="dxa"/>
            <w:vAlign w:val="top"/>
          </w:tcPr>
          <w:p>
            <w:pPr>
              <w:spacing w:after="0"/>
            </w:pPr>
            <w:r>
              <w:rPr>
                <w:sz w:val="17"/>
                <w:szCs w:val="17"/>
              </w:rPr>
              <w:t xml:space="preserve">D5.2 › Fenêtre 3.2 › tableau › ligne Score ACB</w:t>
            </w:r>
          </w:p>
        </w:tc>
        <w:tc>
          <w:tcPr>
            <w:tcW w:w="2600" w:type="dxa"/>
            <w:vAlign w:val="top"/>
          </w:tcPr>
          <w:p>
            <w:pPr>
              <w:spacing w:after="0"/>
            </w:pPr>
            <w:r>
              <w:rPr>
                <w:i/>
                <w:sz w:val="17"/>
                <w:szCs w:val="17"/>
              </w:rPr>
              <w:t xml:space="preserve">« Chaque point ACB ≥ 3 augmente de 50 % le risque de confusion mentale »</w:t>
            </w:r>
          </w:p>
        </w:tc>
        <w:tc>
          <w:tcPr>
            <w:tcW w:w="3000" w:type="dxa"/>
            <w:vAlign w:val="top"/>
          </w:tcPr>
          <w:p>
            <w:pPr>
              <w:spacing w:after="40"/>
            </w:pPr>
            <w:r>
              <w:rPr>
                <w:sz w:val="17"/>
                <w:szCs w:val="17"/>
              </w:rPr>
              <w:t xml:space="preserve">La phrase est incohérente (un « point ≥ 3 ») et le chiffre de 50 % n'est pas sourcé.</w:t>
            </w:r>
          </w:p>
          <w:p>
            <w:pPr>
              <w:spacing w:after="0"/>
            </w:pPr>
            <w:r>
              <w:rPr>
                <w:b/>
                <w:color w:val="145A32"/>
                <w:sz w:val="17"/>
                <w:szCs w:val="17"/>
              </w:rPr>
              <w:t xml:space="preserve">→ Écrire : « Un score ACB total ≥ 3 est associé à un risque accru de déclin cognitif, de chute et de mortalité chez le sujet âgé [Sn]. » en citant l'étude lue.</w:t>
            </w:r>
          </w:p>
        </w:tc>
        <w:tc>
          <w:tcPr>
            <w:tcW w:w="1800" w:type="dxa"/>
            <w:vAlign w:val="top"/>
          </w:tcPr>
          <w:p>
            <w:pPr>
              <w:spacing w:after="0"/>
            </w:pPr>
            <w:r>
              <w:rPr>
                <w:sz w:val="17"/>
                <w:szCs w:val="17"/>
              </w:rPr>
              <w:t xml:space="preserve">Donnée non trouvée dans les sources consultées</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L5-M16</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LOT_5_Appel_B_V5_Ultra_Pedagogique_Partie_1_DX.1_a_DX.2__export_GoogleDoc.html</w:t>
            </w:r>
          </w:p>
        </w:tc>
        <w:tc>
          <w:tcPr>
            <w:tcW w:w="2350" w:type="dxa"/>
            <w:vAlign w:val="top"/>
          </w:tcPr>
          <w:p>
            <w:pPr>
              <w:spacing w:after="0"/>
            </w:pPr>
            <w:r>
              <w:rPr>
                <w:sz w:val="17"/>
                <w:szCs w:val="17"/>
              </w:rPr>
              <w:t xml:space="preserve">D5.2 › point 11.B › Syndrome sérotoninergique › cyproheptadine</w:t>
            </w:r>
          </w:p>
        </w:tc>
        <w:tc>
          <w:tcPr>
            <w:tcW w:w="2600" w:type="dxa"/>
            <w:vAlign w:val="top"/>
          </w:tcPr>
          <w:p>
            <w:pPr>
              <w:spacing w:after="0"/>
            </w:pPr>
            <w:r>
              <w:rPr>
                <w:i/>
                <w:sz w:val="17"/>
                <w:szCs w:val="17"/>
              </w:rPr>
              <w:t xml:space="preserve">« dose de charge de 12 mg per os ou par sonde nasogastrique »</w:t>
            </w:r>
          </w:p>
        </w:tc>
        <w:tc>
          <w:tcPr>
            <w:tcW w:w="3000" w:type="dxa"/>
            <w:vAlign w:val="top"/>
          </w:tcPr>
          <w:p>
            <w:pPr>
              <w:spacing w:after="40"/>
            </w:pPr>
            <w:r>
              <w:rPr>
                <w:sz w:val="17"/>
                <w:szCs w:val="17"/>
              </w:rPr>
              <w:t xml:space="preserve">La commercialisation suisse de la cyproheptadine (Periactin®) n'a pas pu être vérifiée ; la cyproheptadine pourrait n'être disponible que par importation.</w:t>
            </w:r>
          </w:p>
          <w:p>
            <w:pPr>
              <w:spacing w:after="0"/>
            </w:pPr>
            <w:r>
              <w:rPr>
                <w:b/>
                <w:color w:val="145A32"/>
                <w:sz w:val="17"/>
                <w:szCs w:val="17"/>
              </w:rPr>
              <w:t xml:space="preserve">→ Vérifier sur compendium.ch ; si non autorisée, écrire « cyproheptadine (non commercialisée en Suisse : importation, avis de Tox Info Suisse) ».</w:t>
            </w:r>
          </w:p>
        </w:tc>
        <w:tc>
          <w:tcPr>
            <w:tcW w:w="1800" w:type="dxa"/>
            <w:vAlign w:val="top"/>
          </w:tcPr>
          <w:p>
            <w:pPr>
              <w:spacing w:after="0"/>
            </w:pPr>
            <w:r>
              <w:rPr>
                <w:sz w:val="17"/>
                <w:szCs w:val="17"/>
              </w:rPr>
              <w:t xml:space="preserve">Donnée non trouvée dans les sources consultées (compendium.ch, ch.oddb.org inaccessibles) ; PROMPT_V6.md (prompt de base du chantier PROFILES), § 3.3</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L5-M17</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LOT_5_Appel_B_V5_Ultra_Pedagogique_Partie_1_DX.1_a_DX.2__export_GoogleDoc.html</w:t>
            </w:r>
          </w:p>
        </w:tc>
        <w:tc>
          <w:tcPr>
            <w:tcW w:w="2350" w:type="dxa"/>
            <w:vAlign w:val="top"/>
          </w:tcPr>
          <w:p>
            <w:pPr>
              <w:spacing w:after="0"/>
            </w:pPr>
            <w:r>
              <w:rPr>
                <w:sz w:val="17"/>
                <w:szCs w:val="17"/>
              </w:rPr>
              <w:t xml:space="preserve">D5.2 › point 8 Diagnostic positif › critères de Hunter</w:t>
            </w:r>
          </w:p>
        </w:tc>
        <w:tc>
          <w:tcPr>
            <w:tcW w:w="2600" w:type="dxa"/>
            <w:vAlign w:val="top"/>
          </w:tcPr>
          <w:p>
            <w:pPr>
              <w:spacing w:after="0"/>
            </w:pPr>
            <w:r>
              <w:rPr>
                <w:i/>
                <w:sz w:val="17"/>
                <w:szCs w:val="17"/>
              </w:rPr>
              <w:t xml:space="preserve">« clonus inductible/oculaire avec agitation/diaphorèse/hypertonie et température &gt; 38 °C »</w:t>
            </w:r>
          </w:p>
        </w:tc>
        <w:tc>
          <w:tcPr>
            <w:tcW w:w="3000" w:type="dxa"/>
            <w:vAlign w:val="top"/>
          </w:tcPr>
          <w:p>
            <w:pPr>
              <w:spacing w:after="40"/>
            </w:pPr>
            <w:r>
              <w:rPr>
                <w:sz w:val="17"/>
                <w:szCs w:val="17"/>
              </w:rPr>
              <w:t xml:space="preserve">La règle de Hunter est résumée de façon inexacte : l'hypertonie et la température &gt; 38 °C s'associent à un clonus oculaire ou inductible, et le tremblement avec hyperréflexie constitue une branche distincte.</w:t>
            </w:r>
          </w:p>
          <w:p>
            <w:pPr>
              <w:spacing w:after="0"/>
            </w:pPr>
            <w:r>
              <w:rPr>
                <w:b/>
                <w:color w:val="145A32"/>
                <w:sz w:val="17"/>
                <w:szCs w:val="17"/>
              </w:rPr>
              <w:t xml:space="preserve">→ Lister les cinq branches : clonus spontané ; clonus inductible + agitation ou diaphorèse ; clonus oculaire + agitation ou diaphorèse ; tremblement + hyperréflexie ; hypertonie + T &gt; 38 °C + clonus oculaire ou inductible.</w:t>
            </w:r>
          </w:p>
        </w:tc>
        <w:tc>
          <w:tcPr>
            <w:tcW w:w="1800" w:type="dxa"/>
            <w:vAlign w:val="top"/>
          </w:tcPr>
          <w:p>
            <w:pPr>
              <w:spacing w:after="0"/>
            </w:pPr>
            <w:r>
              <w:rPr>
                <w:sz w:val="17"/>
                <w:szCs w:val="17"/>
              </w:rPr>
              <w:t xml:space="preserve">Dunkley EJC et al., The Hunter Serotonin Toxicity Criteria, QJM 2003;96:635-642 (texte non relu dans cette session)</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L5-M19</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LOT_5_Appel_B_V5_Ultra_Pedagogique_Partie_2_DX.3_a_DX.5__export_GoogleDoc.html</w:t>
            </w:r>
          </w:p>
        </w:tc>
        <w:tc>
          <w:tcPr>
            <w:tcW w:w="2350" w:type="dxa"/>
            <w:vAlign w:val="top"/>
          </w:tcPr>
          <w:p>
            <w:pPr>
              <w:spacing w:after="0"/>
            </w:pPr>
            <w:r>
              <w:rPr>
                <w:sz w:val="17"/>
                <w:szCs w:val="17"/>
              </w:rPr>
              <w:t xml:space="preserve">D5.4 › Fenêtre 3.4 › tableau › ligne Hyponatrémie</w:t>
            </w:r>
          </w:p>
        </w:tc>
        <w:tc>
          <w:tcPr>
            <w:tcW w:w="2600" w:type="dxa"/>
            <w:vAlign w:val="top"/>
          </w:tcPr>
          <w:p>
            <w:pPr>
              <w:spacing w:after="0"/>
            </w:pPr>
            <w:r>
              <w:rPr>
                <w:i/>
                <w:sz w:val="17"/>
                <w:szCs w:val="17"/>
              </w:rPr>
              <w:t xml:space="preserve">« Modérée : 130 - 134 mmol/L »</w:t>
            </w:r>
          </w:p>
        </w:tc>
        <w:tc>
          <w:tcPr>
            <w:tcW w:w="3000" w:type="dxa"/>
            <w:vAlign w:val="top"/>
          </w:tcPr>
          <w:p>
            <w:pPr>
              <w:spacing w:after="40"/>
            </w:pPr>
            <w:r>
              <w:rPr>
                <w:sz w:val="17"/>
                <w:szCs w:val="17"/>
              </w:rPr>
              <w:t xml:space="preserve">La classification est fausse : la recommandation européenne définit une hyponatrémie légère à 130–135, modérée à 125–129 et profonde &lt; 125 mmol/L.</w:t>
            </w:r>
          </w:p>
          <w:p>
            <w:pPr>
              <w:spacing w:after="0"/>
            </w:pPr>
            <w:r>
              <w:rPr>
                <w:b/>
                <w:color w:val="145A32"/>
                <w:sz w:val="17"/>
                <w:szCs w:val="17"/>
              </w:rPr>
              <w:t xml:space="preserve">→ Écrire : « Légère : 130–135 mmol/L ; modérée : 125–129 mmol/L ; profonde : &lt; 125 mmol/L. »</w:t>
            </w:r>
          </w:p>
        </w:tc>
        <w:tc>
          <w:tcPr>
            <w:tcW w:w="1800" w:type="dxa"/>
            <w:vAlign w:val="top"/>
          </w:tcPr>
          <w:p>
            <w:pPr>
              <w:spacing w:after="0"/>
            </w:pPr>
            <w:r>
              <w:rPr>
                <w:sz w:val="17"/>
                <w:szCs w:val="17"/>
              </w:rPr>
              <w:t xml:space="preserve">Spasovski G. et al., Clinical practice guideline on diagnosis and treatment of hyponatraemia (ESE/ESICM/ERA-EDTA), Eur J Endocrinol 2014;170(3):G1-G47</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L5-M20</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LOT_5_Appel_B_V5_Ultra_Pedagogique_Partie_2_DX.3_a_DX.5__export_GoogleDoc.html</w:t>
            </w:r>
          </w:p>
        </w:tc>
        <w:tc>
          <w:tcPr>
            <w:tcW w:w="2350" w:type="dxa"/>
            <w:vAlign w:val="top"/>
          </w:tcPr>
          <w:p>
            <w:pPr>
              <w:spacing w:after="0"/>
            </w:pPr>
            <w:r>
              <w:rPr>
                <w:sz w:val="17"/>
                <w:szCs w:val="17"/>
              </w:rPr>
              <w:t xml:space="preserve">D5.4 › Fenêtre 3.4 › tableau › ligne Hyponatrémie (et point 11.B.1)</w:t>
            </w:r>
          </w:p>
        </w:tc>
        <w:tc>
          <w:tcPr>
            <w:tcW w:w="2600" w:type="dxa"/>
            <w:vAlign w:val="top"/>
          </w:tcPr>
          <w:p>
            <w:pPr>
              <w:spacing w:after="0"/>
            </w:pPr>
            <w:r>
              <w:rPr>
                <w:i/>
                <w:sz w:val="17"/>
                <w:szCs w:val="17"/>
              </w:rPr>
              <w:t xml:space="preserve">« IV en 10 min) pour relever la natrémie de 1 à 2 mmol/L/h. »</w:t>
            </w:r>
          </w:p>
        </w:tc>
        <w:tc>
          <w:tcPr>
            <w:tcW w:w="3000" w:type="dxa"/>
            <w:vAlign w:val="top"/>
          </w:tcPr>
          <w:p>
            <w:pPr>
              <w:spacing w:after="40"/>
            </w:pPr>
            <w:r>
              <w:rPr>
                <w:sz w:val="17"/>
                <w:szCs w:val="17"/>
              </w:rPr>
              <w:t xml:space="preserve">Le bolus est de 100 mL en 10 min dans le tableau et de 150 mL en 20 min au point 11.B ; l'objectif réel est une hausse de 5 mmol/L dans la première heure, non 1 à 2 mmol/L/h.</w:t>
            </w:r>
          </w:p>
          <w:p>
            <w:pPr>
              <w:spacing w:after="0"/>
            </w:pPr>
            <w:r>
              <w:rPr>
                <w:b/>
                <w:color w:val="145A32"/>
                <w:sz w:val="17"/>
                <w:szCs w:val="17"/>
              </w:rPr>
              <w:t xml:space="preserve">→ Harmoniser : « NaCl 3 % 150 mL IV en 20 min, répétable deux fois, objectif +5 mmol/L ; puis ≤ 10 mmol/L les 24 premières heures et ≤ 8 mmol/L par 24 h ensuite. »</w:t>
            </w:r>
          </w:p>
        </w:tc>
        <w:tc>
          <w:tcPr>
            <w:tcW w:w="1800" w:type="dxa"/>
            <w:vAlign w:val="top"/>
          </w:tcPr>
          <w:p>
            <w:pPr>
              <w:spacing w:after="0"/>
            </w:pPr>
            <w:r>
              <w:rPr>
                <w:sz w:val="17"/>
                <w:szCs w:val="17"/>
              </w:rPr>
              <w:t xml:space="preserve">Spasovski G. et al., Eur J Endocrinol 2014;170(3):G1-G47</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L5-M22</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LOT_5_Appel_B_V5_Ultra_Pedagogique_Partie_2_DX.3_a_DX.5__export_GoogleDoc.html</w:t>
            </w:r>
          </w:p>
        </w:tc>
        <w:tc>
          <w:tcPr>
            <w:tcW w:w="2350" w:type="dxa"/>
            <w:vAlign w:val="top"/>
          </w:tcPr>
          <w:p>
            <w:pPr>
              <w:spacing w:after="0"/>
            </w:pPr>
            <w:r>
              <w:rPr>
                <w:sz w:val="17"/>
                <w:szCs w:val="17"/>
              </w:rPr>
              <w:t xml:space="preserve">D5.4 › point 11.B › Hyperkaliémie › insuline-glucose</w:t>
            </w:r>
          </w:p>
        </w:tc>
        <w:tc>
          <w:tcPr>
            <w:tcW w:w="2600" w:type="dxa"/>
            <w:vAlign w:val="top"/>
          </w:tcPr>
          <w:p>
            <w:pPr>
              <w:spacing w:after="0"/>
            </w:pPr>
            <w:r>
              <w:rPr>
                <w:i/>
                <w:sz w:val="17"/>
                <w:szCs w:val="17"/>
              </w:rPr>
              <w:t xml:space="preserve">« Glucose 20% (500 mL) en IV en 30-60 minutes »</w:t>
            </w:r>
          </w:p>
        </w:tc>
        <w:tc>
          <w:tcPr>
            <w:tcW w:w="3000" w:type="dxa"/>
            <w:vAlign w:val="top"/>
          </w:tcPr>
          <w:p>
            <w:pPr>
              <w:spacing w:after="40"/>
            </w:pPr>
            <w:r>
              <w:rPr>
                <w:sz w:val="17"/>
                <w:szCs w:val="17"/>
              </w:rPr>
              <w:t xml:space="preserve">La quantité de glucose (100 g) dépasse la dose habituelle de 25 g associée à 10 UI d'insuline et expose à une surcharge volémique chez l'insuffisant rénal ; la surveillance glycémique manque.</w:t>
            </w:r>
          </w:p>
          <w:p>
            <w:pPr>
              <w:spacing w:after="0"/>
            </w:pPr>
            <w:r>
              <w:rPr>
                <w:b/>
                <w:color w:val="145A32"/>
                <w:sz w:val="17"/>
                <w:szCs w:val="17"/>
              </w:rPr>
              <w:t xml:space="preserve">→ Écrire : « Actrapid® 10 UI + glucose 25 g (125 mL de G20 %) IV en 15–30 min ; glycémie capillaire à 15, 30, 60 min puis horaire pendant 6 h. »</w:t>
            </w:r>
          </w:p>
        </w:tc>
        <w:tc>
          <w:tcPr>
            <w:tcW w:w="1800" w:type="dxa"/>
            <w:vAlign w:val="top"/>
          </w:tcPr>
          <w:p>
            <w:pPr>
              <w:spacing w:after="0"/>
            </w:pPr>
            <w:r>
              <w:rPr>
                <w:sz w:val="17"/>
                <w:szCs w:val="17"/>
              </w:rPr>
              <w:t xml:space="preserve">ERC Guidelines 2021 (Lott C. et al., Resuscitation 2021), relu via synthèse secondaire (gpnotebook, hyperkaliémie)</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L5-M25</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LOT_5_Appel_B_V5_Ultra_Pedagogique_Partie_2_DX.3_a_DX.5__export_GoogleDoc.html</w:t>
            </w:r>
          </w:p>
        </w:tc>
        <w:tc>
          <w:tcPr>
            <w:tcW w:w="2350" w:type="dxa"/>
            <w:vAlign w:val="top"/>
          </w:tcPr>
          <w:p>
            <w:pPr>
              <w:spacing w:after="0"/>
            </w:pPr>
            <w:r>
              <w:rPr>
                <w:sz w:val="17"/>
                <w:szCs w:val="17"/>
              </w:rPr>
              <w:t xml:space="preserve">D5.4 › Fenêtre 3.4 › tableau › ligne Hypercalcémie</w:t>
            </w:r>
          </w:p>
        </w:tc>
        <w:tc>
          <w:tcPr>
            <w:tcW w:w="2600" w:type="dxa"/>
            <w:vAlign w:val="top"/>
          </w:tcPr>
          <w:p>
            <w:pPr>
              <w:spacing w:after="0"/>
            </w:pPr>
            <w:r>
              <w:rPr>
                <w:i/>
                <w:sz w:val="17"/>
                <w:szCs w:val="17"/>
              </w:rPr>
              <w:t xml:space="preserve">« Sévère : ≥ 3,0 mmol/L (ou ≥ 3,5 mmol/L) »</w:t>
            </w:r>
          </w:p>
        </w:tc>
        <w:tc>
          <w:tcPr>
            <w:tcW w:w="3000" w:type="dxa"/>
            <w:vAlign w:val="top"/>
          </w:tcPr>
          <w:p>
            <w:pPr>
              <w:spacing w:after="40"/>
            </w:pPr>
            <w:r>
              <w:rPr>
                <w:sz w:val="17"/>
                <w:szCs w:val="17"/>
              </w:rPr>
              <w:t xml:space="preserve">Le seuil de gravité est ambigu (deux valeurs) et la catégorie « modérée 2,65–2,99 » n'est pas sourcée.</w:t>
            </w:r>
          </w:p>
          <w:p>
            <w:pPr>
              <w:spacing w:after="0"/>
            </w:pPr>
            <w:r>
              <w:rPr>
                <w:b/>
                <w:color w:val="145A32"/>
                <w:sz w:val="17"/>
                <w:szCs w:val="17"/>
              </w:rPr>
              <w:t xml:space="preserve">→ Retenir une classification sourcée (par exemple légère &lt; 3,0 ; modérée 3,0–3,5 ; sévère &gt; 3,5 mmol/L) et citer la source.</w:t>
            </w:r>
          </w:p>
        </w:tc>
        <w:tc>
          <w:tcPr>
            <w:tcW w:w="1800" w:type="dxa"/>
            <w:vAlign w:val="top"/>
          </w:tcPr>
          <w:p>
            <w:pPr>
              <w:spacing w:after="0"/>
            </w:pPr>
            <w:r>
              <w:rPr>
                <w:sz w:val="17"/>
                <w:szCs w:val="17"/>
              </w:rPr>
              <w:t xml:space="preserve">Donnée non trouvée dans les sources consultées</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L5-M26</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LOT_5_Appel_B_V5_Ultra_Pedagogique_Partie_2_DX.3_a_DX.5__export_GoogleDoc.html</w:t>
            </w:r>
          </w:p>
        </w:tc>
        <w:tc>
          <w:tcPr>
            <w:tcW w:w="2350" w:type="dxa"/>
            <w:vAlign w:val="top"/>
          </w:tcPr>
          <w:p>
            <w:pPr>
              <w:spacing w:after="0"/>
            </w:pPr>
            <w:r>
              <w:rPr>
                <w:sz w:val="17"/>
                <w:szCs w:val="17"/>
              </w:rPr>
              <w:t xml:space="preserve">D5.4 › point 13 Points clés</w:t>
            </w:r>
          </w:p>
        </w:tc>
        <w:tc>
          <w:tcPr>
            <w:tcW w:w="2600" w:type="dxa"/>
            <w:vAlign w:val="top"/>
          </w:tcPr>
          <w:p>
            <w:pPr>
              <w:spacing w:after="0"/>
            </w:pPr>
            <w:r>
              <w:rPr>
                <w:i/>
                <w:sz w:val="17"/>
                <w:szCs w:val="17"/>
              </w:rPr>
              <w:t xml:space="preserve">« la prescription d'une réhydratation par sérum salé isotonique ($\text{NaCl } 0{,}9\%$) aggrave souvent paradoxalement l'hyponatrémie »</w:t>
            </w:r>
          </w:p>
        </w:tc>
        <w:tc>
          <w:tcPr>
            <w:tcW w:w="3000" w:type="dxa"/>
            <w:vAlign w:val="top"/>
          </w:tcPr>
          <w:p>
            <w:pPr>
              <w:spacing w:after="40"/>
            </w:pPr>
            <w:r>
              <w:rPr>
                <w:sz w:val="17"/>
                <w:szCs w:val="17"/>
              </w:rPr>
              <w:t xml:space="preserve">Le mécanisme décrit (aggravation par NaCl 0,9 %) concerne le SIADH ; l'hyponatrémie aux thiazidiques est souvent hypovolémique et peut se corriger trop vite après réhydratation, ce qui est le vrai danger.</w:t>
            </w:r>
          </w:p>
          <w:p>
            <w:pPr>
              <w:spacing w:after="0"/>
            </w:pPr>
            <w:r>
              <w:rPr>
                <w:b/>
                <w:color w:val="145A32"/>
                <w:sz w:val="17"/>
                <w:szCs w:val="17"/>
              </w:rPr>
              <w:t xml:space="preserve">→ Écrire : « Sous thiazidique, arrêter le diurétique ; une réhydratation isotonique peut corriger trop rapidement la natrémie : contrôler toutes les 4–6 h. Dans le SIADH, le NaCl 0,9 % peut aggraver l'hyponatrémie. »</w:t>
            </w:r>
          </w:p>
        </w:tc>
        <w:tc>
          <w:tcPr>
            <w:tcW w:w="1800" w:type="dxa"/>
            <w:vAlign w:val="top"/>
          </w:tcPr>
          <w:p>
            <w:pPr>
              <w:spacing w:after="0"/>
            </w:pPr>
            <w:r>
              <w:rPr>
                <w:sz w:val="17"/>
                <w:szCs w:val="17"/>
              </w:rPr>
              <w:t xml:space="preserve">Spasovski G. et al., Eur J Endocrinol 2014 (principes de correction) ; point exact : donnée non trouvée dans les sources consultées</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L5-M30</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LOT_5_Appel_B_V5_Ultra_Pedagogique_Partie_2_DX.3_a_DX.5__export_GoogleDoc.html</w:t>
            </w:r>
          </w:p>
        </w:tc>
        <w:tc>
          <w:tcPr>
            <w:tcW w:w="2350" w:type="dxa"/>
            <w:vAlign w:val="top"/>
          </w:tcPr>
          <w:p>
            <w:pPr>
              <w:spacing w:after="0"/>
            </w:pPr>
            <w:r>
              <w:rPr>
                <w:sz w:val="17"/>
                <w:szCs w:val="17"/>
              </w:rPr>
              <w:t xml:space="preserve">D5.5 › point 8 Diagnostic positif</w:t>
            </w:r>
          </w:p>
        </w:tc>
        <w:tc>
          <w:tcPr>
            <w:tcW w:w="2600" w:type="dxa"/>
            <w:vAlign w:val="top"/>
          </w:tcPr>
          <w:p>
            <w:pPr>
              <w:spacing w:after="0"/>
            </w:pPr>
            <w:r>
              <w:rPr>
                <w:i/>
                <w:sz w:val="17"/>
                <w:szCs w:val="17"/>
              </w:rPr>
              <w:t xml:space="preserve">« en dépistage précoce au cabinet, un score qSOFA »</w:t>
            </w:r>
          </w:p>
        </w:tc>
        <w:tc>
          <w:tcPr>
            <w:tcW w:w="3000" w:type="dxa"/>
            <w:vAlign w:val="top"/>
          </w:tcPr>
          <w:p>
            <w:pPr>
              <w:spacing w:after="40"/>
            </w:pPr>
            <w:r>
              <w:rPr>
                <w:sz w:val="17"/>
                <w:szCs w:val="17"/>
              </w:rPr>
              <w:t xml:space="preserve">Le qSOFA est présenté comme critère diagnostique alternatif ; il n'est ni un critère Sepsis-3 ni un outil de dépistage isolé recommandé.</w:t>
            </w:r>
          </w:p>
          <w:p>
            <w:pPr>
              <w:spacing w:after="0"/>
            </w:pPr>
            <w:r>
              <w:rPr>
                <w:b/>
                <w:color w:val="145A32"/>
                <w:sz w:val="17"/>
                <w:szCs w:val="17"/>
              </w:rPr>
              <w:t xml:space="preserve">→ Écrire : « Le qSOFA signale un risque de mauvais pronostic mais ne pose pas le diagnostic ; le NEWS2 est préféré pour le dépistage. »</w:t>
            </w:r>
          </w:p>
        </w:tc>
        <w:tc>
          <w:tcPr>
            <w:tcW w:w="1800" w:type="dxa"/>
            <w:vAlign w:val="top"/>
          </w:tcPr>
          <w:p>
            <w:pPr>
              <w:spacing w:after="0"/>
            </w:pPr>
            <w:r>
              <w:rPr>
                <w:sz w:val="17"/>
                <w:szCs w:val="17"/>
              </w:rPr>
              <w:t xml:space="preserve">Surviving Sepsis Campaign 2026 (voir L5-M07)</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L5-M32</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LOT_5_Appel_B_V5_Ultra_Pedagogique_Partie_2_DX.3_a_DX.5__export_GoogleDoc.html</w:t>
            </w:r>
          </w:p>
        </w:tc>
        <w:tc>
          <w:tcPr>
            <w:tcW w:w="2350" w:type="dxa"/>
            <w:vAlign w:val="top"/>
          </w:tcPr>
          <w:p>
            <w:pPr>
              <w:spacing w:after="0"/>
            </w:pPr>
            <w:r>
              <w:rPr>
                <w:sz w:val="17"/>
                <w:szCs w:val="17"/>
              </w:rPr>
              <w:t xml:space="preserve">D5.5 › point 11.D Recherche 2026</w:t>
            </w:r>
          </w:p>
        </w:tc>
        <w:tc>
          <w:tcPr>
            <w:tcW w:w="2600" w:type="dxa"/>
            <w:vAlign w:val="top"/>
          </w:tcPr>
          <w:p>
            <w:pPr>
              <w:spacing w:after="0"/>
            </w:pPr>
            <w:r>
              <w:rPr>
                <w:i/>
                <w:sz w:val="17"/>
                <w:szCs w:val="17"/>
              </w:rPr>
              <w:t xml:space="preserve">« par PCR multiplex (BioFire FilmArray) sur le sang total et les urines permettant d'identifier le pathogène »</w:t>
            </w:r>
          </w:p>
        </w:tc>
        <w:tc>
          <w:tcPr>
            <w:tcW w:w="3000" w:type="dxa"/>
            <w:vAlign w:val="top"/>
          </w:tcPr>
          <w:p>
            <w:pPr>
              <w:spacing w:after="40"/>
            </w:pPr>
            <w:r>
              <w:rPr>
                <w:sz w:val="17"/>
                <w:szCs w:val="17"/>
              </w:rPr>
              <w:t xml:space="preserve">Les panels BioFire d'hémoculture s'appliquent à une hémoculture positive, non au sang total ; l'affirmation d'une identification en moins d'une heure dès le prélèvement n'est pas sourcée.</w:t>
            </w:r>
          </w:p>
          <w:p>
            <w:pPr>
              <w:spacing w:after="0"/>
            </w:pPr>
            <w:r>
              <w:rPr>
                <w:b/>
                <w:color w:val="145A32"/>
                <w:sz w:val="17"/>
                <w:szCs w:val="17"/>
              </w:rPr>
              <w:t xml:space="preserve">→ Écrire « sur hémoculture positive » et citer la notice du fabricant ou une évaluation européenne datée.</w:t>
            </w:r>
          </w:p>
        </w:tc>
        <w:tc>
          <w:tcPr>
            <w:tcW w:w="1800" w:type="dxa"/>
            <w:vAlign w:val="top"/>
          </w:tcPr>
          <w:p>
            <w:pPr>
              <w:spacing w:after="0"/>
            </w:pPr>
            <w:r>
              <w:rPr>
                <w:sz w:val="17"/>
                <w:szCs w:val="17"/>
              </w:rPr>
              <w:t xml:space="preserve">Donnée non trouvée dans les sources consultées</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L5-M36</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LOT_5_Appel_B_V5_Ultra_Pedagogique_Partie_3_DX.6_a_DX.7__export_GoogleDoc.html</w:t>
            </w:r>
          </w:p>
        </w:tc>
        <w:tc>
          <w:tcPr>
            <w:tcW w:w="2350" w:type="dxa"/>
            <w:vAlign w:val="top"/>
          </w:tcPr>
          <w:p>
            <w:pPr>
              <w:spacing w:after="0"/>
            </w:pPr>
            <w:r>
              <w:rPr>
                <w:sz w:val="17"/>
                <w:szCs w:val="17"/>
              </w:rPr>
              <w:t xml:space="preserve">D5.6 › point 11.B › Antiagrégants</w:t>
            </w:r>
          </w:p>
        </w:tc>
        <w:tc>
          <w:tcPr>
            <w:tcW w:w="2600" w:type="dxa"/>
            <w:vAlign w:val="top"/>
          </w:tcPr>
          <w:p>
            <w:pPr>
              <w:spacing w:after="0"/>
            </w:pPr>
            <w:r>
              <w:rPr>
                <w:i/>
                <w:sz w:val="17"/>
                <w:szCs w:val="17"/>
              </w:rPr>
              <w:t xml:space="preserve">« (Aspirine Cardio®) 250 à 300 mg IV ou per os »</w:t>
            </w:r>
          </w:p>
        </w:tc>
        <w:tc>
          <w:tcPr>
            <w:tcW w:w="3000" w:type="dxa"/>
            <w:vAlign w:val="top"/>
          </w:tcPr>
          <w:p>
            <w:pPr>
              <w:spacing w:after="40"/>
            </w:pPr>
            <w:r>
              <w:rPr>
                <w:sz w:val="17"/>
                <w:szCs w:val="17"/>
              </w:rPr>
              <w:t xml:space="preserve">Aspirine Cardio® est une forme orale ; la voie IV relève d'une autre spécialité, et la dose IV recommandée est inférieure à la dose orale.</w:t>
            </w:r>
          </w:p>
          <w:p>
            <w:pPr>
              <w:spacing w:after="0"/>
            </w:pPr>
            <w:r>
              <w:rPr>
                <w:b/>
                <w:color w:val="145A32"/>
                <w:sz w:val="17"/>
                <w:szCs w:val="17"/>
              </w:rPr>
              <w:t xml:space="preserve">→ Écrire : « Acide acétylsalicylique 150–300 mg per os (Aspirine Cardio® 300) ou 75–250 mg IV (spécialité IV suisse à vérifier sur AIPS). »</w:t>
            </w:r>
          </w:p>
        </w:tc>
        <w:tc>
          <w:tcPr>
            <w:tcW w:w="1800" w:type="dxa"/>
            <w:vAlign w:val="top"/>
          </w:tcPr>
          <w:p>
            <w:pPr>
              <w:spacing w:after="0"/>
            </w:pPr>
            <w:r>
              <w:rPr>
                <w:sz w:val="17"/>
                <w:szCs w:val="17"/>
              </w:rPr>
              <w:t xml:space="preserve">ESC 2023 Guidelines for the management of acute coronary syndromes (doses non relues dans cette session : donnée à vérifier)</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L5-M37</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LOT_5_Appel_B_V5_Ultra_Pedagogique_Partie_3_DX.6_a_DX.7__export_GoogleDoc.html</w:t>
            </w:r>
          </w:p>
        </w:tc>
        <w:tc>
          <w:tcPr>
            <w:tcW w:w="2350" w:type="dxa"/>
            <w:vAlign w:val="top"/>
          </w:tcPr>
          <w:p>
            <w:pPr>
              <w:spacing w:after="0"/>
            </w:pPr>
            <w:r>
              <w:rPr>
                <w:sz w:val="17"/>
                <w:szCs w:val="17"/>
              </w:rPr>
              <w:t xml:space="preserve">D5.6 › Fenêtre 3.6 › tableau › ligne Équivalents ischémiques subtils</w:t>
            </w:r>
          </w:p>
        </w:tc>
        <w:tc>
          <w:tcPr>
            <w:tcW w:w="2600" w:type="dxa"/>
            <w:vAlign w:val="top"/>
          </w:tcPr>
          <w:p>
            <w:pPr>
              <w:spacing w:after="0"/>
            </w:pPr>
            <w:r>
              <w:rPr>
                <w:i/>
                <w:sz w:val="17"/>
                <w:szCs w:val="17"/>
              </w:rPr>
              <w:t xml:space="preserve">« Onde T positive symétrique »</w:t>
            </w:r>
          </w:p>
        </w:tc>
        <w:tc>
          <w:tcPr>
            <w:tcW w:w="3000" w:type="dxa"/>
            <w:vAlign w:val="top"/>
          </w:tcPr>
          <w:p>
            <w:pPr>
              <w:spacing w:after="40"/>
            </w:pPr>
            <w:r>
              <w:rPr>
                <w:sz w:val="17"/>
                <w:szCs w:val="17"/>
              </w:rPr>
              <w:t xml:space="preserve">L'onde T normale est asymétrique ; la symétrie est justement un signe d'ischémie, et le signe de de Winter associe un sous-décalage ascendant du ST à des T amples, non un sous-décalage horizontal.</w:t>
            </w:r>
          </w:p>
          <w:p>
            <w:pPr>
              <w:spacing w:after="0"/>
            </w:pPr>
            <w:r>
              <w:rPr>
                <w:b/>
                <w:color w:val="145A32"/>
                <w:sz w:val="17"/>
                <w:szCs w:val="17"/>
              </w:rPr>
              <w:t xml:space="preserve">→ Écrire « Onde T positive asymétrique » et distinguer Wellens (T négatives profondes ou biphasiques V2–V3) et de Winter (sous-décalage ascendant du point J avec T amples symétriques).</w:t>
            </w:r>
          </w:p>
        </w:tc>
        <w:tc>
          <w:tcPr>
            <w:tcW w:w="1800" w:type="dxa"/>
            <w:vAlign w:val="top"/>
          </w:tcPr>
          <w:p>
            <w:pPr>
              <w:spacing w:after="0"/>
            </w:pPr>
            <w:r>
              <w:rPr>
                <w:sz w:val="17"/>
                <w:szCs w:val="17"/>
              </w:rPr>
              <w:t xml:space="preserve">Donnée non relue dans cette session ; à sourcer (ESC 2023 SCA, sémiologie ECG)</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L5-M38</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LOT_5_Appel_B_V5_Ultra_Pedagogique_Partie_3_DX.6_a_DX.7__export_GoogleDoc.html</w:t>
            </w:r>
          </w:p>
        </w:tc>
        <w:tc>
          <w:tcPr>
            <w:tcW w:w="2350" w:type="dxa"/>
            <w:vAlign w:val="top"/>
          </w:tcPr>
          <w:p>
            <w:pPr>
              <w:spacing w:after="0"/>
            </w:pPr>
            <w:r>
              <w:rPr>
                <w:sz w:val="17"/>
                <w:szCs w:val="17"/>
              </w:rPr>
              <w:t xml:space="preserve">D5.6 › point 2 Épidémiologie</w:t>
            </w:r>
          </w:p>
        </w:tc>
        <w:tc>
          <w:tcPr>
            <w:tcW w:w="2600" w:type="dxa"/>
            <w:vAlign w:val="top"/>
          </w:tcPr>
          <w:p>
            <w:pPr>
              <w:spacing w:after="0"/>
            </w:pPr>
            <w:r>
              <w:rPr>
                <w:i/>
                <w:sz w:val="17"/>
                <w:szCs w:val="17"/>
              </w:rPr>
              <w:t xml:space="preserve">« près de 20 à 30 % de l'ensemble des infarctus du myocarde aigus se manifestent de manière atypique »</w:t>
            </w:r>
          </w:p>
        </w:tc>
        <w:tc>
          <w:tcPr>
            <w:tcW w:w="3000" w:type="dxa"/>
            <w:vAlign w:val="top"/>
          </w:tcPr>
          <w:p>
            <w:pPr>
              <w:spacing w:after="40"/>
            </w:pPr>
            <w:r>
              <w:rPr>
                <w:sz w:val="17"/>
                <w:szCs w:val="17"/>
              </w:rPr>
              <w:t xml:space="preserve">Les proportions 20–30 % et &gt; 45 % sont attribuées à des registres SSC/ESC non identifiés ; le point 13 avance un autre chiffre (40–50 %).</w:t>
            </w:r>
          </w:p>
          <w:p>
            <w:pPr>
              <w:spacing w:after="0"/>
            </w:pPr>
            <w:r>
              <w:rPr>
                <w:b/>
                <w:color w:val="145A32"/>
                <w:sz w:val="17"/>
                <w:szCs w:val="17"/>
              </w:rPr>
              <w:t xml:space="preserve">→ Citer le registre exact (par exemple AMIS Plus) avec année et URL, harmoniser les chiffres, ou écrire « donnée non trouvée ».</w:t>
            </w:r>
          </w:p>
        </w:tc>
        <w:tc>
          <w:tcPr>
            <w:tcW w:w="1800" w:type="dxa"/>
            <w:vAlign w:val="top"/>
          </w:tcPr>
          <w:p>
            <w:pPr>
              <w:spacing w:after="0"/>
            </w:pPr>
            <w:r>
              <w:rPr>
                <w:sz w:val="17"/>
                <w:szCs w:val="17"/>
              </w:rPr>
              <w:t xml:space="preserve">Donnée non trouvée dans les sources consultées</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L5-M39</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LOT_5_Appel_B_V5_Ultra_Pedagogique_Partie_3_DX.6_a_DX.7__export_GoogleDoc.html</w:t>
            </w:r>
          </w:p>
        </w:tc>
        <w:tc>
          <w:tcPr>
            <w:tcW w:w="2350" w:type="dxa"/>
            <w:vAlign w:val="top"/>
          </w:tcPr>
          <w:p>
            <w:pPr>
              <w:spacing w:after="0"/>
            </w:pPr>
            <w:r>
              <w:rPr>
                <w:sz w:val="17"/>
                <w:szCs w:val="17"/>
              </w:rPr>
              <w:t xml:space="preserve">D5.7 › point 11.D Recherche 2026</w:t>
            </w:r>
          </w:p>
        </w:tc>
        <w:tc>
          <w:tcPr>
            <w:tcW w:w="2600" w:type="dxa"/>
            <w:vAlign w:val="top"/>
          </w:tcPr>
          <w:p>
            <w:pPr>
              <w:spacing w:after="0"/>
            </w:pPr>
            <w:r>
              <w:rPr>
                <w:i/>
                <w:sz w:val="17"/>
                <w:szCs w:val="17"/>
              </w:rPr>
              <w:t xml:space="preserve">« permet un sevrage stéroïdien complet chez plus de 70 % des patients atteints d'artérite de Horton »</w:t>
            </w:r>
          </w:p>
        </w:tc>
        <w:tc>
          <w:tcPr>
            <w:tcW w:w="3000" w:type="dxa"/>
            <w:vAlign w:val="top"/>
          </w:tcPr>
          <w:p>
            <w:pPr>
              <w:spacing w:after="40"/>
            </w:pPr>
            <w:r>
              <w:rPr>
                <w:sz w:val="17"/>
                <w:szCs w:val="17"/>
              </w:rPr>
              <w:t xml:space="preserve">Le chiffre de 70 % n'est pas sourcé et dépasse les résultats de l'essai pivot du tocilizumab (rémission soutenue chez environ un patient sur deux).</w:t>
            </w:r>
          </w:p>
          <w:p>
            <w:pPr>
              <w:spacing w:after="0"/>
            </w:pPr>
            <w:r>
              <w:rPr>
                <w:b/>
                <w:color w:val="145A32"/>
                <w:sz w:val="17"/>
                <w:szCs w:val="17"/>
              </w:rPr>
              <w:t xml:space="preserve">→ Citer l'essai GiACTA (Stone JH et al., NEJM 2017) avec ses chiffres exacts, ou supprimer le pourcentage.</w:t>
            </w:r>
          </w:p>
        </w:tc>
        <w:tc>
          <w:tcPr>
            <w:tcW w:w="1800" w:type="dxa"/>
            <w:vAlign w:val="top"/>
          </w:tcPr>
          <w:p>
            <w:pPr>
              <w:spacing w:after="0"/>
            </w:pPr>
            <w:r>
              <w:rPr>
                <w:sz w:val="17"/>
                <w:szCs w:val="17"/>
              </w:rPr>
              <w:t xml:space="preserve">Donnée non trouvée dans les sources consultées</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L5-M40</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LOT_5_Appel_B_V5_Ultra_Pedagogique_Partie_3_DX.6_a_DX.7__export_GoogleDoc.html</w:t>
            </w:r>
          </w:p>
        </w:tc>
        <w:tc>
          <w:tcPr>
            <w:tcW w:w="2350" w:type="dxa"/>
            <w:vAlign w:val="top"/>
          </w:tcPr>
          <w:p>
            <w:pPr>
              <w:spacing w:after="0"/>
            </w:pPr>
            <w:r>
              <w:rPr>
                <w:sz w:val="17"/>
                <w:szCs w:val="17"/>
              </w:rPr>
              <w:t xml:space="preserve">D5.7 › point 11.B › Moyens non médicamenteux</w:t>
            </w:r>
          </w:p>
        </w:tc>
        <w:tc>
          <w:tcPr>
            <w:tcW w:w="2600" w:type="dxa"/>
            <w:vAlign w:val="top"/>
          </w:tcPr>
          <w:p>
            <w:pPr>
              <w:spacing w:after="0"/>
            </w:pPr>
            <w:r>
              <w:rPr>
                <w:i/>
                <w:sz w:val="17"/>
                <w:szCs w:val="17"/>
              </w:rPr>
              <w:t xml:space="preserve">« Protection gastrique par IPP (Oméprazole Mepram®) »</w:t>
            </w:r>
          </w:p>
        </w:tc>
        <w:tc>
          <w:tcPr>
            <w:tcW w:w="3000" w:type="dxa"/>
            <w:vAlign w:val="top"/>
          </w:tcPr>
          <w:p>
            <w:pPr>
              <w:spacing w:after="40"/>
            </w:pPr>
            <w:r>
              <w:rPr>
                <w:sz w:val="17"/>
                <w:szCs w:val="17"/>
              </w:rPr>
              <w:t xml:space="preserve">La spécialité Mepram® n'a pas été retrouvée comme oméprazole autorisé en Suisse, et l'IPP systématique sous corticoïde seul n'est pas une recommandation établie.</w:t>
            </w:r>
          </w:p>
          <w:p>
            <w:pPr>
              <w:spacing w:after="0"/>
            </w:pPr>
            <w:r>
              <w:rPr>
                <w:b/>
                <w:color w:val="145A32"/>
                <w:sz w:val="17"/>
                <w:szCs w:val="17"/>
              </w:rPr>
              <w:t xml:space="preserve">→ Vérifier sur AIPS ; citer une spécialité suisse existante et limiter l'IPP aux patients à risque digestif (AINS, antiagrégant, antécédent ulcéreux).</w:t>
            </w:r>
          </w:p>
        </w:tc>
        <w:tc>
          <w:tcPr>
            <w:tcW w:w="1800" w:type="dxa"/>
            <w:vAlign w:val="top"/>
          </w:tcPr>
          <w:p>
            <w:pPr>
              <w:spacing w:after="0"/>
            </w:pPr>
            <w:r>
              <w:rPr>
                <w:sz w:val="17"/>
                <w:szCs w:val="17"/>
              </w:rPr>
              <w:t xml:space="preserve">Donnée non trouvée dans les sources consultées ; PROMPT_V6.md (prompt de base du chantier PROFILES), § 3.3</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L5-M43</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LOT_5_Appel_B_V5_Ultra_Pedagogique_Partie_4_DX.8_a_DX.10__export_GoogleDoc__v2.html</w:t>
            </w:r>
          </w:p>
        </w:tc>
        <w:tc>
          <w:tcPr>
            <w:tcW w:w="2350" w:type="dxa"/>
            <w:vAlign w:val="top"/>
          </w:tcPr>
          <w:p>
            <w:pPr>
              <w:spacing w:after="0"/>
            </w:pPr>
            <w:r>
              <w:rPr>
                <w:sz w:val="17"/>
                <w:szCs w:val="17"/>
              </w:rPr>
              <w:t xml:space="preserve">D5.8 › Fenêtre 3.8 › seuils 4AT</w:t>
            </w:r>
          </w:p>
        </w:tc>
        <w:tc>
          <w:tcPr>
            <w:tcW w:w="2600" w:type="dxa"/>
            <w:vAlign w:val="top"/>
          </w:tcPr>
          <w:p>
            <w:pPr>
              <w:spacing w:after="0"/>
            </w:pPr>
            <w:r>
              <w:rPr>
                <w:i/>
                <w:sz w:val="17"/>
                <w:szCs w:val="17"/>
              </w:rPr>
              <w:t xml:space="preserve">« ≥ 4 pts : Delirium probable / Confusion aiguë avérée. »</w:t>
            </w:r>
          </w:p>
        </w:tc>
        <w:tc>
          <w:tcPr>
            <w:tcW w:w="3000" w:type="dxa"/>
            <w:vAlign w:val="top"/>
          </w:tcPr>
          <w:p>
            <w:pPr>
              <w:spacing w:after="40"/>
            </w:pPr>
            <w:r>
              <w:rPr>
                <w:sz w:val="17"/>
                <w:szCs w:val="17"/>
              </w:rPr>
              <w:t xml:space="preserve">Le 4AT est un outil de repérage : un score ≥ 4 suggère un delirium possible et ne vaut pas diagnostic.</w:t>
            </w:r>
          </w:p>
          <w:p>
            <w:pPr>
              <w:spacing w:after="0"/>
            </w:pPr>
            <w:r>
              <w:rPr>
                <w:b/>
                <w:color w:val="145A32"/>
                <w:sz w:val="17"/>
                <w:szCs w:val="17"/>
              </w:rPr>
              <w:t xml:space="preserve">→ Écrire « ≥ 4 points : delirium possible (± trouble cognitif) ; le diagnostic reste clinique. »</w:t>
            </w:r>
          </w:p>
        </w:tc>
        <w:tc>
          <w:tcPr>
            <w:tcW w:w="1800" w:type="dxa"/>
            <w:vAlign w:val="top"/>
          </w:tcPr>
          <w:p>
            <w:pPr>
              <w:spacing w:after="0"/>
            </w:pPr>
            <w:r>
              <w:rPr>
                <w:sz w:val="17"/>
                <w:szCs w:val="17"/>
              </w:rPr>
              <w:t xml:space="preserve">4AT — FAQ officielle, https://www.the4at.com/4at-faq, consulté le 22.10.2026</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L5-M46</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LOT_5_Appel_B_V5_Ultra_Pedagogique_Partie_4_DX.8_a_DX.10__export_GoogleDoc__v2.html</w:t>
            </w:r>
          </w:p>
        </w:tc>
        <w:tc>
          <w:tcPr>
            <w:tcW w:w="2350" w:type="dxa"/>
            <w:vAlign w:val="top"/>
          </w:tcPr>
          <w:p>
            <w:pPr>
              <w:spacing w:after="0"/>
            </w:pPr>
            <w:r>
              <w:rPr>
                <w:sz w:val="17"/>
                <w:szCs w:val="17"/>
              </w:rPr>
              <w:t xml:space="preserve">D5.9 › point 11.B.1 › Streptocoques sensibles</w:t>
            </w:r>
          </w:p>
        </w:tc>
        <w:tc>
          <w:tcPr>
            <w:tcW w:w="2600" w:type="dxa"/>
            <w:vAlign w:val="top"/>
          </w:tcPr>
          <w:p>
            <w:pPr>
              <w:spacing w:after="0"/>
            </w:pPr>
            <w:r>
              <w:rPr>
                <w:i/>
                <w:sz w:val="17"/>
                <w:szCs w:val="17"/>
              </w:rPr>
              <w:t xml:space="preserve">« associée à la Gentamicine (3 mg/kg/j en 1 injection) pendant les 2 premières semaines, puis monothérapie »</w:t>
            </w:r>
          </w:p>
        </w:tc>
        <w:tc>
          <w:tcPr>
            <w:tcW w:w="3000" w:type="dxa"/>
            <w:vAlign w:val="top"/>
          </w:tcPr>
          <w:p>
            <w:pPr>
              <w:spacing w:after="40"/>
            </w:pPr>
            <w:r>
              <w:rPr>
                <w:sz w:val="17"/>
                <w:szCs w:val="17"/>
              </w:rPr>
              <w:t xml:space="preserve">Le schéma mélange deux options ESC : 4 semaines de pénicilline G ou de ceftriaxone en monothérapie, ou 2 semaines de bithérapie avec gentamicine réservées à l'endocardite sur valve native non compliquée.</w:t>
            </w:r>
          </w:p>
          <w:p>
            <w:pPr>
              <w:spacing w:after="0"/>
            </w:pPr>
            <w:r>
              <w:rPr>
                <w:b/>
                <w:color w:val="145A32"/>
                <w:sz w:val="17"/>
                <w:szCs w:val="17"/>
              </w:rPr>
              <w:t xml:space="preserve">→ Présenter les deux options distinctes avec leurs indications et rappeler le suivi de la fonction rénale sous gentamicine.</w:t>
            </w:r>
          </w:p>
        </w:tc>
        <w:tc>
          <w:tcPr>
            <w:tcW w:w="1800" w:type="dxa"/>
            <w:vAlign w:val="top"/>
          </w:tcPr>
          <w:p>
            <w:pPr>
              <w:spacing w:after="0"/>
            </w:pPr>
            <w:r>
              <w:rPr>
                <w:sz w:val="17"/>
                <w:szCs w:val="17"/>
              </w:rPr>
              <w:t xml:space="preserve">ESC 2023 Guidelines for the management of endocarditis, Eur Heart J 2023;44:3948-4042</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L5-M47</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LOT_5_Appel_B_V5_Ultra_Pedagogique_Partie_4_DX.8_a_DX.10__export_GoogleDoc__v2.html</w:t>
            </w:r>
          </w:p>
        </w:tc>
        <w:tc>
          <w:tcPr>
            <w:tcW w:w="2350" w:type="dxa"/>
            <w:vAlign w:val="top"/>
          </w:tcPr>
          <w:p>
            <w:pPr>
              <w:spacing w:after="0"/>
            </w:pPr>
            <w:r>
              <w:rPr>
                <w:sz w:val="17"/>
                <w:szCs w:val="17"/>
              </w:rPr>
              <w:t xml:space="preserve">D5.9 › Fenêtre 3.9 › titre</w:t>
            </w:r>
          </w:p>
        </w:tc>
        <w:tc>
          <w:tcPr>
            <w:tcW w:w="2600" w:type="dxa"/>
            <w:vAlign w:val="top"/>
          </w:tcPr>
          <w:p>
            <w:pPr>
              <w:spacing w:after="0"/>
            </w:pPr>
            <w:r>
              <w:rPr>
                <w:i/>
                <w:sz w:val="17"/>
                <w:szCs w:val="17"/>
              </w:rPr>
              <w:t xml:space="preserve">« Scores Pronostiques d'Eichhorn »</w:t>
            </w:r>
          </w:p>
        </w:tc>
        <w:tc>
          <w:tcPr>
            <w:tcW w:w="3000" w:type="dxa"/>
            <w:vAlign w:val="top"/>
          </w:tcPr>
          <w:p>
            <w:pPr>
              <w:spacing w:after="40"/>
            </w:pPr>
            <w:r>
              <w:rPr>
                <w:sz w:val="17"/>
                <w:szCs w:val="17"/>
              </w:rPr>
              <w:t xml:space="preserve">Les « scores pronostiques d'Eichhorn » ne sont décrits nulle part dans la fenêtre et n'ont pas été retrouvés ; le titre annonce un contenu absent ou inventé.</w:t>
            </w:r>
          </w:p>
          <w:p>
            <w:pPr>
              <w:spacing w:after="0"/>
            </w:pPr>
            <w:r>
              <w:rPr>
                <w:b/>
                <w:color w:val="145A32"/>
                <w:sz w:val="17"/>
                <w:szCs w:val="17"/>
              </w:rPr>
              <w:t xml:space="preserve">→ Supprimer la mention ou la remplacer par un score pronostique sourcé et réellement développé.</w:t>
            </w:r>
          </w:p>
        </w:tc>
        <w:tc>
          <w:tcPr>
            <w:tcW w:w="1800" w:type="dxa"/>
            <w:vAlign w:val="top"/>
          </w:tcPr>
          <w:p>
            <w:pPr>
              <w:spacing w:after="0"/>
            </w:pPr>
            <w:r>
              <w:rPr>
                <w:sz w:val="17"/>
                <w:szCs w:val="17"/>
              </w:rPr>
              <w:t xml:space="preserve">Donnée non trouvée dans les sources consultées ; PROMPT_V6.md (prompt de base du chantier PROFILES), § 14</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L5-M49</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LOT_5_Appel_B_V5_Ultra_Pedagogique_Partie_4_DX.8_a_DX.10__export_GoogleDoc__v2.html</w:t>
            </w:r>
          </w:p>
        </w:tc>
        <w:tc>
          <w:tcPr>
            <w:tcW w:w="2350" w:type="dxa"/>
            <w:vAlign w:val="top"/>
          </w:tcPr>
          <w:p>
            <w:pPr>
              <w:spacing w:after="0"/>
            </w:pPr>
            <w:r>
              <w:rPr>
                <w:sz w:val="17"/>
                <w:szCs w:val="17"/>
              </w:rPr>
              <w:t xml:space="preserve">D5.10 › point 2 Épidémiologie</w:t>
            </w:r>
          </w:p>
        </w:tc>
        <w:tc>
          <w:tcPr>
            <w:tcW w:w="2600" w:type="dxa"/>
            <w:vAlign w:val="top"/>
          </w:tcPr>
          <w:p>
            <w:pPr>
              <w:spacing w:after="0"/>
            </w:pPr>
            <w:r>
              <w:rPr>
                <w:i/>
                <w:sz w:val="17"/>
                <w:szCs w:val="17"/>
              </w:rPr>
              <w:t xml:space="preserve">« entre 300 et 400 appels pour exposition au monoxyde de carbone »</w:t>
            </w:r>
          </w:p>
        </w:tc>
        <w:tc>
          <w:tcPr>
            <w:tcW w:w="3000" w:type="dxa"/>
            <w:vAlign w:val="top"/>
          </w:tcPr>
          <w:p>
            <w:pPr>
              <w:spacing w:after="40"/>
            </w:pPr>
            <w:r>
              <w:rPr>
                <w:sz w:val="17"/>
                <w:szCs w:val="17"/>
              </w:rPr>
              <w:t xml:space="preserve">Les chiffres sont incohérents (plus d'intoxications symptomatiques que d'appels) et ne citent aucun rapport annuel de Tox Info Suisse.</w:t>
            </w:r>
          </w:p>
          <w:p>
            <w:pPr>
              <w:spacing w:after="0"/>
            </w:pPr>
            <w:r>
              <w:rPr>
                <w:b/>
                <w:color w:val="145A32"/>
                <w:sz w:val="17"/>
                <w:szCs w:val="17"/>
              </w:rPr>
              <w:t xml:space="preserve">→ Reprendre les chiffres du rapport annuel de Tox Info Suisse (année, tableau, URL) ou écrire « donnée non trouvée ».</w:t>
            </w:r>
          </w:p>
        </w:tc>
        <w:tc>
          <w:tcPr>
            <w:tcW w:w="1800" w:type="dxa"/>
            <w:vAlign w:val="top"/>
          </w:tcPr>
          <w:p>
            <w:pPr>
              <w:spacing w:after="0"/>
            </w:pPr>
            <w:r>
              <w:rPr>
                <w:sz w:val="17"/>
                <w:szCs w:val="17"/>
              </w:rPr>
              <w:t xml:space="preserve">Tox Info Suisse, rapports annuels 2023 et 2024 (www.toxinfo.ch) — chiffres CO non trouvés dans les sources consultées</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L5-M50</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LOT_5_Appel_B_V5_Ultra_Pedagogique_Partie_4_DX.8_a_DX.10__export_GoogleDoc__v2.html</w:t>
            </w:r>
          </w:p>
        </w:tc>
        <w:tc>
          <w:tcPr>
            <w:tcW w:w="2350" w:type="dxa"/>
            <w:vAlign w:val="top"/>
          </w:tcPr>
          <w:p>
            <w:pPr>
              <w:spacing w:after="0"/>
            </w:pPr>
            <w:r>
              <w:rPr>
                <w:sz w:val="17"/>
                <w:szCs w:val="17"/>
              </w:rPr>
              <w:t xml:space="preserve">D5.10 › point 12 Prévention</w:t>
            </w:r>
          </w:p>
        </w:tc>
        <w:tc>
          <w:tcPr>
            <w:tcW w:w="2600" w:type="dxa"/>
            <w:vAlign w:val="top"/>
          </w:tcPr>
          <w:p>
            <w:pPr>
              <w:spacing w:after="0"/>
            </w:pPr>
            <w:r>
              <w:rPr>
                <w:i/>
                <w:sz w:val="17"/>
                <w:szCs w:val="17"/>
              </w:rPr>
              <w:t xml:space="preserve">« Installation obligatoire et maintenance annuelle des détecteurs autonomes de monoxyde de carbone »</w:t>
            </w:r>
          </w:p>
        </w:tc>
        <w:tc>
          <w:tcPr>
            <w:tcW w:w="3000" w:type="dxa"/>
            <w:vAlign w:val="top"/>
          </w:tcPr>
          <w:p>
            <w:pPr>
              <w:spacing w:after="40"/>
            </w:pPr>
            <w:r>
              <w:rPr>
                <w:sz w:val="17"/>
                <w:szCs w:val="17"/>
              </w:rPr>
              <w:t xml:space="preserve">Aucune base légale suisse imposant l'installation de détecteurs de CO n'est citée ; le terme « obligatoire » n'est pas sourcé.</w:t>
            </w:r>
          </w:p>
          <w:p>
            <w:pPr>
              <w:spacing w:after="0"/>
            </w:pPr>
            <w:r>
              <w:rPr>
                <w:b/>
                <w:color w:val="145A32"/>
                <w:sz w:val="17"/>
                <w:szCs w:val="17"/>
              </w:rPr>
              <w:t xml:space="preserve">→ Écrire « Installation recommandée de détecteurs de CO conformes à EN 50291 » sauf disposition cantonale citée.</w:t>
            </w:r>
          </w:p>
        </w:tc>
        <w:tc>
          <w:tcPr>
            <w:tcW w:w="1800" w:type="dxa"/>
            <w:vAlign w:val="top"/>
          </w:tcPr>
          <w:p>
            <w:pPr>
              <w:spacing w:after="0"/>
            </w:pPr>
            <w:r>
              <w:rPr>
                <w:sz w:val="17"/>
                <w:szCs w:val="17"/>
              </w:rPr>
              <w:t xml:space="preserve">Donnée non trouvée dans les sources consultées (Fedlex)</w:t>
            </w:r>
          </w:p>
        </w:tc>
      </w:tr>
    </w:tbl>
    <w:p>
      <w:pPr>
        <w:spacing w:after="120"/>
      </w:pPr>
    </w:p>
    <w:p>
      <w:pPr>
        <w:pStyle w:val="Titre1"/>
        <w:keepNext/>
      </w:pPr>
      <w:r>
        <w:rPr>
          <w:b/>
          <w:color w:val="1F618D"/>
          <w:sz w:val="26"/>
          <w:szCs w:val="26"/>
        </w:rPr>
        <w:t xml:space="preserve">Léger — 32 problème(s)</w:t>
      </w:r>
    </w:p>
    <w:tbl>
      <w:tblPr>
        <w:tblW w:w="144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600"/>
        <w:gridCol w:w="900"/>
        <w:gridCol w:w="1250"/>
        <w:gridCol w:w="1900"/>
        <w:gridCol w:w="2350"/>
        <w:gridCol w:w="2600"/>
        <w:gridCol w:w="3000"/>
        <w:gridCol w:w="1800"/>
      </w:tblGrid>
      <w:tr>
        <w:trPr>
          <w:tblHeader/>
          <w:cantSplit/>
        </w:trPr>
        <w:tc>
          <w:tcPr>
            <w:tcW w:w="600" w:type="dxa"/>
            <w:shd w:val="clear" w:color="auto" w:fill="1F618D"/>
            <w:vAlign w:val="top"/>
          </w:tcPr>
          <w:p>
            <w:pPr>
              <w:spacing w:after="0"/>
            </w:pPr>
            <w:r>
              <w:rPr>
                <w:b/>
                <w:color w:val="FFFFFF"/>
                <w:sz w:val="17"/>
                <w:szCs w:val="17"/>
              </w:rPr>
              <w:t xml:space="preserve">Fait</w:t>
            </w:r>
          </w:p>
        </w:tc>
        <w:tc>
          <w:tcPr>
            <w:tcW w:w="900" w:type="dxa"/>
            <w:shd w:val="clear" w:color="auto" w:fill="1F618D"/>
            <w:vAlign w:val="top"/>
          </w:tcPr>
          <w:p>
            <w:pPr>
              <w:spacing w:after="0"/>
            </w:pPr>
            <w:r>
              <w:rPr>
                <w:b/>
                <w:color w:val="FFFFFF"/>
                <w:sz w:val="17"/>
                <w:szCs w:val="17"/>
              </w:rPr>
              <w:t xml:space="preserve">N°</w:t>
            </w:r>
          </w:p>
        </w:tc>
        <w:tc>
          <w:tcPr>
            <w:tcW w:w="1250" w:type="dxa"/>
            <w:shd w:val="clear" w:color="auto" w:fill="1F618D"/>
            <w:vAlign w:val="top"/>
          </w:tcPr>
          <w:p>
            <w:pPr>
              <w:spacing w:after="0"/>
            </w:pPr>
            <w:r>
              <w:rPr>
                <w:b/>
                <w:color w:val="FFFFFF"/>
                <w:sz w:val="17"/>
                <w:szCs w:val="17"/>
              </w:rPr>
              <w:t xml:space="preserve">Domaine</w:t>
            </w:r>
          </w:p>
        </w:tc>
        <w:tc>
          <w:tcPr>
            <w:tcW w:w="1900" w:type="dxa"/>
            <w:shd w:val="clear" w:color="auto" w:fill="1F618D"/>
            <w:vAlign w:val="top"/>
          </w:tcPr>
          <w:p>
            <w:pPr>
              <w:spacing w:after="0"/>
            </w:pPr>
            <w:r>
              <w:rPr>
                <w:b/>
                <w:color w:val="FFFFFF"/>
                <w:sz w:val="17"/>
                <w:szCs w:val="17"/>
              </w:rPr>
              <w:t xml:space="preserve">Fichier</w:t>
            </w:r>
          </w:p>
        </w:tc>
        <w:tc>
          <w:tcPr>
            <w:tcW w:w="2350" w:type="dxa"/>
            <w:shd w:val="clear" w:color="auto" w:fill="1F618D"/>
            <w:vAlign w:val="top"/>
          </w:tcPr>
          <w:p>
            <w:pPr>
              <w:spacing w:after="0"/>
            </w:pPr>
            <w:r>
              <w:rPr>
                <w:b/>
                <w:color w:val="FFFFFF"/>
                <w:sz w:val="17"/>
                <w:szCs w:val="17"/>
              </w:rPr>
              <w:t xml:space="preserve">Emplacement</w:t>
            </w:r>
          </w:p>
        </w:tc>
        <w:tc>
          <w:tcPr>
            <w:tcW w:w="2600" w:type="dxa"/>
            <w:shd w:val="clear" w:color="auto" w:fill="1F618D"/>
            <w:vAlign w:val="top"/>
          </w:tcPr>
          <w:p>
            <w:pPr>
              <w:spacing w:after="0"/>
            </w:pPr>
            <w:r>
              <w:rPr>
                <w:b/>
                <w:color w:val="FFFFFF"/>
                <w:sz w:val="17"/>
                <w:szCs w:val="17"/>
              </w:rPr>
              <w:t xml:space="preserve">Extrait exact</w:t>
            </w:r>
          </w:p>
        </w:tc>
        <w:tc>
          <w:tcPr>
            <w:tcW w:w="3000" w:type="dxa"/>
            <w:shd w:val="clear" w:color="auto" w:fill="1F618D"/>
            <w:vAlign w:val="top"/>
          </w:tcPr>
          <w:p>
            <w:pPr>
              <w:spacing w:after="0"/>
            </w:pPr>
            <w:r>
              <w:rPr>
                <w:b/>
                <w:color w:val="FFFFFF"/>
                <w:sz w:val="17"/>
                <w:szCs w:val="17"/>
              </w:rPr>
              <w:t xml:space="preserve">Problème → correction</w:t>
            </w:r>
          </w:p>
        </w:tc>
        <w:tc>
          <w:tcPr>
            <w:tcW w:w="1800" w:type="dxa"/>
            <w:shd w:val="clear" w:color="auto" w:fill="1F618D"/>
            <w:vAlign w:val="top"/>
          </w:tcPr>
          <w:p>
            <w:pPr>
              <w:spacing w:after="0"/>
            </w:pPr>
            <w:r>
              <w:rPr>
                <w:b/>
                <w:color w:val="FFFFFF"/>
                <w:sz w:val="17"/>
                <w:szCs w:val="17"/>
              </w:rPr>
              <w:t xml:space="preserve">Source</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EBF5FB"/>
            <w:vAlign w:val="top"/>
          </w:tcPr>
          <w:p>
            <w:pPr>
              <w:spacing w:after="0"/>
            </w:pPr>
            <w:r>
              <w:rPr>
                <w:sz w:val="17"/>
                <w:szCs w:val="17"/>
              </w:rPr>
              <w:t xml:space="preserve">L5-L109</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LOT_5_Appel_B_V5_Ultra_Pedagogique_Partie_4_DX.8_a_DX.10__export_GoogleDoc__v2.html</w:t>
            </w:r>
          </w:p>
        </w:tc>
        <w:tc>
          <w:tcPr>
            <w:tcW w:w="2350" w:type="dxa"/>
            <w:vAlign w:val="top"/>
          </w:tcPr>
          <w:p>
            <w:pPr>
              <w:spacing w:after="0"/>
            </w:pPr>
            <w:r>
              <w:rPr>
                <w:sz w:val="17"/>
                <w:szCs w:val="17"/>
              </w:rPr>
              <w:t xml:space="preserve">D5.10 › 11.C Surveillance › Radiologique</w:t>
            </w:r>
          </w:p>
        </w:tc>
        <w:tc>
          <w:tcPr>
            <w:tcW w:w="2600" w:type="dxa"/>
            <w:vAlign w:val="top"/>
          </w:tcPr>
          <w:p>
            <w:pPr>
              <w:spacing w:after="0"/>
            </w:pPr>
            <w:r>
              <w:rPr>
                <w:i/>
                <w:sz w:val="17"/>
                <w:szCs w:val="17"/>
              </w:rPr>
              <w:t xml:space="preserve">« Radiologique : ECG de contrôle »</w:t>
            </w:r>
          </w:p>
        </w:tc>
        <w:tc>
          <w:tcPr>
            <w:tcW w:w="3000" w:type="dxa"/>
            <w:vAlign w:val="top"/>
          </w:tcPr>
          <w:p>
            <w:pPr>
              <w:spacing w:after="40"/>
            </w:pPr>
            <w:r>
              <w:rPr>
                <w:sz w:val="17"/>
                <w:szCs w:val="17"/>
              </w:rPr>
              <w:t xml:space="preserve">L'ECG n'est pas un examen radiologique.</w:t>
            </w:r>
          </w:p>
          <w:p>
            <w:pPr>
              <w:spacing w:after="0"/>
            </w:pPr>
            <w:r>
              <w:rPr>
                <w:b/>
                <w:color w:val="145A32"/>
                <w:sz w:val="17"/>
                <w:szCs w:val="17"/>
              </w:rPr>
              <w:t xml:space="preserve">→ Déplacer l'ECG dans la surveillance clinique ou paraclinique et écrire « Radiologique : IRM cérébrale si troubles neurocognitifs persistants ».</w:t>
            </w:r>
          </w:p>
        </w:tc>
        <w:tc>
          <w:tcPr>
            <w:tcW w:w="1800" w:type="dxa"/>
            <w:vAlign w:val="top"/>
          </w:tcPr>
          <w:p>
            <w:pPr>
              <w:spacing w:after="0"/>
            </w:pPr>
            <w:r>
              <w:rPr>
                <w:sz w:val="17"/>
                <w:szCs w:val="17"/>
              </w:rPr>
              <w:t xml:space="preserve">PROMPT_V6 (Standard V6, prompt de base du lot) § 5.11.C</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EBF5FB"/>
            <w:vAlign w:val="top"/>
          </w:tcPr>
          <w:p>
            <w:pPr>
              <w:spacing w:after="0"/>
            </w:pPr>
            <w:r>
              <w:rPr>
                <w:sz w:val="17"/>
                <w:szCs w:val="17"/>
              </w:rPr>
              <w:t xml:space="preserve">L5-L110</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LOT_5_Appel_B_V5_Ultra_Pedagogique_Partie_4_DX.8_a_DX.10__export_GoogleDoc__v2.html</w:t>
            </w:r>
          </w:p>
        </w:tc>
        <w:tc>
          <w:tcPr>
            <w:tcW w:w="2350" w:type="dxa"/>
            <w:vAlign w:val="top"/>
          </w:tcPr>
          <w:p>
            <w:pPr>
              <w:spacing w:after="0"/>
            </w:pPr>
            <w:r>
              <w:rPr>
                <w:sz w:val="17"/>
                <w:szCs w:val="17"/>
              </w:rPr>
              <w:t xml:space="preserve">D5.9 › Fenêtre 3.9 › tableau › ligne Imagerie endocardique</w:t>
            </w:r>
          </w:p>
        </w:tc>
        <w:tc>
          <w:tcPr>
            <w:tcW w:w="2600" w:type="dxa"/>
            <w:vAlign w:val="top"/>
          </w:tcPr>
          <w:p>
            <w:pPr>
              <w:spacing w:after="0"/>
            </w:pPr>
            <w:r>
              <w:rPr>
                <w:i/>
                <w:sz w:val="17"/>
                <w:szCs w:val="17"/>
              </w:rPr>
              <w:t xml:space="preserve">« abcès annulaire ou fausse route prothétique »</w:t>
            </w:r>
          </w:p>
        </w:tc>
        <w:tc>
          <w:tcPr>
            <w:tcW w:w="3000" w:type="dxa"/>
            <w:vAlign w:val="top"/>
          </w:tcPr>
          <w:p>
            <w:pPr>
              <w:spacing w:after="40"/>
            </w:pPr>
            <w:r>
              <w:rPr>
                <w:sz w:val="17"/>
                <w:szCs w:val="17"/>
              </w:rPr>
              <w:t xml:space="preserve">« Fausse route » désigne une inhalation et non une complication de prothèse valvulaire.</w:t>
            </w:r>
          </w:p>
          <w:p>
            <w:pPr>
              <w:spacing w:after="0"/>
            </w:pPr>
            <w:r>
              <w:rPr>
                <w:b/>
                <w:color w:val="145A32"/>
                <w:sz w:val="17"/>
                <w:szCs w:val="17"/>
              </w:rPr>
              <w:t xml:space="preserve">→ Écrire « abcès annulaire ou désinsertion de prothèse (fuite paravalvulaire nouvelle) ».</w:t>
            </w:r>
          </w:p>
        </w:tc>
        <w:tc>
          <w:tcPr>
            <w:tcW w:w="1800" w:type="dxa"/>
            <w:vAlign w:val="top"/>
          </w:tcPr>
          <w:p>
            <w:pPr>
              <w:spacing w:after="0"/>
            </w:pPr>
            <w:r>
              <w:rPr>
                <w:sz w:val="17"/>
                <w:szCs w:val="17"/>
              </w:rPr>
              <w:t xml:space="preserve">Terminologie cardiologique française</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EBF5FB"/>
            <w:vAlign w:val="top"/>
          </w:tcPr>
          <w:p>
            <w:pPr>
              <w:spacing w:after="0"/>
            </w:pPr>
            <w:r>
              <w:rPr>
                <w:sz w:val="17"/>
                <w:szCs w:val="17"/>
              </w:rPr>
              <w:t xml:space="preserve">L5-L111</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LOT_5_Appel_B_V5_Ultra_Pedagogique_Partie_4_DX.8_a_DX.10__export_GoogleDoc__v2.html</w:t>
            </w:r>
          </w:p>
        </w:tc>
        <w:tc>
          <w:tcPr>
            <w:tcW w:w="2350" w:type="dxa"/>
            <w:vAlign w:val="top"/>
          </w:tcPr>
          <w:p>
            <w:pPr>
              <w:spacing w:after="0"/>
            </w:pPr>
            <w:r>
              <w:rPr>
                <w:sz w:val="17"/>
                <w:szCs w:val="17"/>
              </w:rPr>
              <w:t xml:space="preserve">D5.8 › 10. Arbre décisionnel</w:t>
            </w:r>
          </w:p>
        </w:tc>
        <w:tc>
          <w:tcPr>
            <w:tcW w:w="2600" w:type="dxa"/>
            <w:vAlign w:val="top"/>
          </w:tcPr>
          <w:p>
            <w:pPr>
              <w:spacing w:after="0"/>
            </w:pPr>
            <w:r>
              <w:rPr>
                <w:i/>
                <w:sz w:val="17"/>
                <w:szCs w:val="17"/>
              </w:rPr>
              <w:t xml:space="preserve">« fécalome (désinpactation manuelle) »</w:t>
            </w:r>
          </w:p>
        </w:tc>
        <w:tc>
          <w:tcPr>
            <w:tcW w:w="3000" w:type="dxa"/>
            <w:vAlign w:val="top"/>
          </w:tcPr>
          <w:p>
            <w:pPr>
              <w:spacing w:after="40"/>
            </w:pPr>
            <w:r>
              <w:rPr>
                <w:sz w:val="17"/>
                <w:szCs w:val="17"/>
              </w:rPr>
              <w:t xml:space="preserve">Le mot « désimpaction » est mal orthographié.</w:t>
            </w:r>
          </w:p>
          <w:p>
            <w:pPr>
              <w:spacing w:after="0"/>
            </w:pPr>
            <w:r>
              <w:rPr>
                <w:b/>
                <w:color w:val="145A32"/>
                <w:sz w:val="17"/>
                <w:szCs w:val="17"/>
              </w:rPr>
              <w:t xml:space="preserve">→ Écrire « fécalome (désimpaction manuelle) ».</w:t>
            </w:r>
          </w:p>
        </w:tc>
        <w:tc>
          <w:tcPr>
            <w:tcW w:w="1800" w:type="dxa"/>
            <w:vAlign w:val="top"/>
          </w:tcPr>
          <w:p>
            <w:pPr>
              <w:spacing w:after="0"/>
            </w:pPr>
            <w:r>
              <w:rPr>
                <w:sz w:val="17"/>
                <w:szCs w:val="17"/>
              </w:rPr>
              <w:t xml:space="preserve">Orthographe médicale usuelle</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EBF5FB"/>
            <w:vAlign w:val="top"/>
          </w:tcPr>
          <w:p>
            <w:pPr>
              <w:spacing w:after="0"/>
            </w:pPr>
            <w:r>
              <w:rPr>
                <w:sz w:val="17"/>
                <w:szCs w:val="17"/>
              </w:rPr>
              <w:t xml:space="preserve">L5-L112</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LOT_5_Appel_B_V5_Ultra_Pedagogique_Partie_4_DX.8_a_DX.10__export_GoogleDoc__v2.html</w:t>
            </w:r>
          </w:p>
        </w:tc>
        <w:tc>
          <w:tcPr>
            <w:tcW w:w="2350" w:type="dxa"/>
            <w:vAlign w:val="top"/>
          </w:tcPr>
          <w:p>
            <w:pPr>
              <w:spacing w:after="0"/>
            </w:pPr>
            <w:r>
              <w:rPr>
                <w:sz w:val="17"/>
                <w:szCs w:val="17"/>
              </w:rPr>
              <w:t xml:space="preserve">D5.8 › 6. Examen physique</w:t>
            </w:r>
          </w:p>
        </w:tc>
        <w:tc>
          <w:tcPr>
            <w:tcW w:w="2600" w:type="dxa"/>
            <w:vAlign w:val="top"/>
          </w:tcPr>
          <w:p>
            <w:pPr>
              <w:spacing w:after="0"/>
            </w:pPr>
            <w:r>
              <w:rPr>
                <w:i/>
                <w:sz w:val="17"/>
                <w:szCs w:val="17"/>
              </w:rPr>
              <w:t xml:space="preserve">« toucher rectal (fécalome ou fécalome mou) »</w:t>
            </w:r>
          </w:p>
        </w:tc>
        <w:tc>
          <w:tcPr>
            <w:tcW w:w="3000" w:type="dxa"/>
            <w:vAlign w:val="top"/>
          </w:tcPr>
          <w:p>
            <w:pPr>
              <w:spacing w:after="40"/>
            </w:pPr>
            <w:r>
              <w:rPr>
                <w:sz w:val="17"/>
                <w:szCs w:val="17"/>
              </w:rPr>
              <w:t xml:space="preserve">La parenthèse répète le même mot et n'apporte pas d'information.</w:t>
            </w:r>
          </w:p>
          <w:p>
            <w:pPr>
              <w:spacing w:after="0"/>
            </w:pPr>
            <w:r>
              <w:rPr>
                <w:b/>
                <w:color w:val="145A32"/>
                <w:sz w:val="17"/>
                <w:szCs w:val="17"/>
              </w:rPr>
              <w:t xml:space="preserve">→ Écrire « toucher rectal (recherche d'un fécalome) ».</w:t>
            </w:r>
          </w:p>
        </w:tc>
        <w:tc>
          <w:tcPr>
            <w:tcW w:w="1800" w:type="dxa"/>
            <w:vAlign w:val="top"/>
          </w:tcPr>
          <w:p>
            <w:pPr>
              <w:spacing w:after="0"/>
            </w:pPr>
            <w:r>
              <w:rPr>
                <w:sz w:val="17"/>
                <w:szCs w:val="17"/>
              </w:rPr>
              <w:t xml:space="preserve">PROMPT_V6 (Standard V6, prompt de base du lot) § 6.4</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EBF5FB"/>
            <w:vAlign w:val="top"/>
          </w:tcPr>
          <w:p>
            <w:pPr>
              <w:spacing w:after="0"/>
            </w:pPr>
            <w:r>
              <w:rPr>
                <w:sz w:val="17"/>
                <w:szCs w:val="17"/>
              </w:rPr>
              <w:t xml:space="preserve">L5-L113</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LOT_5_Appel_B_V5_Ultra_Pedagogique_Partie_4_DX.8_a_DX.10__export_GoogleDoc__v2.html</w:t>
            </w:r>
          </w:p>
        </w:tc>
        <w:tc>
          <w:tcPr>
            <w:tcW w:w="2350" w:type="dxa"/>
            <w:vAlign w:val="top"/>
          </w:tcPr>
          <w:p>
            <w:pPr>
              <w:spacing w:after="0"/>
            </w:pPr>
            <w:r>
              <w:rPr>
                <w:sz w:val="17"/>
                <w:szCs w:val="17"/>
              </w:rPr>
              <w:t xml:space="preserve">D5.8 › 4. Démarche diagnostique</w:t>
            </w:r>
          </w:p>
        </w:tc>
        <w:tc>
          <w:tcPr>
            <w:tcW w:w="2600" w:type="dxa"/>
            <w:vAlign w:val="top"/>
          </w:tcPr>
          <w:p>
            <w:pPr>
              <w:spacing w:after="0"/>
            </w:pPr>
            <w:r>
              <w:rPr>
                <w:i/>
                <w:sz w:val="17"/>
                <w:szCs w:val="17"/>
              </w:rPr>
              <w:t xml:space="preserve">« Inracranial (AVC, hématome sous-dural) »</w:t>
            </w:r>
          </w:p>
        </w:tc>
        <w:tc>
          <w:tcPr>
            <w:tcW w:w="3000" w:type="dxa"/>
            <w:vAlign w:val="top"/>
          </w:tcPr>
          <w:p>
            <w:pPr>
              <w:spacing w:after="40"/>
            </w:pPr>
            <w:r>
              <w:rPr>
                <w:sz w:val="17"/>
                <w:szCs w:val="17"/>
              </w:rPr>
              <w:t xml:space="preserve">Le moyen mnémotechnique DELIRIUM est en anglais et contient la coquille « Inracranial ».</w:t>
            </w:r>
          </w:p>
          <w:p>
            <w:pPr>
              <w:spacing w:after="0"/>
            </w:pPr>
            <w:r>
              <w:rPr>
                <w:b/>
                <w:color w:val="145A32"/>
                <w:sz w:val="17"/>
                <w:szCs w:val="17"/>
              </w:rPr>
              <w:t xml:space="preserve">→ Corriger en « Intracranial » et traduire chaque lettre en français, ou employer un moyen mnémotechnique francophone.</w:t>
            </w:r>
          </w:p>
        </w:tc>
        <w:tc>
          <w:tcPr>
            <w:tcW w:w="1800" w:type="dxa"/>
            <w:vAlign w:val="top"/>
          </w:tcPr>
          <w:p>
            <w:pPr>
              <w:spacing w:after="0"/>
            </w:pPr>
            <w:r>
              <w:rPr>
                <w:sz w:val="17"/>
                <w:szCs w:val="17"/>
              </w:rPr>
              <w:t xml:space="preserve">PROMPT_V6 (Standard V6, prompt de base du lot) § 6.8</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EBF5FB"/>
            <w:vAlign w:val="top"/>
          </w:tcPr>
          <w:p>
            <w:pPr>
              <w:spacing w:after="0"/>
            </w:pPr>
            <w:r>
              <w:rPr>
                <w:sz w:val="17"/>
                <w:szCs w:val="17"/>
              </w:rPr>
              <w:t xml:space="preserve">L5-L114</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LOT_5_Appel_B_V5_Ultra_Pedagogique_Partie_4_DX.8_a_DX.10__export_GoogleDoc__v2.html</w:t>
            </w:r>
          </w:p>
        </w:tc>
        <w:tc>
          <w:tcPr>
            <w:tcW w:w="2350" w:type="dxa"/>
            <w:vAlign w:val="top"/>
          </w:tcPr>
          <w:p>
            <w:pPr>
              <w:spacing w:after="0"/>
            </w:pPr>
            <w:r>
              <w:rPr>
                <w:sz w:val="17"/>
                <w:szCs w:val="17"/>
              </w:rPr>
              <w:t xml:space="preserve">D5.9 › 7.1</w:t>
            </w:r>
          </w:p>
        </w:tc>
        <w:tc>
          <w:tcPr>
            <w:tcW w:w="2600" w:type="dxa"/>
            <w:vAlign w:val="top"/>
          </w:tcPr>
          <w:p>
            <w:pPr>
              <w:spacing w:after="0"/>
            </w:pPr>
            <w:r>
              <w:rPr>
                <w:i/>
                <w:sz w:val="17"/>
                <w:szCs w:val="17"/>
              </w:rPr>
              <w:t xml:space="preserve">« une subfébrile vespérale »</w:t>
            </w:r>
          </w:p>
        </w:tc>
        <w:tc>
          <w:tcPr>
            <w:tcW w:w="3000" w:type="dxa"/>
            <w:vAlign w:val="top"/>
          </w:tcPr>
          <w:p>
            <w:pPr>
              <w:spacing w:after="40"/>
            </w:pPr>
            <w:r>
              <w:rPr>
                <w:sz w:val="17"/>
                <w:szCs w:val="17"/>
              </w:rPr>
              <w:t xml:space="preserve">« Subfébrile » est un adjectif employé ici comme nom.</w:t>
            </w:r>
          </w:p>
          <w:p>
            <w:pPr>
              <w:spacing w:after="0"/>
            </w:pPr>
            <w:r>
              <w:rPr>
                <w:b/>
                <w:color w:val="145A32"/>
                <w:sz w:val="17"/>
                <w:szCs w:val="17"/>
              </w:rPr>
              <w:t xml:space="preserve">→ Écrire « un état subfébrile vespéral ».</w:t>
            </w:r>
          </w:p>
        </w:tc>
        <w:tc>
          <w:tcPr>
            <w:tcW w:w="1800" w:type="dxa"/>
            <w:vAlign w:val="top"/>
          </w:tcPr>
          <w:p>
            <w:pPr>
              <w:spacing w:after="0"/>
            </w:pPr>
            <w:r>
              <w:rPr>
                <w:sz w:val="17"/>
                <w:szCs w:val="17"/>
              </w:rPr>
              <w:t xml:space="preserve">Grammaire française</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EBF5FB"/>
            <w:vAlign w:val="top"/>
          </w:tcPr>
          <w:p>
            <w:pPr>
              <w:spacing w:after="0"/>
            </w:pPr>
            <w:r>
              <w:rPr>
                <w:sz w:val="17"/>
                <w:szCs w:val="17"/>
              </w:rPr>
              <w:t xml:space="preserve">L5-L115</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LOT_5_Appel_B_V5_Ultra_Pedagogique_Partie_4_DX.8_a_DX.10__export_GoogleDoc__v2.html</w:t>
            </w:r>
          </w:p>
        </w:tc>
        <w:tc>
          <w:tcPr>
            <w:tcW w:w="2350" w:type="dxa"/>
            <w:vAlign w:val="top"/>
          </w:tcPr>
          <w:p>
            <w:pPr>
              <w:spacing w:after="0"/>
            </w:pPr>
            <w:r>
              <w:rPr>
                <w:sz w:val="17"/>
                <w:szCs w:val="17"/>
              </w:rPr>
              <w:t xml:space="preserve">D5.10 › Fenêtre 3.10 (9 occurrences de code LaTeX dans le fichier)</w:t>
            </w:r>
          </w:p>
        </w:tc>
        <w:tc>
          <w:tcPr>
            <w:tcW w:w="2600" w:type="dxa"/>
            <w:vAlign w:val="top"/>
          </w:tcPr>
          <w:p>
            <w:pPr>
              <w:spacing w:after="0"/>
            </w:pPr>
            <w:r>
              <w:rPr>
                <w:i/>
                <w:sz w:val="17"/>
                <w:szCs w:val="17"/>
              </w:rPr>
              <w:t xml:space="preserve">« ($\text{FiO}_2 = 21\ \%$) »</w:t>
            </w:r>
          </w:p>
        </w:tc>
        <w:tc>
          <w:tcPr>
            <w:tcW w:w="3000" w:type="dxa"/>
            <w:vAlign w:val="top"/>
          </w:tcPr>
          <w:p>
            <w:pPr>
              <w:spacing w:after="40"/>
            </w:pPr>
            <w:r>
              <w:rPr>
                <w:sz w:val="17"/>
                <w:szCs w:val="17"/>
              </w:rPr>
              <w:t xml:space="preserve">Du code LaTeX brut s'affiche au lecteur (9 occurrences).</w:t>
            </w:r>
          </w:p>
          <w:p>
            <w:pPr>
              <w:spacing w:after="0"/>
            </w:pPr>
            <w:r>
              <w:rPr>
                <w:b/>
                <w:color w:val="145A32"/>
                <w:sz w:val="17"/>
                <w:szCs w:val="17"/>
              </w:rPr>
              <w:t xml:space="preserve">→ Écrire « FiO₂ = 21 % » en texte HTML.</w:t>
            </w:r>
          </w:p>
        </w:tc>
        <w:tc>
          <w:tcPr>
            <w:tcW w:w="1800" w:type="dxa"/>
            <w:vAlign w:val="top"/>
          </w:tcPr>
          <w:p>
            <w:pPr>
              <w:spacing w:after="0"/>
            </w:pPr>
            <w:r>
              <w:rPr>
                <w:sz w:val="17"/>
                <w:szCs w:val="17"/>
              </w:rPr>
              <w:t xml:space="preserve">PROMPT_V6 (Standard V6, prompt de base du lot) § 9</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EBF5FB"/>
            <w:vAlign w:val="top"/>
          </w:tcPr>
          <w:p>
            <w:pPr>
              <w:spacing w:after="0"/>
            </w:pPr>
            <w:r>
              <w:rPr>
                <w:sz w:val="17"/>
                <w:szCs w:val="17"/>
              </w:rPr>
              <w:t xml:space="preserve">L5-L117</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LOT_5_Appel_B_V5_Ultra_Pedagogique_Partie_3_DX.6_a_DX.7__export_GoogleDoc.html</w:t>
            </w:r>
          </w:p>
        </w:tc>
        <w:tc>
          <w:tcPr>
            <w:tcW w:w="2350" w:type="dxa"/>
            <w:vAlign w:val="top"/>
          </w:tcPr>
          <w:p>
            <w:pPr>
              <w:spacing w:after="0"/>
            </w:pPr>
            <w:r>
              <w:rPr>
                <w:sz w:val="17"/>
                <w:szCs w:val="17"/>
              </w:rPr>
              <w:t xml:space="preserve">D5.6 › 9. Examens › Gold standard (même défaut dans les Parties 2 et 4 v2)</w:t>
            </w:r>
          </w:p>
        </w:tc>
        <w:tc>
          <w:tcPr>
            <w:tcW w:w="2600" w:type="dxa"/>
            <w:vAlign w:val="top"/>
          </w:tcPr>
          <w:p>
            <w:pPr>
              <w:spacing w:after="0"/>
            </w:pPr>
            <w:r>
              <w:rPr>
                <w:i/>
                <w:sz w:val="17"/>
                <w:szCs w:val="17"/>
              </w:rPr>
              <w:t xml:space="preserve">« La **Coronarographie invasive en urgence** (ou coroscanner »</w:t>
            </w:r>
          </w:p>
        </w:tc>
        <w:tc>
          <w:tcPr>
            <w:tcW w:w="3000" w:type="dxa"/>
            <w:vAlign w:val="top"/>
          </w:tcPr>
          <w:p>
            <w:pPr>
              <w:spacing w:after="40"/>
            </w:pPr>
            <w:r>
              <w:rPr>
                <w:sz w:val="17"/>
                <w:szCs w:val="17"/>
              </w:rPr>
              <w:t xml:space="preserve">Des astérisques Markdown « ** » s'affichent tels quels dans le texte, ce qui trahit une conversion et nuit à la lecture.</w:t>
            </w:r>
          </w:p>
          <w:p>
            <w:pPr>
              <w:spacing w:after="0"/>
            </w:pPr>
            <w:r>
              <w:rPr>
                <w:b/>
                <w:color w:val="145A32"/>
                <w:sz w:val="17"/>
                <w:szCs w:val="17"/>
              </w:rPr>
              <w:t xml:space="preserve">→ Supprimer les astérisques et utiliser &lt;strong&gt; si une mise en valeur est nécessaire.</w:t>
            </w:r>
          </w:p>
        </w:tc>
        <w:tc>
          <w:tcPr>
            <w:tcW w:w="1800" w:type="dxa"/>
            <w:vAlign w:val="top"/>
          </w:tcPr>
          <w:p>
            <w:pPr>
              <w:spacing w:after="0"/>
            </w:pPr>
            <w:r>
              <w:rPr>
                <w:sz w:val="17"/>
                <w:szCs w:val="17"/>
              </w:rPr>
              <w:t xml:space="preserve">PROMPT_V6 (Standard V6, prompt de base du lot) § 0, § 9</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EBF5FB"/>
            <w:vAlign w:val="top"/>
          </w:tcPr>
          <w:p>
            <w:pPr>
              <w:spacing w:after="0"/>
            </w:pPr>
            <w:r>
              <w:rPr>
                <w:sz w:val="17"/>
                <w:szCs w:val="17"/>
              </w:rPr>
              <w:t xml:space="preserve">L5-L31</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LOT_5_Appel_A_V5_Ultra_Pedagogique_Plan_et_Liste__export_GoogleDoc.html</w:t>
            </w:r>
          </w:p>
        </w:tc>
        <w:tc>
          <w:tcPr>
            <w:tcW w:w="2350" w:type="dxa"/>
            <w:vAlign w:val="top"/>
          </w:tcPr>
          <w:p>
            <w:pPr>
              <w:spacing w:after="0"/>
            </w:pPr>
            <w:r>
              <w:rPr>
                <w:sz w:val="17"/>
                <w:szCs w:val="17"/>
              </w:rPr>
              <w:t xml:space="preserve">Bloc 1 › 6. Examen physique</w:t>
            </w:r>
          </w:p>
        </w:tc>
        <w:tc>
          <w:tcPr>
            <w:tcW w:w="2600" w:type="dxa"/>
            <w:vAlign w:val="top"/>
          </w:tcPr>
          <w:p>
            <w:pPr>
              <w:spacing w:after="0"/>
            </w:pPr>
            <w:r>
              <w:rPr>
                <w:i/>
                <w:sz w:val="17"/>
                <w:szCs w:val="17"/>
              </w:rPr>
              <w:t xml:space="preserve">« deshabillage complet »</w:t>
            </w:r>
          </w:p>
        </w:tc>
        <w:tc>
          <w:tcPr>
            <w:tcW w:w="3000" w:type="dxa"/>
            <w:vAlign w:val="top"/>
          </w:tcPr>
          <w:p>
            <w:pPr>
              <w:spacing w:after="40"/>
            </w:pPr>
            <w:r>
              <w:rPr>
                <w:sz w:val="17"/>
                <w:szCs w:val="17"/>
              </w:rPr>
              <w:t xml:space="preserve">Le mot « déshabillage » perd son accent aigu.</w:t>
            </w:r>
          </w:p>
          <w:p>
            <w:pPr>
              <w:spacing w:after="0"/>
            </w:pPr>
            <w:r>
              <w:rPr>
                <w:b/>
                <w:color w:val="145A32"/>
                <w:sz w:val="17"/>
                <w:szCs w:val="17"/>
              </w:rPr>
              <w:t xml:space="preserve">→ Écrire « déshabillage complet ».</w:t>
            </w:r>
          </w:p>
        </w:tc>
        <w:tc>
          <w:tcPr>
            <w:tcW w:w="1800" w:type="dxa"/>
            <w:vAlign w:val="top"/>
          </w:tcPr>
          <w:p>
            <w:pPr>
              <w:spacing w:after="0"/>
            </w:pPr>
            <w:r>
              <w:rPr>
                <w:sz w:val="17"/>
                <w:szCs w:val="17"/>
              </w:rPr>
              <w:t xml:space="preserve">Orthographe française usuelle</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EBF5FB"/>
            <w:vAlign w:val="top"/>
          </w:tcPr>
          <w:p>
            <w:pPr>
              <w:spacing w:after="0"/>
            </w:pPr>
            <w:r>
              <w:rPr>
                <w:sz w:val="17"/>
                <w:szCs w:val="17"/>
              </w:rPr>
              <w:t xml:space="preserve">L5-L32</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LOT_5_Appel_A_V5_Ultra_Pedagogique_Plan_et_Liste__export_GoogleDoc.html</w:t>
            </w:r>
          </w:p>
        </w:tc>
        <w:tc>
          <w:tcPr>
            <w:tcW w:w="2350" w:type="dxa"/>
            <w:vAlign w:val="top"/>
          </w:tcPr>
          <w:p>
            <w:pPr>
              <w:spacing w:after="0"/>
            </w:pPr>
            <w:r>
              <w:rPr>
                <w:sz w:val="17"/>
                <w:szCs w:val="17"/>
              </w:rPr>
              <w:t xml:space="preserve">Bloc 1 › 8. Diagnostic positif (6 occurrences d'ordinaux dans le fichier)</w:t>
            </w:r>
          </w:p>
        </w:tc>
        <w:tc>
          <w:tcPr>
            <w:tcW w:w="2600" w:type="dxa"/>
            <w:vAlign w:val="top"/>
          </w:tcPr>
          <w:p>
            <w:pPr>
              <w:spacing w:after="0"/>
            </w:pPr>
            <w:r>
              <w:rPr>
                <w:i/>
                <w:sz w:val="17"/>
                <w:szCs w:val="17"/>
              </w:rPr>
              <w:t xml:space="preserve">« 4ème Définition Universelle »</w:t>
            </w:r>
          </w:p>
        </w:tc>
        <w:tc>
          <w:tcPr>
            <w:tcW w:w="3000" w:type="dxa"/>
            <w:vAlign w:val="top"/>
          </w:tcPr>
          <w:p>
            <w:pPr>
              <w:spacing w:after="40"/>
            </w:pPr>
            <w:r>
              <w:rPr>
                <w:sz w:val="17"/>
                <w:szCs w:val="17"/>
              </w:rPr>
              <w:t xml:space="preserve">Les ordinaux abrégés « 4ème », « 1ère », « 2ème » et « 99ème » ne respectent pas la typographie française (6 occurrences).</w:t>
            </w:r>
          </w:p>
          <w:p>
            <w:pPr>
              <w:spacing w:after="0"/>
            </w:pPr>
            <w:r>
              <w:rPr>
                <w:b/>
                <w:color w:val="145A32"/>
                <w:sz w:val="17"/>
                <w:szCs w:val="17"/>
              </w:rPr>
              <w:t xml:space="preserve">→ Écrire « 4e », « 1re », « 2e », « 99e » partout dans le fichier.</w:t>
            </w:r>
          </w:p>
        </w:tc>
        <w:tc>
          <w:tcPr>
            <w:tcW w:w="1800" w:type="dxa"/>
            <w:vAlign w:val="top"/>
          </w:tcPr>
          <w:p>
            <w:pPr>
              <w:spacing w:after="0"/>
            </w:pPr>
            <w:r>
              <w:rPr>
                <w:sz w:val="17"/>
                <w:szCs w:val="17"/>
              </w:rPr>
              <w:t xml:space="preserve">Lexique des règles typographiques en usage à l'Imprimerie nationale ; PROMPT_V6 (Standard V6, prompt de base du lot) § 6.8</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EBF5FB"/>
            <w:vAlign w:val="top"/>
          </w:tcPr>
          <w:p>
            <w:pPr>
              <w:spacing w:after="0"/>
            </w:pPr>
            <w:r>
              <w:rPr>
                <w:sz w:val="17"/>
                <w:szCs w:val="17"/>
              </w:rPr>
              <w:t xml:space="preserve">L5-L33</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LOT_5_Appel_A_V5_Ultra_Pedagogique_Plan_et_Liste__export_GoogleDoc.html</w:t>
            </w:r>
          </w:p>
        </w:tc>
        <w:tc>
          <w:tcPr>
            <w:tcW w:w="2350" w:type="dxa"/>
            <w:vAlign w:val="top"/>
          </w:tcPr>
          <w:p>
            <w:pPr>
              <w:spacing w:after="0"/>
            </w:pPr>
            <w:r>
              <w:rPr>
                <w:sz w:val="17"/>
                <w:szCs w:val="17"/>
              </w:rPr>
              <w:t xml:space="preserve">Bloc 1 › 11.C Surveillance › Clinique</w:t>
            </w:r>
          </w:p>
        </w:tc>
        <w:tc>
          <w:tcPr>
            <w:tcW w:w="2600" w:type="dxa"/>
            <w:vAlign w:val="top"/>
          </w:tcPr>
          <w:p>
            <w:pPr>
              <w:spacing w:after="0"/>
            </w:pPr>
            <w:r>
              <w:rPr>
                <w:i/>
                <w:sz w:val="17"/>
                <w:szCs w:val="17"/>
              </w:rPr>
              <w:t xml:space="preserve">« consigne de sécurité stricte (safety-netting) »</w:t>
            </w:r>
          </w:p>
        </w:tc>
        <w:tc>
          <w:tcPr>
            <w:tcW w:w="3000" w:type="dxa"/>
            <w:vAlign w:val="top"/>
          </w:tcPr>
          <w:p>
            <w:pPr>
              <w:spacing w:after="40"/>
            </w:pPr>
            <w:r>
              <w:rPr>
                <w:sz w:val="17"/>
                <w:szCs w:val="17"/>
              </w:rPr>
              <w:t xml:space="preserve">Le fichier emploie des anglicismes sans nécessité (safety-netting, sickness behavior, mottling score, Point-of-Care, Failure to thrive).</w:t>
            </w:r>
          </w:p>
          <w:p>
            <w:pPr>
              <w:spacing w:after="0"/>
            </w:pPr>
            <w:r>
              <w:rPr>
                <w:b/>
                <w:color w:val="145A32"/>
                <w:sz w:val="17"/>
                <w:szCs w:val="17"/>
              </w:rPr>
              <w:t xml:space="preserve">→ Employer « filet de sécurité » , « comportement de maladie », « score de marbrures », « biologie délocalisée » et « syndrome de glissement », en gardant l'anglais seulement entre parenthèses à la première occurrence.</w:t>
            </w:r>
          </w:p>
        </w:tc>
        <w:tc>
          <w:tcPr>
            <w:tcW w:w="1800" w:type="dxa"/>
            <w:vAlign w:val="top"/>
          </w:tcPr>
          <w:p>
            <w:pPr>
              <w:spacing w:after="0"/>
            </w:pPr>
            <w:r>
              <w:rPr>
                <w:sz w:val="17"/>
                <w:szCs w:val="17"/>
              </w:rPr>
              <w:t xml:space="preserve">PROMPT_V6 (Standard V6, prompt de base du lot) § 6.8</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EBF5FB"/>
            <w:vAlign w:val="top"/>
          </w:tcPr>
          <w:p>
            <w:pPr>
              <w:spacing w:after="0"/>
            </w:pPr>
            <w:r>
              <w:rPr>
                <w:sz w:val="17"/>
                <w:szCs w:val="17"/>
              </w:rPr>
              <w:t xml:space="preserve">L5-L34</w:t>
            </w:r>
          </w:p>
        </w:tc>
        <w:tc>
          <w:tcPr>
            <w:tcW w:w="1250" w:type="dxa"/>
            <w:vAlign w:val="top"/>
          </w:tcPr>
          <w:p>
            <w:pPr>
              <w:spacing w:after="0"/>
            </w:pPr>
            <w:r>
              <w:rPr>
                <w:sz w:val="17"/>
                <w:szCs w:val="17"/>
              </w:rPr>
              <w:t xml:space="preserve">Structure</w:t>
            </w:r>
          </w:p>
        </w:tc>
        <w:tc>
          <w:tcPr>
            <w:tcW w:w="1900" w:type="dxa"/>
            <w:vAlign w:val="top"/>
          </w:tcPr>
          <w:p>
            <w:pPr>
              <w:spacing w:after="0"/>
            </w:pPr>
            <w:r>
              <w:rPr>
                <w:sz w:val="17"/>
                <w:szCs w:val="17"/>
              </w:rPr>
              <w:t xml:space="preserve">LOT_5_Appel_A_V5_Ultra_Pedagogique_Plan_et_Liste__export_GoogleDoc.html</w:t>
            </w:r>
          </w:p>
        </w:tc>
        <w:tc>
          <w:tcPr>
            <w:tcW w:w="2350" w:type="dxa"/>
            <w:vAlign w:val="top"/>
          </w:tcPr>
          <w:p>
            <w:pPr>
              <w:spacing w:after="0"/>
            </w:pPr>
            <w:r>
              <w:rPr>
                <w:sz w:val="17"/>
                <w:szCs w:val="17"/>
              </w:rPr>
              <w:t xml:space="preserve">Bloc 2 › intitulés des DX</w:t>
            </w:r>
          </w:p>
        </w:tc>
        <w:tc>
          <w:tcPr>
            <w:tcW w:w="2600" w:type="dxa"/>
            <w:vAlign w:val="top"/>
          </w:tcPr>
          <w:p>
            <w:pPr>
              <w:spacing w:after="0"/>
            </w:pPr>
            <w:r>
              <w:rPr>
                <w:i/>
                <w:sz w:val="17"/>
                <w:szCs w:val="17"/>
              </w:rPr>
              <w:t xml:space="preserve">« D5.1 — Phase prodromique »</w:t>
            </w:r>
          </w:p>
        </w:tc>
        <w:tc>
          <w:tcPr>
            <w:tcW w:w="3000" w:type="dxa"/>
            <w:vAlign w:val="top"/>
          </w:tcPr>
          <w:p>
            <w:pPr>
              <w:spacing w:after="40"/>
            </w:pPr>
            <w:r>
              <w:rPr>
                <w:sz w:val="17"/>
                <w:szCs w:val="17"/>
              </w:rPr>
              <w:t xml:space="preserve">Les diagnostics sont numérotés D5.1–D5.10 alors que le prompt et les noms de fichiers emploient DX.1–DX.10, ce qui complique le croisement entre fichiers.</w:t>
            </w:r>
          </w:p>
          <w:p>
            <w:pPr>
              <w:spacing w:after="0"/>
            </w:pPr>
            <w:r>
              <w:rPr>
                <w:b/>
                <w:color w:val="145A32"/>
                <w:sz w:val="17"/>
                <w:szCs w:val="17"/>
              </w:rPr>
              <w:t xml:space="preserve">→ Harmoniser la numérotation en DX.1 à DX.10 dans tous les fichiers du lot, ou ajouter la correspondance au début de l'Appel A.</w:t>
            </w:r>
          </w:p>
        </w:tc>
        <w:tc>
          <w:tcPr>
            <w:tcW w:w="1800" w:type="dxa"/>
            <w:vAlign w:val="top"/>
          </w:tcPr>
          <w:p>
            <w:pPr>
              <w:spacing w:after="0"/>
            </w:pPr>
            <w:r>
              <w:rPr>
                <w:sz w:val="17"/>
                <w:szCs w:val="17"/>
              </w:rPr>
              <w:t xml:space="preserve">PROMPT_V6 (Standard V6, prompt de base du lot) § 4</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EBF5FB"/>
            <w:vAlign w:val="top"/>
          </w:tcPr>
          <w:p>
            <w:pPr>
              <w:spacing w:after="0"/>
            </w:pPr>
            <w:r>
              <w:rPr>
                <w:sz w:val="17"/>
                <w:szCs w:val="17"/>
              </w:rPr>
              <w:t xml:space="preserve">L5-L46</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LOT_5_Appel_B_V5_Ultra_Pedagogique_Partie_1_DX.1_a_DX.2__export_GoogleDoc.html</w:t>
            </w:r>
          </w:p>
        </w:tc>
        <w:tc>
          <w:tcPr>
            <w:tcW w:w="2350" w:type="dxa"/>
            <w:vAlign w:val="top"/>
          </w:tcPr>
          <w:p>
            <w:pPr>
              <w:spacing w:after="0"/>
            </w:pPr>
            <w:r>
              <w:rPr>
                <w:sz w:val="17"/>
                <w:szCs w:val="17"/>
              </w:rPr>
              <w:t xml:space="preserve">D5.1 › Fenêtre 3.1 › tableau › ligne CRB-65 (3 occurrences de code LaTeX dans le fichier)</w:t>
            </w:r>
          </w:p>
        </w:tc>
        <w:tc>
          <w:tcPr>
            <w:tcW w:w="2600" w:type="dxa"/>
            <w:vAlign w:val="top"/>
          </w:tcPr>
          <w:p>
            <w:pPr>
              <w:spacing w:after="0"/>
            </w:pPr>
            <w:r>
              <w:rPr>
                <w:i/>
                <w:sz w:val="17"/>
                <w:szCs w:val="17"/>
              </w:rPr>
              <w:t xml:space="preserve">« Tout patient avec $\text{SpO}_2 &lt; 92\ \%$ à l'air ambiant »</w:t>
            </w:r>
          </w:p>
        </w:tc>
        <w:tc>
          <w:tcPr>
            <w:tcW w:w="3000" w:type="dxa"/>
            <w:vAlign w:val="top"/>
          </w:tcPr>
          <w:p>
            <w:pPr>
              <w:spacing w:after="40"/>
            </w:pPr>
            <w:r>
              <w:rPr>
                <w:sz w:val="17"/>
                <w:szCs w:val="17"/>
              </w:rPr>
              <w:t xml:space="preserve">Du code LaTeX brut s'affiche au lecteur au lieu d'une notation lisible (3 occurrences).</w:t>
            </w:r>
          </w:p>
          <w:p>
            <w:pPr>
              <w:spacing w:after="0"/>
            </w:pPr>
            <w:r>
              <w:rPr>
                <w:b/>
                <w:color w:val="145A32"/>
                <w:sz w:val="17"/>
                <w:szCs w:val="17"/>
              </w:rPr>
              <w:t xml:space="preserve">→ Écrire « SpO₂ &lt; 92 % » en texte HTML (SpO&lt;sub&gt;2&lt;/sub&gt;).</w:t>
            </w:r>
          </w:p>
        </w:tc>
        <w:tc>
          <w:tcPr>
            <w:tcW w:w="1800" w:type="dxa"/>
            <w:vAlign w:val="top"/>
          </w:tcPr>
          <w:p>
            <w:pPr>
              <w:spacing w:after="0"/>
            </w:pPr>
            <w:r>
              <w:rPr>
                <w:sz w:val="17"/>
                <w:szCs w:val="17"/>
              </w:rPr>
              <w:t xml:space="preserve">PROMPT_V6 (Standard V6, prompt de base du lot) § 9</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EBF5FB"/>
            <w:vAlign w:val="top"/>
          </w:tcPr>
          <w:p>
            <w:pPr>
              <w:spacing w:after="0"/>
            </w:pPr>
            <w:r>
              <w:rPr>
                <w:sz w:val="17"/>
                <w:szCs w:val="17"/>
              </w:rPr>
              <w:t xml:space="preserve">L5-L47</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LOT_5_Appel_B_V5_Ultra_Pedagogique_Partie_1_DX.1_a_DX.2__export_GoogleDoc.html</w:t>
            </w:r>
          </w:p>
        </w:tc>
        <w:tc>
          <w:tcPr>
            <w:tcW w:w="2350" w:type="dxa"/>
            <w:vAlign w:val="top"/>
          </w:tcPr>
          <w:p>
            <w:pPr>
              <w:spacing w:after="0"/>
            </w:pPr>
            <w:r>
              <w:rPr>
                <w:sz w:val="17"/>
                <w:szCs w:val="17"/>
              </w:rPr>
              <w:t xml:space="preserve">D5.2 › Fenêtre 3.2 › tableau › ligne Naranjo</w:t>
            </w:r>
          </w:p>
        </w:tc>
        <w:tc>
          <w:tcPr>
            <w:tcW w:w="2600" w:type="dxa"/>
            <w:vAlign w:val="top"/>
          </w:tcPr>
          <w:p>
            <w:pPr>
              <w:spacing w:after="0"/>
            </w:pPr>
            <w:r>
              <w:rPr>
                <w:i/>
                <w:sz w:val="17"/>
                <w:szCs w:val="17"/>
              </w:rPr>
              <w:t xml:space="preserve">« Évalue la chronologie (challenge), la régression à l'arrêt (dechallenge) »</w:t>
            </w:r>
          </w:p>
        </w:tc>
        <w:tc>
          <w:tcPr>
            <w:tcW w:w="3000" w:type="dxa"/>
            <w:vAlign w:val="top"/>
          </w:tcPr>
          <w:p>
            <w:pPr>
              <w:spacing w:after="40"/>
            </w:pPr>
            <w:r>
              <w:rPr>
                <w:sz w:val="17"/>
                <w:szCs w:val="17"/>
              </w:rPr>
              <w:t xml:space="preserve">Les termes anglais sont employés à tort (le « challenge » n'est pas la chronologie) et ne sont pas traduits ; la phrase n'a pas de sujet.</w:t>
            </w:r>
          </w:p>
          <w:p>
            <w:pPr>
              <w:spacing w:after="0"/>
            </w:pPr>
            <w:r>
              <w:rPr>
                <w:b/>
                <w:color w:val="145A32"/>
                <w:sz w:val="17"/>
                <w:szCs w:val="17"/>
              </w:rPr>
              <w:t xml:space="preserve">→ Écrire « L'algorithme évalue la chronologie, la régression à l'arrêt (déchallenge) et la récidive à la réintroduction (rechallenge). »</w:t>
            </w:r>
          </w:p>
        </w:tc>
        <w:tc>
          <w:tcPr>
            <w:tcW w:w="1800" w:type="dxa"/>
            <w:vAlign w:val="top"/>
          </w:tcPr>
          <w:p>
            <w:pPr>
              <w:spacing w:after="0"/>
            </w:pPr>
            <w:r>
              <w:rPr>
                <w:sz w:val="17"/>
                <w:szCs w:val="17"/>
              </w:rPr>
              <w:t xml:space="preserve">PROMPT_V6 (Standard V6, prompt de base du lot) § 6.1, § 6.8</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EBF5FB"/>
            <w:vAlign w:val="top"/>
          </w:tcPr>
          <w:p>
            <w:pPr>
              <w:spacing w:after="0"/>
            </w:pPr>
            <w:r>
              <w:rPr>
                <w:sz w:val="17"/>
                <w:szCs w:val="17"/>
              </w:rPr>
              <w:t xml:space="preserve">L5-L48</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LOT_5_Appel_B_V5_Ultra_Pedagogique_Partie_1_DX.1_a_DX.2__export_GoogleDoc.html</w:t>
            </w:r>
          </w:p>
        </w:tc>
        <w:tc>
          <w:tcPr>
            <w:tcW w:w="2350" w:type="dxa"/>
            <w:vAlign w:val="top"/>
          </w:tcPr>
          <w:p>
            <w:pPr>
              <w:spacing w:after="0"/>
            </w:pPr>
            <w:r>
              <w:rPr>
                <w:sz w:val="17"/>
                <w:szCs w:val="17"/>
              </w:rPr>
              <w:t xml:space="preserve">D5.1 › 9. Examens (8 occurrences d'ordinaux dans le fichier)</w:t>
            </w:r>
          </w:p>
        </w:tc>
        <w:tc>
          <w:tcPr>
            <w:tcW w:w="2600" w:type="dxa"/>
            <w:vAlign w:val="top"/>
          </w:tcPr>
          <w:p>
            <w:pPr>
              <w:spacing w:after="0"/>
            </w:pPr>
            <w:r>
              <w:rPr>
                <w:i/>
                <w:sz w:val="17"/>
                <w:szCs w:val="17"/>
              </w:rPr>
              <w:t xml:space="preserve">« 1ère intention (et alternatives) »</w:t>
            </w:r>
          </w:p>
        </w:tc>
        <w:tc>
          <w:tcPr>
            <w:tcW w:w="3000" w:type="dxa"/>
            <w:vAlign w:val="top"/>
          </w:tcPr>
          <w:p>
            <w:pPr>
              <w:spacing w:after="40"/>
            </w:pPr>
            <w:r>
              <w:rPr>
                <w:sz w:val="17"/>
                <w:szCs w:val="17"/>
              </w:rPr>
              <w:t xml:space="preserve">Les ordinaux « 1ère », « 2ème », « 5ème » ne respectent pas la typographie française (8 occurrences).</w:t>
            </w:r>
          </w:p>
          <w:p>
            <w:pPr>
              <w:spacing w:after="0"/>
            </w:pPr>
            <w:r>
              <w:rPr>
                <w:b/>
                <w:color w:val="145A32"/>
                <w:sz w:val="17"/>
                <w:szCs w:val="17"/>
              </w:rPr>
              <w:t xml:space="preserve">→ Écrire « 1re », « 2e », « 5e ».</w:t>
            </w:r>
          </w:p>
        </w:tc>
        <w:tc>
          <w:tcPr>
            <w:tcW w:w="1800" w:type="dxa"/>
            <w:vAlign w:val="top"/>
          </w:tcPr>
          <w:p>
            <w:pPr>
              <w:spacing w:after="0"/>
            </w:pPr>
            <w:r>
              <w:rPr>
                <w:sz w:val="17"/>
                <w:szCs w:val="17"/>
              </w:rPr>
              <w:t xml:space="preserve">Lexique des règles typographiques en usage à l'Imprimerie nationale</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EBF5FB"/>
            <w:vAlign w:val="top"/>
          </w:tcPr>
          <w:p>
            <w:pPr>
              <w:spacing w:after="0"/>
            </w:pPr>
            <w:r>
              <w:rPr>
                <w:sz w:val="17"/>
                <w:szCs w:val="17"/>
              </w:rPr>
              <w:t xml:space="preserve">L5-L66</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LOT_5_Appel_B_V5_Ultra_Pedagogique_Partie_2_DX.3_a_DX.5__export_GoogleDoc.html</w:t>
            </w:r>
          </w:p>
        </w:tc>
        <w:tc>
          <w:tcPr>
            <w:tcW w:w="2350" w:type="dxa"/>
            <w:vAlign w:val="top"/>
          </w:tcPr>
          <w:p>
            <w:pPr>
              <w:spacing w:after="0"/>
            </w:pPr>
            <w:r>
              <w:rPr>
                <w:sz w:val="17"/>
                <w:szCs w:val="17"/>
              </w:rPr>
              <w:t xml:space="preserve">D5.3 › 9. Examens › 1re intention</w:t>
            </w:r>
          </w:p>
        </w:tc>
        <w:tc>
          <w:tcPr>
            <w:tcW w:w="2600" w:type="dxa"/>
            <w:vAlign w:val="top"/>
          </w:tcPr>
          <w:p>
            <w:pPr>
              <w:spacing w:after="0"/>
            </w:pPr>
            <w:r>
              <w:rPr>
                <w:i/>
                <w:sz w:val="17"/>
                <w:szCs w:val="17"/>
              </w:rPr>
              <w:t xml:space="preserve">« thyréotoxicitose/hyperthyroïdie »</w:t>
            </w:r>
          </w:p>
        </w:tc>
        <w:tc>
          <w:tcPr>
            <w:tcW w:w="3000" w:type="dxa"/>
            <w:vAlign w:val="top"/>
          </w:tcPr>
          <w:p>
            <w:pPr>
              <w:spacing w:after="40"/>
            </w:pPr>
            <w:r>
              <w:rPr>
                <w:sz w:val="17"/>
                <w:szCs w:val="17"/>
              </w:rPr>
              <w:t xml:space="preserve">Le mot « thyrotoxicose » est mal orthographié.</w:t>
            </w:r>
          </w:p>
          <w:p>
            <w:pPr>
              <w:spacing w:after="0"/>
            </w:pPr>
            <w:r>
              <w:rPr>
                <w:b/>
                <w:color w:val="145A32"/>
                <w:sz w:val="17"/>
                <w:szCs w:val="17"/>
              </w:rPr>
              <w:t xml:space="preserve">→ Écrire « thyrotoxicose/hyperthyroïdie ».</w:t>
            </w:r>
          </w:p>
        </w:tc>
        <w:tc>
          <w:tcPr>
            <w:tcW w:w="1800" w:type="dxa"/>
            <w:vAlign w:val="top"/>
          </w:tcPr>
          <w:p>
            <w:pPr>
              <w:spacing w:after="0"/>
            </w:pPr>
            <w:r>
              <w:rPr>
                <w:sz w:val="17"/>
                <w:szCs w:val="17"/>
              </w:rPr>
              <w:t xml:space="preserve">Orthographe médicale usuelle</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EBF5FB"/>
            <w:vAlign w:val="top"/>
          </w:tcPr>
          <w:p>
            <w:pPr>
              <w:spacing w:after="0"/>
            </w:pPr>
            <w:r>
              <w:rPr>
                <w:sz w:val="17"/>
                <w:szCs w:val="17"/>
              </w:rPr>
              <w:t xml:space="preserve">L5-L67</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LOT_5_Appel_B_V5_Ultra_Pedagogique_Partie_2_DX.3_a_DX.5__export_GoogleDoc.html</w:t>
            </w:r>
          </w:p>
        </w:tc>
        <w:tc>
          <w:tcPr>
            <w:tcW w:w="2350" w:type="dxa"/>
            <w:vAlign w:val="top"/>
          </w:tcPr>
          <w:p>
            <w:pPr>
              <w:spacing w:after="0"/>
            </w:pPr>
            <w:r>
              <w:rPr>
                <w:sz w:val="17"/>
                <w:szCs w:val="17"/>
              </w:rPr>
              <w:t xml:space="preserve">D5.5 › 7.2</w:t>
            </w:r>
          </w:p>
        </w:tc>
        <w:tc>
          <w:tcPr>
            <w:tcW w:w="2600" w:type="dxa"/>
            <w:vAlign w:val="top"/>
          </w:tcPr>
          <w:p>
            <w:pPr>
              <w:spacing w:after="0"/>
            </w:pPr>
            <w:r>
              <w:rPr>
                <w:i/>
                <w:sz w:val="17"/>
                <w:szCs w:val="17"/>
              </w:rPr>
              <w:t xml:space="preserve">« Syndrome de glissement gériérique post-infectieux »</w:t>
            </w:r>
          </w:p>
        </w:tc>
        <w:tc>
          <w:tcPr>
            <w:tcW w:w="3000" w:type="dxa"/>
            <w:vAlign w:val="top"/>
          </w:tcPr>
          <w:p>
            <w:pPr>
              <w:spacing w:after="40"/>
            </w:pPr>
            <w:r>
              <w:rPr>
                <w:sz w:val="17"/>
                <w:szCs w:val="17"/>
              </w:rPr>
              <w:t xml:space="preserve">Le mot « gériatrique » est mal orthographié.</w:t>
            </w:r>
          </w:p>
          <w:p>
            <w:pPr>
              <w:spacing w:after="0"/>
            </w:pPr>
            <w:r>
              <w:rPr>
                <w:b/>
                <w:color w:val="145A32"/>
                <w:sz w:val="17"/>
                <w:szCs w:val="17"/>
              </w:rPr>
              <w:t xml:space="preserve">→ Écrire « Syndrome de glissement gériatrique post-infectieux ».</w:t>
            </w:r>
          </w:p>
        </w:tc>
        <w:tc>
          <w:tcPr>
            <w:tcW w:w="1800" w:type="dxa"/>
            <w:vAlign w:val="top"/>
          </w:tcPr>
          <w:p>
            <w:pPr>
              <w:spacing w:after="0"/>
            </w:pPr>
            <w:r>
              <w:rPr>
                <w:sz w:val="17"/>
                <w:szCs w:val="17"/>
              </w:rPr>
              <w:t xml:space="preserve">Orthographe française usuelle</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EBF5FB"/>
            <w:vAlign w:val="top"/>
          </w:tcPr>
          <w:p>
            <w:pPr>
              <w:spacing w:after="0"/>
            </w:pPr>
            <w:r>
              <w:rPr>
                <w:sz w:val="17"/>
                <w:szCs w:val="17"/>
              </w:rPr>
              <w:t xml:space="preserve">L5-L68</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LOT_5_Appel_B_V5_Ultra_Pedagogique_Partie_2_DX.3_a_DX.5__export_GoogleDoc.html</w:t>
            </w:r>
          </w:p>
        </w:tc>
        <w:tc>
          <w:tcPr>
            <w:tcW w:w="2350" w:type="dxa"/>
            <w:vAlign w:val="top"/>
          </w:tcPr>
          <w:p>
            <w:pPr>
              <w:spacing w:after="0"/>
            </w:pPr>
            <w:r>
              <w:rPr>
                <w:sz w:val="17"/>
                <w:szCs w:val="17"/>
              </w:rPr>
              <w:t xml:space="preserve">D5.5 › 7.2</w:t>
            </w:r>
          </w:p>
        </w:tc>
        <w:tc>
          <w:tcPr>
            <w:tcW w:w="2600" w:type="dxa"/>
            <w:vAlign w:val="top"/>
          </w:tcPr>
          <w:p>
            <w:pPr>
              <w:spacing w:after="0"/>
            </w:pPr>
            <w:r>
              <w:rPr>
                <w:i/>
                <w:sz w:val="17"/>
                <w:szCs w:val="17"/>
              </w:rPr>
              <w:t xml:space="preserve">« une anorexie et un apathie »</w:t>
            </w:r>
          </w:p>
        </w:tc>
        <w:tc>
          <w:tcPr>
            <w:tcW w:w="3000" w:type="dxa"/>
            <w:vAlign w:val="top"/>
          </w:tcPr>
          <w:p>
            <w:pPr>
              <w:spacing w:after="40"/>
            </w:pPr>
            <w:r>
              <w:rPr>
                <w:sz w:val="17"/>
                <w:szCs w:val="17"/>
              </w:rPr>
              <w:t xml:space="preserve">L'article ne s'accorde pas avec le nom féminin « apathie ».</w:t>
            </w:r>
          </w:p>
          <w:p>
            <w:pPr>
              <w:spacing w:after="0"/>
            </w:pPr>
            <w:r>
              <w:rPr>
                <w:b/>
                <w:color w:val="145A32"/>
                <w:sz w:val="17"/>
                <w:szCs w:val="17"/>
              </w:rPr>
              <w:t xml:space="preserve">→ Écrire « une anorexie et une apathie ».</w:t>
            </w:r>
          </w:p>
        </w:tc>
        <w:tc>
          <w:tcPr>
            <w:tcW w:w="1800" w:type="dxa"/>
            <w:vAlign w:val="top"/>
          </w:tcPr>
          <w:p>
            <w:pPr>
              <w:spacing w:after="0"/>
            </w:pPr>
            <w:r>
              <w:rPr>
                <w:sz w:val="17"/>
                <w:szCs w:val="17"/>
              </w:rPr>
              <w:t xml:space="preserve">Grammaire française</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EBF5FB"/>
            <w:vAlign w:val="top"/>
          </w:tcPr>
          <w:p>
            <w:pPr>
              <w:spacing w:after="0"/>
            </w:pPr>
            <w:r>
              <w:rPr>
                <w:sz w:val="17"/>
                <w:szCs w:val="17"/>
              </w:rPr>
              <w:t xml:space="preserve">L5-L69</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LOT_5_Appel_B_V5_Ultra_Pedagogique_Partie_2_DX.3_a_DX.5__export_GoogleDoc.html</w:t>
            </w:r>
          </w:p>
        </w:tc>
        <w:tc>
          <w:tcPr>
            <w:tcW w:w="2350" w:type="dxa"/>
            <w:vAlign w:val="top"/>
          </w:tcPr>
          <w:p>
            <w:pPr>
              <w:spacing w:after="0"/>
            </w:pPr>
            <w:r>
              <w:rPr>
                <w:sz w:val="17"/>
                <w:szCs w:val="17"/>
              </w:rPr>
              <w:t xml:space="preserve">D5.4 › 9. Examens › 2e intention</w:t>
            </w:r>
          </w:p>
        </w:tc>
        <w:tc>
          <w:tcPr>
            <w:tcW w:w="2600" w:type="dxa"/>
            <w:vAlign w:val="top"/>
          </w:tcPr>
          <w:p>
            <w:pPr>
              <w:spacing w:after="0"/>
            </w:pPr>
            <w:r>
              <w:rPr>
                <w:i/>
                <w:sz w:val="17"/>
                <w:szCs w:val="17"/>
              </w:rPr>
              <w:t xml:space="preserve">« hyponatrémie euevolémique »</w:t>
            </w:r>
          </w:p>
        </w:tc>
        <w:tc>
          <w:tcPr>
            <w:tcW w:w="3000" w:type="dxa"/>
            <w:vAlign w:val="top"/>
          </w:tcPr>
          <w:p>
            <w:pPr>
              <w:spacing w:after="40"/>
            </w:pPr>
            <w:r>
              <w:rPr>
                <w:sz w:val="17"/>
                <w:szCs w:val="17"/>
              </w:rPr>
              <w:t xml:space="preserve">Le mot « euvolémique » est mal orthographié.</w:t>
            </w:r>
          </w:p>
          <w:p>
            <w:pPr>
              <w:spacing w:after="0"/>
            </w:pPr>
            <w:r>
              <w:rPr>
                <w:b/>
                <w:color w:val="145A32"/>
                <w:sz w:val="17"/>
                <w:szCs w:val="17"/>
              </w:rPr>
              <w:t xml:space="preserve">→ Écrire « hyponatrémie euvolémique ».</w:t>
            </w:r>
          </w:p>
        </w:tc>
        <w:tc>
          <w:tcPr>
            <w:tcW w:w="1800" w:type="dxa"/>
            <w:vAlign w:val="top"/>
          </w:tcPr>
          <w:p>
            <w:pPr>
              <w:spacing w:after="0"/>
            </w:pPr>
            <w:r>
              <w:rPr>
                <w:sz w:val="17"/>
                <w:szCs w:val="17"/>
              </w:rPr>
              <w:t xml:space="preserve">Orthographe médicale usuelle</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EBF5FB"/>
            <w:vAlign w:val="top"/>
          </w:tcPr>
          <w:p>
            <w:pPr>
              <w:spacing w:after="0"/>
            </w:pPr>
            <w:r>
              <w:rPr>
                <w:sz w:val="17"/>
                <w:szCs w:val="17"/>
              </w:rPr>
              <w:t xml:space="preserve">L5-L70</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LOT_5_Appel_B_V5_Ultra_Pedagogique_Partie_2_DX.3_a_DX.5__export_GoogleDoc.html</w:t>
            </w:r>
          </w:p>
        </w:tc>
        <w:tc>
          <w:tcPr>
            <w:tcW w:w="2350" w:type="dxa"/>
            <w:vAlign w:val="top"/>
          </w:tcPr>
          <w:p>
            <w:pPr>
              <w:spacing w:after="0"/>
            </w:pPr>
            <w:r>
              <w:rPr>
                <w:sz w:val="17"/>
                <w:szCs w:val="17"/>
              </w:rPr>
              <w:t xml:space="preserve">D5.4 › 9. Examens › Gold standard</w:t>
            </w:r>
          </w:p>
        </w:tc>
        <w:tc>
          <w:tcPr>
            <w:tcW w:w="2600" w:type="dxa"/>
            <w:vAlign w:val="top"/>
          </w:tcPr>
          <w:p>
            <w:pPr>
              <w:spacing w:after="0"/>
            </w:pPr>
            <w:r>
              <w:rPr>
                <w:i/>
                <w:sz w:val="17"/>
                <w:szCs w:val="17"/>
              </w:rPr>
              <w:t xml:space="preserve">« couplé à l'osmolarité plasmatique mesurée »</w:t>
            </w:r>
          </w:p>
        </w:tc>
        <w:tc>
          <w:tcPr>
            <w:tcW w:w="3000" w:type="dxa"/>
            <w:vAlign w:val="top"/>
          </w:tcPr>
          <w:p>
            <w:pPr>
              <w:spacing w:after="40"/>
            </w:pPr>
            <w:r>
              <w:rPr>
                <w:sz w:val="17"/>
                <w:szCs w:val="17"/>
              </w:rPr>
              <w:t xml:space="preserve">Le laboratoire mesure une osmolalité (mOsm/kg) et non une osmolarité, qui se calcule ; le même passage emploie ensuite « osmolalité urinaire ».</w:t>
            </w:r>
          </w:p>
          <w:p>
            <w:pPr>
              <w:spacing w:after="0"/>
            </w:pPr>
            <w:r>
              <w:rPr>
                <w:b/>
                <w:color w:val="145A32"/>
                <w:sz w:val="17"/>
                <w:szCs w:val="17"/>
              </w:rPr>
              <w:t xml:space="preserve">→ Écrire « couplé à l'osmolalité plasmatique mesurée ».</w:t>
            </w:r>
          </w:p>
        </w:tc>
        <w:tc>
          <w:tcPr>
            <w:tcW w:w="1800" w:type="dxa"/>
            <w:vAlign w:val="top"/>
          </w:tcPr>
          <w:p>
            <w:pPr>
              <w:spacing w:after="0"/>
            </w:pPr>
            <w:r>
              <w:rPr>
                <w:sz w:val="17"/>
                <w:szCs w:val="17"/>
              </w:rPr>
              <w:t xml:space="preserve">Terminologie de chimie clinique (osmolalité mesurée par cryoscopie)</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EBF5FB"/>
            <w:vAlign w:val="top"/>
          </w:tcPr>
          <w:p>
            <w:pPr>
              <w:spacing w:after="0"/>
            </w:pPr>
            <w:r>
              <w:rPr>
                <w:sz w:val="17"/>
                <w:szCs w:val="17"/>
              </w:rPr>
              <w:t xml:space="preserve">L5-L71</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LOT_5_Appel_B_V5_Ultra_Pedagogique_Partie_2_DX.3_a_DX.5__export_GoogleDoc.html</w:t>
            </w:r>
          </w:p>
        </w:tc>
        <w:tc>
          <w:tcPr>
            <w:tcW w:w="2350" w:type="dxa"/>
            <w:vAlign w:val="top"/>
          </w:tcPr>
          <w:p>
            <w:pPr>
              <w:spacing w:after="0"/>
            </w:pPr>
            <w:r>
              <w:rPr>
                <w:sz w:val="17"/>
                <w:szCs w:val="17"/>
              </w:rPr>
              <w:t xml:space="preserve">D5.4 › Fenêtre 3.4 › tableau (7 occurrences de code LaTeX dans le fichier)</w:t>
            </w:r>
          </w:p>
        </w:tc>
        <w:tc>
          <w:tcPr>
            <w:tcW w:w="2600" w:type="dxa"/>
            <w:vAlign w:val="top"/>
          </w:tcPr>
          <w:p>
            <w:pPr>
              <w:spacing w:after="0"/>
            </w:pPr>
            <w:r>
              <w:rPr>
                <w:i/>
                <w:sz w:val="17"/>
                <w:szCs w:val="17"/>
              </w:rPr>
              <w:t xml:space="preserve">« perfusion d'urgence de $\text{NaCl } 3\%$ »</w:t>
            </w:r>
          </w:p>
        </w:tc>
        <w:tc>
          <w:tcPr>
            <w:tcW w:w="3000" w:type="dxa"/>
            <w:vAlign w:val="top"/>
          </w:tcPr>
          <w:p>
            <w:pPr>
              <w:spacing w:after="40"/>
            </w:pPr>
            <w:r>
              <w:rPr>
                <w:sz w:val="17"/>
                <w:szCs w:val="17"/>
              </w:rPr>
              <w:t xml:space="preserve">Du code LaTeX brut s'affiche au lecteur (7 occurrences).</w:t>
            </w:r>
          </w:p>
          <w:p>
            <w:pPr>
              <w:spacing w:after="0"/>
            </w:pPr>
            <w:r>
              <w:rPr>
                <w:b/>
                <w:color w:val="145A32"/>
                <w:sz w:val="17"/>
                <w:szCs w:val="17"/>
              </w:rPr>
              <w:t xml:space="preserve">→ Écrire « NaCl 3 % » en texte HTML.</w:t>
            </w:r>
          </w:p>
        </w:tc>
        <w:tc>
          <w:tcPr>
            <w:tcW w:w="1800" w:type="dxa"/>
            <w:vAlign w:val="top"/>
          </w:tcPr>
          <w:p>
            <w:pPr>
              <w:spacing w:after="0"/>
            </w:pPr>
            <w:r>
              <w:rPr>
                <w:sz w:val="17"/>
                <w:szCs w:val="17"/>
              </w:rPr>
              <w:t xml:space="preserve">PROMPT_V6 (Standard V6, prompt de base du lot) § 9</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EBF5FB"/>
            <w:vAlign w:val="top"/>
          </w:tcPr>
          <w:p>
            <w:pPr>
              <w:spacing w:after="0"/>
            </w:pPr>
            <w:r>
              <w:rPr>
                <w:sz w:val="17"/>
                <w:szCs w:val="17"/>
              </w:rPr>
              <w:t xml:space="preserve">L5-L72</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LOT_5_Appel_B_V5_Ultra_Pedagogique_Partie_2_DX.3_a_DX.5__export_GoogleDoc.html</w:t>
            </w:r>
          </w:p>
        </w:tc>
        <w:tc>
          <w:tcPr>
            <w:tcW w:w="2350" w:type="dxa"/>
            <w:vAlign w:val="top"/>
          </w:tcPr>
          <w:p>
            <w:pPr>
              <w:spacing w:after="0"/>
            </w:pPr>
            <w:r>
              <w:rPr>
                <w:sz w:val="17"/>
                <w:szCs w:val="17"/>
              </w:rPr>
              <w:t xml:space="preserve">D5.3 › 9. Examens › 2e intention</w:t>
            </w:r>
          </w:p>
        </w:tc>
        <w:tc>
          <w:tcPr>
            <w:tcW w:w="2600" w:type="dxa"/>
            <w:vAlign w:val="top"/>
          </w:tcPr>
          <w:p>
            <w:pPr>
              <w:spacing w:after="0"/>
            </w:pPr>
            <w:r>
              <w:rPr>
                <w:i/>
                <w:sz w:val="17"/>
                <w:szCs w:val="17"/>
              </w:rPr>
              <w:t xml:space="preserve">« Dosage des métanéphrines urinaires ou plasmatiques des 24h »</w:t>
            </w:r>
          </w:p>
        </w:tc>
        <w:tc>
          <w:tcPr>
            <w:tcW w:w="3000" w:type="dxa"/>
            <w:vAlign w:val="top"/>
          </w:tcPr>
          <w:p>
            <w:pPr>
              <w:spacing w:after="40"/>
            </w:pPr>
            <w:r>
              <w:rPr>
                <w:sz w:val="17"/>
                <w:szCs w:val="17"/>
              </w:rPr>
              <w:t xml:space="preserve">Le recueil de 24 heures concerne seulement les urines ; la formulation l'applique aussi au plasma.</w:t>
            </w:r>
          </w:p>
          <w:p>
            <w:pPr>
              <w:spacing w:after="0"/>
            </w:pPr>
            <w:r>
              <w:rPr>
                <w:b/>
                <w:color w:val="145A32"/>
                <w:sz w:val="17"/>
                <w:szCs w:val="17"/>
              </w:rPr>
              <w:t xml:space="preserve">→ Écrire « Dosage des métanéphrines plasmatiques libres ou des métanéphrines urinaires des 24 heures ».</w:t>
            </w:r>
          </w:p>
        </w:tc>
        <w:tc>
          <w:tcPr>
            <w:tcW w:w="1800" w:type="dxa"/>
            <w:vAlign w:val="top"/>
          </w:tcPr>
          <w:p>
            <w:pPr>
              <w:spacing w:after="0"/>
            </w:pPr>
            <w:r>
              <w:rPr>
                <w:sz w:val="17"/>
                <w:szCs w:val="17"/>
              </w:rPr>
              <w:t xml:space="preserve">Terminologie de biologie clinique</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EBF5FB"/>
            <w:vAlign w:val="top"/>
          </w:tcPr>
          <w:p>
            <w:pPr>
              <w:spacing w:after="0"/>
            </w:pPr>
            <w:r>
              <w:rPr>
                <w:sz w:val="17"/>
                <w:szCs w:val="17"/>
              </w:rPr>
              <w:t xml:space="preserve">L5-L84</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LOT_5_Appel_B_V5_Ultra_Pedagogique_Partie_3_DX.6_a_DX.7__export_GoogleDoc.html</w:t>
            </w:r>
          </w:p>
        </w:tc>
        <w:tc>
          <w:tcPr>
            <w:tcW w:w="2350" w:type="dxa"/>
            <w:vAlign w:val="top"/>
          </w:tcPr>
          <w:p>
            <w:pPr>
              <w:spacing w:after="0"/>
            </w:pPr>
            <w:r>
              <w:rPr>
                <w:sz w:val="17"/>
                <w:szCs w:val="17"/>
              </w:rPr>
              <w:t xml:space="preserve">D5.6 › 3. Physiopathologie</w:t>
            </w:r>
          </w:p>
        </w:tc>
        <w:tc>
          <w:tcPr>
            <w:tcW w:w="2600" w:type="dxa"/>
            <w:vAlign w:val="top"/>
          </w:tcPr>
          <w:p>
            <w:pPr>
              <w:spacing w:after="0"/>
            </w:pPr>
            <w:r>
              <w:rPr>
                <w:i/>
                <w:sz w:val="17"/>
                <w:szCs w:val="17"/>
              </w:rPr>
              <w:t xml:space="preserve">« récepteurs vagaux unmyélinisés de type C »</w:t>
            </w:r>
          </w:p>
        </w:tc>
        <w:tc>
          <w:tcPr>
            <w:tcW w:w="3000" w:type="dxa"/>
            <w:vAlign w:val="top"/>
          </w:tcPr>
          <w:p>
            <w:pPr>
              <w:spacing w:after="40"/>
            </w:pPr>
            <w:r>
              <w:rPr>
                <w:sz w:val="17"/>
                <w:szCs w:val="17"/>
              </w:rPr>
              <w:t xml:space="preserve">Le terme « unmyélinisés » est un anglicisme.</w:t>
            </w:r>
          </w:p>
          <w:p>
            <w:pPr>
              <w:spacing w:after="0"/>
            </w:pPr>
            <w:r>
              <w:rPr>
                <w:b/>
                <w:color w:val="145A32"/>
                <w:sz w:val="17"/>
                <w:szCs w:val="17"/>
              </w:rPr>
              <w:t xml:space="preserve">→ Écrire « récepteurs vagaux amyéliniques de type C ».</w:t>
            </w:r>
          </w:p>
        </w:tc>
        <w:tc>
          <w:tcPr>
            <w:tcW w:w="1800" w:type="dxa"/>
            <w:vAlign w:val="top"/>
          </w:tcPr>
          <w:p>
            <w:pPr>
              <w:spacing w:after="0"/>
            </w:pPr>
            <w:r>
              <w:rPr>
                <w:sz w:val="17"/>
                <w:szCs w:val="17"/>
              </w:rPr>
              <w:t xml:space="preserve">Terminologie médicale française</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EBF5FB"/>
            <w:vAlign w:val="top"/>
          </w:tcPr>
          <w:p>
            <w:pPr>
              <w:spacing w:after="0"/>
            </w:pPr>
            <w:r>
              <w:rPr>
                <w:sz w:val="17"/>
                <w:szCs w:val="17"/>
              </w:rPr>
              <w:t xml:space="preserve">L5-L85</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LOT_5_Appel_B_V5_Ultra_Pedagogique_Partie_3_DX.6_a_DX.7__export_GoogleDoc.html</w:t>
            </w:r>
          </w:p>
        </w:tc>
        <w:tc>
          <w:tcPr>
            <w:tcW w:w="2350" w:type="dxa"/>
            <w:vAlign w:val="top"/>
          </w:tcPr>
          <w:p>
            <w:pPr>
              <w:spacing w:after="0"/>
            </w:pPr>
            <w:r>
              <w:rPr>
                <w:sz w:val="17"/>
                <w:szCs w:val="17"/>
              </w:rPr>
              <w:t xml:space="preserve">D5.6 › 6. Examen physique</w:t>
            </w:r>
          </w:p>
        </w:tc>
        <w:tc>
          <w:tcPr>
            <w:tcW w:w="2600" w:type="dxa"/>
            <w:vAlign w:val="top"/>
          </w:tcPr>
          <w:p>
            <w:pPr>
              <w:spacing w:after="0"/>
            </w:pPr>
            <w:r>
              <w:rPr>
                <w:i/>
                <w:sz w:val="17"/>
                <w:szCs w:val="17"/>
              </w:rPr>
              <w:t xml:space="preserve">« de nouveaux soufles d'insuffisance mitrale aiguë »</w:t>
            </w:r>
          </w:p>
        </w:tc>
        <w:tc>
          <w:tcPr>
            <w:tcW w:w="3000" w:type="dxa"/>
            <w:vAlign w:val="top"/>
          </w:tcPr>
          <w:p>
            <w:pPr>
              <w:spacing w:after="40"/>
            </w:pPr>
            <w:r>
              <w:rPr>
                <w:sz w:val="17"/>
                <w:szCs w:val="17"/>
              </w:rPr>
              <w:t xml:space="preserve">Le mot « souffles » est mal orthographié.</w:t>
            </w:r>
          </w:p>
          <w:p>
            <w:pPr>
              <w:spacing w:after="0"/>
            </w:pPr>
            <w:r>
              <w:rPr>
                <w:b/>
                <w:color w:val="145A32"/>
                <w:sz w:val="17"/>
                <w:szCs w:val="17"/>
              </w:rPr>
              <w:t xml:space="preserve">→ Écrire « de nouveaux souffles d'insuffisance mitrale aiguë ».</w:t>
            </w:r>
          </w:p>
        </w:tc>
        <w:tc>
          <w:tcPr>
            <w:tcW w:w="1800" w:type="dxa"/>
            <w:vAlign w:val="top"/>
          </w:tcPr>
          <w:p>
            <w:pPr>
              <w:spacing w:after="0"/>
            </w:pPr>
            <w:r>
              <w:rPr>
                <w:sz w:val="17"/>
                <w:szCs w:val="17"/>
              </w:rPr>
              <w:t xml:space="preserve">Orthographe française usuelle</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EBF5FB"/>
            <w:vAlign w:val="top"/>
          </w:tcPr>
          <w:p>
            <w:pPr>
              <w:spacing w:after="0"/>
            </w:pPr>
            <w:r>
              <w:rPr>
                <w:sz w:val="17"/>
                <w:szCs w:val="17"/>
              </w:rPr>
              <w:t xml:space="preserve">L5-L86</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LOT_5_Appel_B_V5_Ultra_Pedagogique_Partie_3_DX.6_a_DX.7__export_GoogleDoc.html</w:t>
            </w:r>
          </w:p>
        </w:tc>
        <w:tc>
          <w:tcPr>
            <w:tcW w:w="2350" w:type="dxa"/>
            <w:vAlign w:val="top"/>
          </w:tcPr>
          <w:p>
            <w:pPr>
              <w:spacing w:after="0"/>
            </w:pPr>
            <w:r>
              <w:rPr>
                <w:sz w:val="17"/>
                <w:szCs w:val="17"/>
              </w:rPr>
              <w:t xml:space="preserve">D5.6 › 11.D</w:t>
            </w:r>
          </w:p>
        </w:tc>
        <w:tc>
          <w:tcPr>
            <w:tcW w:w="2600" w:type="dxa"/>
            <w:vAlign w:val="top"/>
          </w:tcPr>
          <w:p>
            <w:pPr>
              <w:spacing w:after="0"/>
            </w:pPr>
            <w:r>
              <w:rPr>
                <w:i/>
                <w:sz w:val="17"/>
                <w:szCs w:val="17"/>
              </w:rPr>
              <w:t xml:space="preserve">« les stents ultrathes biodégradables »</w:t>
            </w:r>
          </w:p>
        </w:tc>
        <w:tc>
          <w:tcPr>
            <w:tcW w:w="3000" w:type="dxa"/>
            <w:vAlign w:val="top"/>
          </w:tcPr>
          <w:p>
            <w:pPr>
              <w:spacing w:after="40"/>
            </w:pPr>
            <w:r>
              <w:rPr>
                <w:sz w:val="17"/>
                <w:szCs w:val="17"/>
              </w:rPr>
              <w:t xml:space="preserve">Le mot « ultrathes » est une coquille (anglicisme tronqué de ultrathin).</w:t>
            </w:r>
          </w:p>
          <w:p>
            <w:pPr>
              <w:spacing w:after="0"/>
            </w:pPr>
            <w:r>
              <w:rPr>
                <w:b/>
                <w:color w:val="145A32"/>
                <w:sz w:val="17"/>
                <w:szCs w:val="17"/>
              </w:rPr>
              <w:t xml:space="preserve">→ Écrire « les stents ultrafins biorésorbables ».</w:t>
            </w:r>
          </w:p>
        </w:tc>
        <w:tc>
          <w:tcPr>
            <w:tcW w:w="1800" w:type="dxa"/>
            <w:vAlign w:val="top"/>
          </w:tcPr>
          <w:p>
            <w:pPr>
              <w:spacing w:after="0"/>
            </w:pPr>
            <w:r>
              <w:rPr>
                <w:sz w:val="17"/>
                <w:szCs w:val="17"/>
              </w:rPr>
              <w:t xml:space="preserve">Terminologie médicale française</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EBF5FB"/>
            <w:vAlign w:val="top"/>
          </w:tcPr>
          <w:p>
            <w:pPr>
              <w:spacing w:after="0"/>
            </w:pPr>
            <w:r>
              <w:rPr>
                <w:sz w:val="17"/>
                <w:szCs w:val="17"/>
              </w:rPr>
              <w:t xml:space="preserve">L5-L87</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LOT_5_Appel_B_V5_Ultra_Pedagogique_Partie_3_DX.6_a_DX.7__export_GoogleDoc.html</w:t>
            </w:r>
          </w:p>
        </w:tc>
        <w:tc>
          <w:tcPr>
            <w:tcW w:w="2350" w:type="dxa"/>
            <w:vAlign w:val="top"/>
          </w:tcPr>
          <w:p>
            <w:pPr>
              <w:spacing w:after="0"/>
            </w:pPr>
            <w:r>
              <w:rPr>
                <w:sz w:val="17"/>
                <w:szCs w:val="17"/>
              </w:rPr>
              <w:t xml:space="preserve">D5.7 › Fenêtre 3.7 › tableau › ligne BAT</w:t>
            </w:r>
          </w:p>
        </w:tc>
        <w:tc>
          <w:tcPr>
            <w:tcW w:w="2600" w:type="dxa"/>
            <w:vAlign w:val="top"/>
          </w:tcPr>
          <w:p>
            <w:pPr>
              <w:spacing w:after="0"/>
            </w:pPr>
            <w:r>
              <w:rPr>
                <w:i/>
                <w:sz w:val="17"/>
                <w:szCs w:val="17"/>
              </w:rPr>
              <w:t xml:space="preserve">« Artère normale (médια et élastique intime intègres) »</w:t>
            </w:r>
          </w:p>
        </w:tc>
        <w:tc>
          <w:tcPr>
            <w:tcW w:w="3000" w:type="dxa"/>
            <w:vAlign w:val="top"/>
          </w:tcPr>
          <w:p>
            <w:pPr>
              <w:spacing w:after="40"/>
            </w:pPr>
            <w:r>
              <w:rPr>
                <w:sz w:val="17"/>
                <w:szCs w:val="17"/>
              </w:rPr>
              <w:t xml:space="preserve">Le mot « média » contient une lettre grecque (ια) et « élastique intime » est incomplet.</w:t>
            </w:r>
          </w:p>
          <w:p>
            <w:pPr>
              <w:spacing w:after="0"/>
            </w:pPr>
            <w:r>
              <w:rPr>
                <w:b/>
                <w:color w:val="145A32"/>
                <w:sz w:val="17"/>
                <w:szCs w:val="17"/>
              </w:rPr>
              <w:t xml:space="preserve">→ Écrire « Artère normale (média et limitante élastique interne intègres) ».</w:t>
            </w:r>
          </w:p>
        </w:tc>
        <w:tc>
          <w:tcPr>
            <w:tcW w:w="1800" w:type="dxa"/>
            <w:vAlign w:val="top"/>
          </w:tcPr>
          <w:p>
            <w:pPr>
              <w:spacing w:after="0"/>
            </w:pPr>
            <w:r>
              <w:rPr>
                <w:sz w:val="17"/>
                <w:szCs w:val="17"/>
              </w:rPr>
              <w:t xml:space="preserve">Terminologie histologique</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EBF5FB"/>
            <w:vAlign w:val="top"/>
          </w:tcPr>
          <w:p>
            <w:pPr>
              <w:spacing w:after="0"/>
            </w:pPr>
            <w:r>
              <w:rPr>
                <w:sz w:val="17"/>
                <w:szCs w:val="17"/>
              </w:rPr>
              <w:t xml:space="preserve">L5-L88</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LOT_5_Appel_B_V5_Ultra_Pedagogique_Partie_3_DX.6_a_DX.7__export_GoogleDoc.html</w:t>
            </w:r>
          </w:p>
        </w:tc>
        <w:tc>
          <w:tcPr>
            <w:tcW w:w="2350" w:type="dxa"/>
            <w:vAlign w:val="top"/>
          </w:tcPr>
          <w:p>
            <w:pPr>
              <w:spacing w:after="0"/>
            </w:pPr>
            <w:r>
              <w:rPr>
                <w:sz w:val="17"/>
                <w:szCs w:val="17"/>
              </w:rPr>
              <w:t xml:space="preserve">D5.7 › 1. Définition</w:t>
            </w:r>
          </w:p>
        </w:tc>
        <w:tc>
          <w:tcPr>
            <w:tcW w:w="2600" w:type="dxa"/>
            <w:vAlign w:val="top"/>
          </w:tcPr>
          <w:p>
            <w:pPr>
              <w:spacing w:after="0"/>
            </w:pPr>
            <w:r>
              <w:rPr>
                <w:i/>
                <w:sz w:val="17"/>
                <w:szCs w:val="17"/>
              </w:rPr>
              <w:t xml:space="preserve">« une asthénie, une subfébrile, un amaigrissement »</w:t>
            </w:r>
          </w:p>
        </w:tc>
        <w:tc>
          <w:tcPr>
            <w:tcW w:w="3000" w:type="dxa"/>
            <w:vAlign w:val="top"/>
          </w:tcPr>
          <w:p>
            <w:pPr>
              <w:spacing w:after="40"/>
            </w:pPr>
            <w:r>
              <w:rPr>
                <w:sz w:val="17"/>
                <w:szCs w:val="17"/>
              </w:rPr>
              <w:t xml:space="preserve">« Subfébrile » est un adjectif employé ici comme nom.</w:t>
            </w:r>
          </w:p>
          <w:p>
            <w:pPr>
              <w:spacing w:after="0"/>
            </w:pPr>
            <w:r>
              <w:rPr>
                <w:b/>
                <w:color w:val="145A32"/>
                <w:sz w:val="17"/>
                <w:szCs w:val="17"/>
              </w:rPr>
              <w:t xml:space="preserve">→ Écrire « une asthénie, un état subfébrile, un amaigrissement ».</w:t>
            </w:r>
          </w:p>
        </w:tc>
        <w:tc>
          <w:tcPr>
            <w:tcW w:w="1800" w:type="dxa"/>
            <w:vAlign w:val="top"/>
          </w:tcPr>
          <w:p>
            <w:pPr>
              <w:spacing w:after="0"/>
            </w:pPr>
            <w:r>
              <w:rPr>
                <w:sz w:val="17"/>
                <w:szCs w:val="17"/>
              </w:rPr>
              <w:t xml:space="preserve">Grammaire française</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EBF5FB"/>
            <w:vAlign w:val="top"/>
          </w:tcPr>
          <w:p>
            <w:pPr>
              <w:spacing w:after="0"/>
            </w:pPr>
            <w:r>
              <w:rPr>
                <w:sz w:val="17"/>
                <w:szCs w:val="17"/>
              </w:rPr>
              <w:t xml:space="preserve">L5-L89</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LOT_5_Appel_B_V5_Ultra_Pedagogique_Partie_3_DX.6_a_DX.7__export_GoogleDoc.html</w:t>
            </w:r>
          </w:p>
        </w:tc>
        <w:tc>
          <w:tcPr>
            <w:tcW w:w="2350" w:type="dxa"/>
            <w:vAlign w:val="top"/>
          </w:tcPr>
          <w:p>
            <w:pPr>
              <w:spacing w:after="0"/>
            </w:pPr>
            <w:r>
              <w:rPr>
                <w:sz w:val="17"/>
                <w:szCs w:val="17"/>
              </w:rPr>
              <w:t xml:space="preserve">D5.7 › 11.B › Moyens non médicamenteux</w:t>
            </w:r>
          </w:p>
        </w:tc>
        <w:tc>
          <w:tcPr>
            <w:tcW w:w="2600" w:type="dxa"/>
            <w:vAlign w:val="top"/>
          </w:tcPr>
          <w:p>
            <w:pPr>
              <w:spacing w:after="0"/>
            </w:pPr>
            <w:r>
              <w:rPr>
                <w:i/>
                <w:sz w:val="17"/>
                <w:szCs w:val="17"/>
              </w:rPr>
              <w:t xml:space="preserve">« d'un biphosphonates (ex. Alendronate) »</w:t>
            </w:r>
          </w:p>
        </w:tc>
        <w:tc>
          <w:tcPr>
            <w:tcW w:w="3000" w:type="dxa"/>
            <w:vAlign w:val="top"/>
          </w:tcPr>
          <w:p>
            <w:pPr>
              <w:spacing w:after="40"/>
            </w:pPr>
            <w:r>
              <w:rPr>
                <w:sz w:val="17"/>
                <w:szCs w:val="17"/>
              </w:rPr>
              <w:t xml:space="preserve">L'article singulier ne s'accorde pas avec le nom pluriel.</w:t>
            </w:r>
          </w:p>
          <w:p>
            <w:pPr>
              <w:spacing w:after="0"/>
            </w:pPr>
            <w:r>
              <w:rPr>
                <w:b/>
                <w:color w:val="145A32"/>
                <w:sz w:val="17"/>
                <w:szCs w:val="17"/>
              </w:rPr>
              <w:t xml:space="preserve">→ Écrire « d'un bisphosphonate (p. ex. alendronate) ».</w:t>
            </w:r>
          </w:p>
        </w:tc>
        <w:tc>
          <w:tcPr>
            <w:tcW w:w="1800" w:type="dxa"/>
            <w:vAlign w:val="top"/>
          </w:tcPr>
          <w:p>
            <w:pPr>
              <w:spacing w:after="0"/>
            </w:pPr>
            <w:r>
              <w:rPr>
                <w:sz w:val="17"/>
                <w:szCs w:val="17"/>
              </w:rPr>
              <w:t xml:space="preserve">Grammaire française</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EBF5FB"/>
            <w:vAlign w:val="top"/>
          </w:tcPr>
          <w:p>
            <w:pPr>
              <w:spacing w:after="0"/>
            </w:pPr>
            <w:r>
              <w:rPr>
                <w:sz w:val="17"/>
                <w:szCs w:val="17"/>
              </w:rPr>
              <w:t xml:space="preserve">L5-L90</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LOT_5_Appel_B_V5_Ultra_Pedagogique_Partie_3_DX.6_a_DX.7__export_GoogleDoc.html</w:t>
            </w:r>
          </w:p>
        </w:tc>
        <w:tc>
          <w:tcPr>
            <w:tcW w:w="2350" w:type="dxa"/>
            <w:vAlign w:val="top"/>
          </w:tcPr>
          <w:p>
            <w:pPr>
              <w:spacing w:after="0"/>
            </w:pPr>
            <w:r>
              <w:rPr>
                <w:sz w:val="17"/>
                <w:szCs w:val="17"/>
              </w:rPr>
              <w:t xml:space="preserve">D5.6 › 12. Prévention</w:t>
            </w:r>
          </w:p>
        </w:tc>
        <w:tc>
          <w:tcPr>
            <w:tcW w:w="2600" w:type="dxa"/>
            <w:vAlign w:val="top"/>
          </w:tcPr>
          <w:p>
            <w:pPr>
              <w:spacing w:after="0"/>
            </w:pPr>
            <w:r>
              <w:rPr>
                <w:i/>
                <w:sz w:val="17"/>
                <w:szCs w:val="17"/>
              </w:rPr>
              <w:t xml:space="preserve">« (HbA1c &lt; 7,0 %) »</w:t>
            </w:r>
          </w:p>
        </w:tc>
        <w:tc>
          <w:tcPr>
            <w:tcW w:w="3000" w:type="dxa"/>
            <w:vAlign w:val="top"/>
          </w:tcPr>
          <w:p>
            <w:pPr>
              <w:spacing w:after="40"/>
            </w:pPr>
            <w:r>
              <w:rPr>
                <w:sz w:val="17"/>
                <w:szCs w:val="17"/>
              </w:rPr>
              <w:t xml:space="preserve">L'HbA1c n'est donnée qu'en pourcentage, sans l'unité SI.</w:t>
            </w:r>
          </w:p>
          <w:p>
            <w:pPr>
              <w:spacing w:after="0"/>
            </w:pPr>
            <w:r>
              <w:rPr>
                <w:b/>
                <w:color w:val="145A32"/>
                <w:sz w:val="17"/>
                <w:szCs w:val="17"/>
              </w:rPr>
              <w:t xml:space="preserve">→ Écrire « HbA1c &lt; 53 mmol/mol (7,0 %) ».</w:t>
            </w:r>
          </w:p>
        </w:tc>
        <w:tc>
          <w:tcPr>
            <w:tcW w:w="1800" w:type="dxa"/>
            <w:vAlign w:val="top"/>
          </w:tcPr>
          <w:p>
            <w:pPr>
              <w:spacing w:after="0"/>
            </w:pPr>
            <w:r>
              <w:rPr>
                <w:sz w:val="17"/>
                <w:szCs w:val="17"/>
              </w:rPr>
              <w:t xml:space="preserve">PROMPT_V6 (Standard V6, prompt de base du lot) § 6.8, § 13</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EBF5FB"/>
            <w:vAlign w:val="top"/>
          </w:tcPr>
          <w:p>
            <w:pPr>
              <w:spacing w:after="0"/>
            </w:pPr>
            <w:r>
              <w:rPr>
                <w:sz w:val="17"/>
                <w:szCs w:val="17"/>
              </w:rPr>
              <w:t xml:space="preserve">L5-L91</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LOT_5_Appel_B_V5_Ultra_Pedagogique_Partie_3_DX.6_a_DX.7__export_GoogleDoc.html</w:t>
            </w:r>
          </w:p>
        </w:tc>
        <w:tc>
          <w:tcPr>
            <w:tcW w:w="2350" w:type="dxa"/>
            <w:vAlign w:val="top"/>
          </w:tcPr>
          <w:p>
            <w:pPr>
              <w:spacing w:after="0"/>
            </w:pPr>
            <w:r>
              <w:rPr>
                <w:sz w:val="17"/>
                <w:szCs w:val="17"/>
              </w:rPr>
              <w:t xml:space="preserve">D5.6 › 8. Diagnostic positif (10 occurrences d'ordinaux dans le fichier)</w:t>
            </w:r>
          </w:p>
        </w:tc>
        <w:tc>
          <w:tcPr>
            <w:tcW w:w="2600" w:type="dxa"/>
            <w:vAlign w:val="top"/>
          </w:tcPr>
          <w:p>
            <w:pPr>
              <w:spacing w:after="0"/>
            </w:pPr>
            <w:r>
              <w:rPr>
                <w:i/>
                <w:sz w:val="17"/>
                <w:szCs w:val="17"/>
              </w:rPr>
              <w:t xml:space="preserve">« 4ème Définition Universelle de l'Infarctus du Myocarde »</w:t>
            </w:r>
          </w:p>
        </w:tc>
        <w:tc>
          <w:tcPr>
            <w:tcW w:w="3000" w:type="dxa"/>
            <w:vAlign w:val="top"/>
          </w:tcPr>
          <w:p>
            <w:pPr>
              <w:spacing w:after="40"/>
            </w:pPr>
            <w:r>
              <w:rPr>
                <w:sz w:val="17"/>
                <w:szCs w:val="17"/>
              </w:rPr>
              <w:t xml:space="preserve">Les ordinaux « 4ème », « 99ème », « 1ère », « 2ème » ne respectent pas la typographie française (10 occurrences).</w:t>
            </w:r>
          </w:p>
          <w:p>
            <w:pPr>
              <w:spacing w:after="0"/>
            </w:pPr>
            <w:r>
              <w:rPr>
                <w:b/>
                <w:color w:val="145A32"/>
                <w:sz w:val="17"/>
                <w:szCs w:val="17"/>
              </w:rPr>
              <w:t xml:space="preserve">→ Écrire « 4e », « 99e », « 1re », « 2e ».</w:t>
            </w:r>
          </w:p>
        </w:tc>
        <w:tc>
          <w:tcPr>
            <w:tcW w:w="1800" w:type="dxa"/>
            <w:vAlign w:val="top"/>
          </w:tcPr>
          <w:p>
            <w:pPr>
              <w:spacing w:after="0"/>
            </w:pPr>
            <w:r>
              <w:rPr>
                <w:sz w:val="17"/>
                <w:szCs w:val="17"/>
              </w:rPr>
              <w:t xml:space="preserve">Lexique des règles typographiques en usage à l'Imprimerie nationale</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EBF5FB"/>
            <w:vAlign w:val="top"/>
          </w:tcPr>
          <w:p>
            <w:pPr>
              <w:spacing w:after="0"/>
            </w:pPr>
            <w:r>
              <w:rPr>
                <w:sz w:val="17"/>
                <w:szCs w:val="17"/>
              </w:rPr>
              <w:t xml:space="preserve">L5-M14</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LOT_5_Appel_B_V5_Ultra_Pedagogique_Partie_1_DX.1_a_DX.2__export_GoogleDoc.html</w:t>
            </w:r>
          </w:p>
        </w:tc>
        <w:tc>
          <w:tcPr>
            <w:tcW w:w="2350" w:type="dxa"/>
            <w:vAlign w:val="top"/>
          </w:tcPr>
          <w:p>
            <w:pPr>
              <w:spacing w:after="0"/>
            </w:pPr>
            <w:r>
              <w:rPr>
                <w:sz w:val="17"/>
                <w:szCs w:val="17"/>
              </w:rPr>
              <w:t xml:space="preserve">D5.1 › point 5 Drapeaux rouges (et 16 autres occurrences en Parties 1, 2 et 4)</w:t>
            </w:r>
          </w:p>
        </w:tc>
        <w:tc>
          <w:tcPr>
            <w:tcW w:w="2600" w:type="dxa"/>
            <w:vAlign w:val="top"/>
          </w:tcPr>
          <w:p>
            <w:pPr>
              <w:spacing w:after="0"/>
            </w:pPr>
            <w:r>
              <w:rPr>
                <w:i/>
                <w:sz w:val="17"/>
                <w:szCs w:val="17"/>
              </w:rPr>
              <w:t xml:space="preserve">« une dyspnée de repos avec $\text{SpO}_2 &lt; 92\ \%$ ou fréquence respiratoire »</w:t>
            </w:r>
          </w:p>
        </w:tc>
        <w:tc>
          <w:tcPr>
            <w:tcW w:w="3000" w:type="dxa"/>
            <w:vAlign w:val="top"/>
          </w:tcPr>
          <w:p>
            <w:pPr>
              <w:spacing w:after="40"/>
            </w:pPr>
            <w:r>
              <w:rPr>
                <w:sz w:val="17"/>
                <w:szCs w:val="17"/>
              </w:rPr>
              <w:t xml:space="preserve">Des formules LaTeX non rendues s'affichent en code brut ($\text{…}$) et rendent les seuils difficiles à lire.</w:t>
            </w:r>
          </w:p>
          <w:p>
            <w:pPr>
              <w:spacing w:after="0"/>
            </w:pPr>
            <w:r>
              <w:rPr>
                <w:b/>
                <w:color w:val="145A32"/>
                <w:sz w:val="17"/>
                <w:szCs w:val="17"/>
              </w:rPr>
              <w:t xml:space="preserve">→ Remplacer chaque fragment LaTeX par du texte HTML (SpO&lt;sub&gt;2&lt;/sub&gt; &lt; 92 %).</w:t>
            </w:r>
          </w:p>
        </w:tc>
        <w:tc>
          <w:tcPr>
            <w:tcW w:w="1800" w:type="dxa"/>
            <w:vAlign w:val="top"/>
          </w:tcPr>
          <w:p>
            <w:pPr>
              <w:spacing w:after="0"/>
            </w:pPr>
            <w:r>
              <w:rPr>
                <w:sz w:val="17"/>
                <w:szCs w:val="17"/>
              </w:rPr>
              <w:t xml:space="preserve">PROMPT_V6.md (prompt de base du chantier PROFILES), § 6.7 et § 9</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EBF5FB"/>
            <w:vAlign w:val="top"/>
          </w:tcPr>
          <w:p>
            <w:pPr>
              <w:spacing w:after="0"/>
            </w:pPr>
            <w:r>
              <w:rPr>
                <w:sz w:val="17"/>
                <w:szCs w:val="17"/>
              </w:rPr>
              <w:t xml:space="preserve">L5-M44</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LOT_5_Appel_B_V5_Ultra_Pedagogique_Partie_4_DX.8_a_DX.10__export_GoogleDoc__v2.html</w:t>
            </w:r>
          </w:p>
        </w:tc>
        <w:tc>
          <w:tcPr>
            <w:tcW w:w="2350" w:type="dxa"/>
            <w:vAlign w:val="top"/>
          </w:tcPr>
          <w:p>
            <w:pPr>
              <w:spacing w:after="0"/>
            </w:pPr>
            <w:r>
              <w:rPr>
                <w:sz w:val="17"/>
                <w:szCs w:val="17"/>
              </w:rPr>
              <w:t xml:space="preserve">D5.8 › point 10 Arbre décisionnel</w:t>
            </w:r>
          </w:p>
        </w:tc>
        <w:tc>
          <w:tcPr>
            <w:tcW w:w="2600" w:type="dxa"/>
            <w:vAlign w:val="top"/>
          </w:tcPr>
          <w:p>
            <w:pPr>
              <w:spacing w:after="0"/>
            </w:pPr>
            <w:r>
              <w:rPr>
                <w:i/>
                <w:sz w:val="17"/>
                <w:szCs w:val="17"/>
              </w:rPr>
              <w:t xml:space="preserve">« hypoglycémie (Grisé/Gucose IV) »</w:t>
            </w:r>
          </w:p>
        </w:tc>
        <w:tc>
          <w:tcPr>
            <w:tcW w:w="3000" w:type="dxa"/>
            <w:vAlign w:val="top"/>
          </w:tcPr>
          <w:p>
            <w:pPr>
              <w:spacing w:after="40"/>
            </w:pPr>
            <w:r>
              <w:rPr>
                <w:sz w:val="17"/>
                <w:szCs w:val="17"/>
              </w:rPr>
              <w:t xml:space="preserve">Le traitement de l'hypoglycémie est rendu illisible par une coquille.</w:t>
            </w:r>
          </w:p>
          <w:p>
            <w:pPr>
              <w:spacing w:after="0"/>
            </w:pPr>
            <w:r>
              <w:rPr>
                <w:b/>
                <w:color w:val="145A32"/>
                <w:sz w:val="17"/>
                <w:szCs w:val="17"/>
              </w:rPr>
              <w:t xml:space="preserve">→ Écrire « hypoglycémie (glucose 20 % ou 40 % IV) ».</w:t>
            </w:r>
          </w:p>
        </w:tc>
        <w:tc>
          <w:tcPr>
            <w:tcW w:w="1800" w:type="dxa"/>
            <w:vAlign w:val="top"/>
          </w:tcPr>
          <w:p>
            <w:pPr>
              <w:spacing w:after="0"/>
            </w:pPr>
            <w:r>
              <w:rPr>
                <w:sz w:val="17"/>
                <w:szCs w:val="17"/>
              </w:rPr>
              <w:t xml:space="preserve">PROMPT_V6.md (prompt de base du chantier PROFILES), § 6.8</w:t>
            </w:r>
          </w:p>
        </w:tc>
      </w:tr>
    </w:tbl>
    <w:p>
      <w:pPr>
        <w:spacing w:after="120"/>
      </w:pPr>
    </w:p>
    <w:p>
      <w:pPr>
        <w:pStyle w:val="Titre1"/>
        <w:keepNext/>
      </w:pPr>
      <w:r>
        <w:rPr>
          <w:b/>
          <w:color w:val="1A5276"/>
          <w:sz w:val="26"/>
          <w:szCs w:val="26"/>
        </w:rPr>
        <w:t xml:space="preserve">Rapport d'audit médical</w:t>
      </w:r>
    </w:p>
    <w:p>
      <w:pPr>
        <w:spacing w:after="100"/>
        <w:jc w:val="both"/>
      </w:pPr>
      <w:r>
        <w:rPr>
          <w:sz w:val="19"/>
          <w:szCs w:val="19"/>
        </w:rPr>
        <w:t xml:space="preserve">L'audit médical a porté sur les sept fichiers clonés du LOT_5 (SSP G5, sensation de maladie et malaise général) : les cinq parties V5 exportées de Google Docs, la Partie 4 en deux versions et l'édition V6 « Partie_1 intégrale ». La Partie 4 v2 a été retenue comme version active ; la v1 a seulement reçu un constat de doublon. Les versions V5 portent le contenu clinique détaillé, tandis que la V6 réunit les onze monographies sous une forme très allégée.</w:t>
      </w:r>
    </w:p>
    <w:p>
      <w:pPr>
        <w:spacing w:after="100"/>
        <w:jc w:val="both"/>
      </w:pPr>
      <w:r>
        <w:rPr>
          <w:sz w:val="19"/>
          <w:szCs w:val="19"/>
        </w:rPr>
        <w:t xml:space="preserve">La méthode a consisté à extraire le texte visible, à lire les formules incluses en images PNG, à refaire chaque calcul et à confronter les doses, les seuils et les spécialités à des sources européennes ou suisses consultées en ligne le 22.10.2026 : RCP EMA de Tamiflu, recommandation européenne sur l'hyponatrémie, ESC 2023 sur l'endocardite, Surviving Sepsis Campaign 2026, critères ACR/EULAR 2022, guide officiel du 4AT, données du programme national suisse sur le sepsis et bases suisses de spécialités. Chaque extrait a été vérifié par script contre le texte du fichier.</w:t>
      </w:r>
    </w:p>
    <w:p>
      <w:pPr>
        <w:spacing w:after="100"/>
        <w:jc w:val="both"/>
      </w:pPr>
      <w:r>
        <w:rPr>
          <w:sz w:val="19"/>
          <w:szCs w:val="19"/>
        </w:rPr>
        <w:t xml:space="preserve">Le lot présente de vraies forces : la démarche ne-pas-manquer (ECG chez le diabétique, CO collectif, hémocultures avant antibiotique, corticothérapie sans attendre la biopsie) est bien choisie, les pièges d'examen sont pertinents et la plupart des posologies courantes (paracétamol, ceftriaxone, tocilizumab, méthylprednisolone, quétiapine) sont plausibles. L'édition V6 corrige d'ailleurs l'algorithme CAM et la place du qSOFA.</w:t>
      </w:r>
    </w:p>
    <w:p>
      <w:pPr>
        <w:spacing w:after="100"/>
        <w:jc w:val="both"/>
      </w:pPr>
      <w:r>
        <w:rPr>
          <w:sz w:val="19"/>
          <w:szCs w:val="19"/>
        </w:rPr>
        <w:t xml:space="preserve">Les faiblesses majeures touchent des calculs et des scores faux : la correction de Katz utilise un facteur en mg/dL avec une glycémie en mmol/L et conclut à tort à une natrémie normale, l'exemple SOFA et ses seuils rénaux sont erronés, la CAM et le 4AT sont mal cotés, et les critères de l'artérite à cellules géantes sont attribués à l'ACR/EULAR alors qu'il s'agit des critères ACR 1990. Les badges de fréquence et plusieurs données épidémiologiques ne reposent sur aucune source, et aucune version V5 ne comporte de section Sources.</w:t>
      </w:r>
    </w:p>
    <w:p>
      <w:pPr>
        <w:spacing w:after="100"/>
        <w:jc w:val="both"/>
      </w:pPr>
      <w:r>
        <w:rPr>
          <w:sz w:val="19"/>
          <w:szCs w:val="19"/>
        </w:rPr>
        <w:t xml:space="preserve">Plusieurs erreurs exposent directement le patient : la dose de gluconate de calcium dans l'hyperkaliémie est trois fois trop faible, l'adaptation rénale de l'oseltamivir est fausse, l'adaptation rénale du nirmatrelvir/ritonavir manque, la gentamicine est proposée dans l'endocardite staphylococcique sur valve native et l'exemple d'intoxication au CO à 28–34 % d'HbCO n'envisage pas l'oxygène hyperbare. Des spécialités non suisses ou mal décrites (Lipitor®, Fortum®, Resonium® présenté comme sel de calcium, Orbenine®) induiraient l'étudiant en erreur à l'examen fédéral.</w:t>
      </w:r>
    </w:p>
    <w:p>
      <w:pPr>
        <w:spacing w:after="100"/>
        <w:jc w:val="both"/>
      </w:pPr>
      <w:r>
        <w:rPr>
          <w:sz w:val="19"/>
          <w:szCs w:val="19"/>
        </w:rPr>
        <w:t xml:space="preserve">Sur le plan structurel, toutes les versions V5 violent la règle 0 (Google Docs exportés, sans fenêtres, sans FIN_FICHIER), la Partie 4 est dupliquée et l'édition V6 mélange l'Appel A et les dix DX dans un fichier nommé « Partie_1 », cite le CDC et contient pour D5.1 un texte sur la bronchite et la coqueluche issu d'un autre lot. La liste des dix DX omet en outre la néoplasie occulte et les endocrinopathies, causes graves de malaise général.</w:t>
      </w:r>
    </w:p>
    <w:p>
      <w:pPr>
        <w:spacing w:after="100"/>
        <w:jc w:val="both"/>
      </w:pPr>
      <w:r>
        <w:rPr>
          <w:sz w:val="19"/>
          <w:szCs w:val="19"/>
        </w:rPr>
        <w:t xml:space="preserve">Les priorités de correction sont donc, dans l'ordre : corriger les doses et conduites dangereuses (calcium, oseltamivir, Paxlovid, gentamicine, CO), refaire les calculs et scores (Katz, SOFA, CAM, 4AT, ACG), remplacer les spécialités non suisses, puis sourcer ou retirer les pourcentages. Il faut ensuite reconstruire un jeu unique de cinq fichiers HTML natifs qui reprend la richesse des V5 corrigées dans le gabarit V6, avec sources numérotées et mention de non-validation, et compléter la liste des DX.</w:t>
      </w:r>
    </w:p>
    <w:p>
      <w:pPr>
        <w:pStyle w:val="Titre1"/>
        <w:keepNext/>
      </w:pPr>
      <w:r>
        <w:rPr>
          <w:b/>
          <w:color w:val="1A5276"/>
          <w:sz w:val="26"/>
          <w:szCs w:val="26"/>
        </w:rPr>
        <w:t xml:space="preserve">Rapport d'audit linguistique</w:t>
      </w:r>
    </w:p>
    <w:p>
      <w:pPr>
        <w:spacing w:after="100"/>
        <w:jc w:val="both"/>
      </w:pPr>
      <w:r>
        <w:rPr>
          <w:sz w:val="19"/>
          <w:szCs w:val="19"/>
        </w:rPr>
        <w:t xml:space="preserve">L'audit linguistique et de conformité porte sur les sept fichiers clonés du LOT_5 (SSP G5, Sensation de maladie / malaise) : l'Appel A, les Parties 1 à 3, les deux versions de la Partie 4 (18:01 et 18:10) et le fichier HTML « V6_Enrichi_8plus_Partie_1_Integral ». La version 18:10 de la Partie 4 est la version active ; la version 18:01 est un doublon périmé qui reçoit un seul constat de structure. Le fichier V6 réunit les 11 monographies dans un seul document et a été audité comme une version concurrente de l'ensemble du lot.</w:t>
      </w:r>
    </w:p>
    <w:p>
      <w:pPr>
        <w:spacing w:after="100"/>
        <w:jc w:val="both"/>
      </w:pPr>
      <w:r>
        <w:rPr>
          <w:sz w:val="19"/>
          <w:szCs w:val="19"/>
        </w:rPr>
        <w:t xml:space="preserve">L'auditeur a lu le prompt de base V6 en entier, puis il a extrait le texte visible de chaque fichier et l'a comparé point par point aux exigences des § 0 à 16. Il a recalculé les scores et formules (SOFA, Katz, indice de choc, 4AT) et vérifié les affirmations contestées dans des sources lues : RCP EMA de Tamiflu, SSC 2026, recommandation européenne sur l'hyponatrémie, critères ACR/EULAR 2022, guide officiel du 4AT, notice BioFire BCID2, compendium.ch et ch.oddb.org. Chaque extrait a été contrôlé par script Python sur le texte sans balises et n'apparaît qu'une fois dans son fichier.</w:t>
      </w:r>
    </w:p>
    <w:p>
      <w:pPr>
        <w:spacing w:after="100"/>
        <w:jc w:val="both"/>
      </w:pPr>
      <w:r>
        <w:rPr>
          <w:sz w:val="19"/>
          <w:szCs w:val="19"/>
        </w:rPr>
        <w:t xml:space="preserve">Les fichiers Google Docs ont des forces réelles. Ils respectent le plan en 14 points avec les sous-parties 11.A à 11.D, ils proposent une fenêtre bio-mathématique par DX avec un exemple chiffré, et ils formulent des pièges d'examen pertinents (ECG devant un malaise du diabétique, oxymétrie trompeuse dans l'intoxication au CO, corticothérapie sans attendre la biopsie dans l'artérite à cellules géantes). Le fichier V6 corrige plusieurs erreurs de fond (règle de la CAM, critères Duke-ISCVID 2023, place du qSOFA) et il emploie des phrases verbales courtes de façon régulière.</w:t>
      </w:r>
    </w:p>
    <w:p>
      <w:pPr>
        <w:spacing w:after="100"/>
        <w:jc w:val="both"/>
      </w:pPr>
      <w:r>
        <w:rPr>
          <w:sz w:val="19"/>
          <w:szCs w:val="19"/>
        </w:rPr>
        <w:t xml:space="preserve">Les faiblesses majeures sont structurelles. Les six fichiers V5 sont des Google Docs exportés, sans FIN_FICHIER, avec des équations rendues en images, sans aucune fenêtre &lt;details&gt;, sans section Sources [Sn] et sans mention de non-validation. Les pourcentages des badges totalisent exactement 100 % sans source, et presque toutes les données épidémiologiques sont attribuées à des sociétés savantes sans document identifiable. L'Appel A n'a ni tableau comparatif ni algorithme discriminant. Le fichier V6 corrige la forme, mais il vide le fond : il ne contient aucun tableau, aucune valeur SI, aucune posologie, il répète ses points clés mot pour mot, il recopie un contenu sur la coqueluche dans D5.1, il utilise title= sur 33 fenêtres et il cite le CDC.</w:t>
      </w:r>
    </w:p>
    <w:p>
      <w:pPr>
        <w:spacing w:after="100"/>
        <w:jc w:val="both"/>
      </w:pPr>
      <w:r>
        <w:rPr>
          <w:sz w:val="19"/>
          <w:szCs w:val="19"/>
        </w:rPr>
        <w:t xml:space="preserve">Plusieurs erreurs de fond exposent l'étudiant à de faux apprentissages et, à terme, le patient. L'adaptation rénale de l'oseltamivir est fausse ; la cotation SOFA de l'exemple et le barème rénal sont faux ; la correction de Katz conclut à tort à une natrémie normale ; la classification européenne de l'hyponatrémie est mal reproduite ; la règle de la CAM et la cotation du 4AT sont fausses ; les critères de l'artérite à cellules géantes datent de 1990 sous une étiquette 2022 ; le prétraitement P2Y12 systématique contredit l'ESC 2023 ; la place du qSOFA contredit la SSC 2026. Plusieurs spécialités ne sont pas suisses (Lipitor®, Orbénine®) ou restent non vérifiées.</w:t>
      </w:r>
    </w:p>
    <w:p>
      <w:pPr>
        <w:spacing w:after="100"/>
        <w:jc w:val="both"/>
      </w:pPr>
      <w:r>
        <w:rPr>
          <w:sz w:val="19"/>
          <w:szCs w:val="19"/>
        </w:rPr>
        <w:t xml:space="preserve">Sur le plan de la langue, les fichiers V5 alternent des phrases verbales correctes avec des listes télégraphiques (« Classe : … Molécule : … »), des phrases de plus de 60 mots, des anglicismes (safety-netting, unmyélinisés, DELIRIUM), des ordinaux non conformes (« 1ère », « 4ème »), du code LaTeX et des astérisques Markdown affichés tels quels, et une dizaine de coquilles (thyréotoxicitose, gériérique, Grisé/Gucose, désinpactation).</w:t>
      </w:r>
    </w:p>
    <w:p>
      <w:pPr>
        <w:spacing w:after="100"/>
        <w:jc w:val="both"/>
      </w:pPr>
      <w:r>
        <w:rPr>
          <w:sz w:val="19"/>
          <w:szCs w:val="19"/>
        </w:rPr>
        <w:t xml:space="preserve">Les priorités de correction sont les suivantes : 1) corriger immédiatement les erreurs de dose et de calcul (oseltamivir, SOFA, Katz, 4AT, CAM, hyponatrémie) ; 2) régénérer les cinq fichiers en HTML natif selon le gabarit V6, avec fenêtres sourcées, sources [Sn], FIN_FICHIER et nommage canonique, en partant du fond des fichiers V5 corrigé et non du fichier V6 appauvri ; 3) remplacer tous les pourcentages non sourcés par le rang ou par « donnée non trouvée dans les sources consultées » et envoyer les questions dans HELP ; 4) compléter l'Appel A par le tableau comparatif et l'algorithme ; 5) retirer les doublons (Partie 4 v1, puis les versions concurrentes) vers CORBEILLE_DOUBLONS_OBSOLETES.</w:t>
      </w:r>
    </w:p>
    <w:p>
      <w:pPr/>
      <w:r>
        <w:rPr>
          <w:i/>
          <w:color w:val="5D6D7E"/>
          <w:sz w:val="16"/>
          <w:szCs w:val="16"/>
        </w:rPr>
        <w:t xml:space="preserve">Audit produit par IA à partir des sources citées ; il ne remplace pas une validation clinique par un médecin.</w:t>
      </w:r>
    </w:p>
    <w:sectPr>
      <w:pgSz w:w="16838" w:h="11906" w:orient="landscape"/>
      <w:pgMar w:top="850" w:right="850" w:bottom="850" w:left="850" w:header="400" w:footer="400" w:gutter="0"/>
    </w:sectPr>
  </w:body>
</w:document>
</file>

<file path=word/styles.xml><?xml version="1.0" encoding="utf-8"?>
<w:styles xmlns:w="http://schemas.openxmlformats.org/wordprocessingml/2006/main">
  <w:docDefaults>
    <w:rPrDefault>
      <w:rPr>
        <w:rFonts w:ascii="Calibri" w:hAnsi="Calibri" w:eastAsia="Calibri" w:cs="Calibri"/>
        <w:sz w:val="20"/>
        <w:lang w:val="fr-CH"/>
      </w:rPr>
    </w:rPrDefault>
    <w:pPrDefault>
      <w:pPr>
        <w:spacing w:after="80" w:line="264" w:lineRule="auto"/>
      </w:pPr>
    </w:pPrDefault>
  </w:docDefaults>
  <w:style w:type="paragraph" w:default="1" w:styleId="Normal">
    <w:name w:val="Normal"/>
  </w:style>
  <w:style w:type="paragraph" w:styleId="Titre1">
    <w:name w:val="heading 1"/>
    <w:basedOn w:val="Normal"/>
    <w:pPr>
      <w:keepNext/>
      <w:spacing w:before="240" w:after="100"/>
      <w:pBdr>
        <w:bottom w:val="single" w:sz="8" w:space="2" w:color="2980B9"/>
      </w:pBdr>
      <w:outlineLvl w:val="0"/>
    </w:p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