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after="60"/>
      </w:pPr>
      <w:r>
        <w:rPr>
          <w:b/>
          <w:color w:val="1A5276"/>
          <w:sz w:val="40"/>
          <w:szCs w:val="40"/>
        </w:rPr>
        <w:t xml:space="preserve">LOT 3 — Soif excessive (polydipsie) (SSP G3)</w:t>
      </w:r>
    </w:p>
    <w:p>
      <w:pPr>
        <w:spacing w:after="60"/>
      </w:pPr>
      <w:r>
        <w:rPr>
          <w:i/>
          <w:color w:val="5D6D7E"/>
          <w:sz w:val="24"/>
          <w:szCs w:val="24"/>
        </w:rPr>
        <w:t xml:space="preserve">Liste des problèmes à corriger — audit médical, linguistique et conformité au prompt de base</w:t>
      </w:r>
    </w:p>
    <w:p>
      <w:pPr>
        <w:spacing w:after="200"/>
      </w:pPr>
      <w:r>
        <w:rPr>
          <w:color w:val="5D6D7E"/>
          <w:sz w:val="18"/>
          <w:szCs w:val="18"/>
        </w:rPr>
        <w:t xml:space="preserve">Audit du 2026-10-22 · Claude — audits médical et linguistique indépendants</w:t>
      </w:r>
    </w:p>
    <w:p>
      <w:pPr>
        <w:pStyle w:val="Titre1"/>
        <w:keepNext/>
      </w:pPr>
      <w:r>
        <w:rPr>
          <w:b/>
          <w:color w:val="1A5276"/>
          <w:sz w:val="26"/>
          <w:szCs w:val="26"/>
        </w:rPr>
        <w:t xml:space="preserve">Mode d'emploi</w:t>
      </w:r>
    </w:p>
    <w:p>
      <w:pPr>
        <w:spacing w:after="40"/>
      </w:pPr>
      <w:r>
        <w:rPr>
          <w:sz w:val="19"/>
          <w:szCs w:val="19"/>
        </w:rPr>
        <w:t xml:space="preserve">• Chaque ligne décrit un problème et son emplacement exact. Le correcteur n'a pas besoin de relire le lot entier.</w:t>
      </w:r>
    </w:p>
    <w:p>
      <w:pPr>
        <w:spacing w:after="40"/>
      </w:pPr>
      <w:r>
        <w:rPr>
          <w:sz w:val="19"/>
          <w:szCs w:val="19"/>
        </w:rPr>
        <w:t xml:space="preserve">• L'emplacement suit le chemin Fichier › Bloc › point › fenêtre. L'extrait cite le texte fautif mot pour mot : une recherche Ctrl+F le retrouve.</w:t>
      </w:r>
    </w:p>
    <w:p>
      <w:pPr>
        <w:spacing w:after="40"/>
      </w:pPr>
      <w:r>
        <w:rPr>
          <w:sz w:val="19"/>
          <w:szCs w:val="19"/>
        </w:rPr>
        <w:t xml:space="preserve">• Le correcteur applique la correction, puis il clique sur la case : elle se coche en rouge (☒).</w:t>
      </w:r>
    </w:p>
    <w:p>
      <w:pPr>
        <w:spacing w:after="40"/>
      </w:pPr>
      <w:r>
        <w:rPr>
          <w:sz w:val="19"/>
          <w:szCs w:val="19"/>
        </w:rPr>
        <w:t xml:space="preserve">• L'auditeur suivant contrôle chaque case cochée avant de valider le lot.</w:t>
      </w:r>
    </w:p>
    <w:p>
      <w:pPr>
        <w:pStyle w:val="Titre1"/>
        <w:keepNext/>
      </w:pPr>
      <w:r>
        <w:rPr>
          <w:b/>
          <w:color w:val="1A5276"/>
          <w:sz w:val="26"/>
          <w:szCs w:val="26"/>
        </w:rPr>
        <w:t xml:space="preserve">Synthèse</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1800"/>
        <w:gridCol w:w="1100"/>
        <w:gridCol w:w="11500"/>
      </w:tblGrid>
      <w:tr>
        <w:trPr>
          <w:tblHeader/>
          <w:cantSplit/>
        </w:trPr>
        <w:tc>
          <w:tcPr>
            <w:tcW w:w="1800" w:type="dxa"/>
            <w:shd w:val="clear" w:color="auto" w:fill="1A5276"/>
            <w:vAlign w:val="top"/>
          </w:tcPr>
          <w:p>
            <w:pPr>
              <w:spacing w:after="0"/>
            </w:pPr>
            <w:r>
              <w:rPr>
                <w:b/>
                <w:color w:val="FFFFFF"/>
                <w:sz w:val="17"/>
                <w:szCs w:val="17"/>
              </w:rPr>
              <w:t xml:space="preserve">Gravité</w:t>
            </w:r>
          </w:p>
        </w:tc>
        <w:tc>
          <w:tcPr>
            <w:tcW w:w="1100" w:type="dxa"/>
            <w:shd w:val="clear" w:color="auto" w:fill="1A5276"/>
            <w:vAlign w:val="top"/>
          </w:tcPr>
          <w:p>
            <w:pPr>
              <w:spacing w:after="0"/>
            </w:pPr>
            <w:r>
              <w:rPr>
                <w:b/>
                <w:color w:val="FFFFFF"/>
                <w:sz w:val="17"/>
                <w:szCs w:val="17"/>
              </w:rPr>
              <w:t xml:space="preserve">Nombre</w:t>
            </w:r>
          </w:p>
        </w:tc>
        <w:tc>
          <w:tcPr>
            <w:tcW w:w="11500" w:type="dxa"/>
            <w:shd w:val="clear" w:color="auto" w:fill="1A5276"/>
            <w:vAlign w:val="top"/>
          </w:tcPr>
          <w:p>
            <w:pPr>
              <w:spacing w:after="0"/>
            </w:pPr>
            <w:r>
              <w:rPr>
                <w:b/>
                <w:color w:val="FFFFFF"/>
                <w:sz w:val="17"/>
                <w:szCs w:val="17"/>
              </w:rPr>
              <w:t xml:space="preserve">Définition</w:t>
            </w:r>
          </w:p>
        </w:tc>
      </w:tr>
      <w:tr>
        <w:trPr>
          <w:cantSplit/>
        </w:trPr>
        <w:tc>
          <w:tcPr>
            <w:tcW w:w="1800" w:type="dxa"/>
            <w:shd w:val="clear" w:color="auto" w:fill="FADBD8"/>
            <w:vAlign w:val="top"/>
          </w:tcPr>
          <w:p>
            <w:pPr>
              <w:spacing w:after="0"/>
            </w:pPr>
            <w:r>
              <w:rPr>
                <w:sz w:val="17"/>
                <w:szCs w:val="17"/>
              </w:rPr>
              <w:t xml:space="preserve">Critique</w:t>
            </w:r>
          </w:p>
        </w:tc>
        <w:tc>
          <w:tcPr>
            <w:tcW w:w="1100" w:type="dxa"/>
            <w:shd w:val="clear" w:color="auto" w:fill="FADBD8"/>
            <w:vAlign w:val="top"/>
          </w:tcPr>
          <w:p>
            <w:pPr>
              <w:spacing w:after="0"/>
            </w:pPr>
            <w:r>
              <w:rPr>
                <w:sz w:val="17"/>
                <w:szCs w:val="17"/>
              </w:rPr>
              <w:t xml:space="preserve">5</w:t>
            </w:r>
          </w:p>
        </w:tc>
        <w:tc>
          <w:tcPr>
            <w:tcW w:w="11500" w:type="dxa"/>
            <w:shd w:val="clear" w:color="auto" w:fill="FADBD8"/>
            <w:vAlign w:val="top"/>
          </w:tcPr>
          <w:p>
            <w:pPr>
              <w:spacing w:after="0"/>
            </w:pPr>
            <w:r>
              <w:rPr>
                <w:sz w:val="17"/>
                <w:szCs w:val="17"/>
              </w:rPr>
              <w:t xml:space="preserve">L'erreur peut nuire à un patient (dose, contre-indication, conduite dangereuse). Correction immédiate.</w:t>
            </w:r>
          </w:p>
        </w:tc>
      </w:tr>
      <w:tr>
        <w:trPr>
          <w:cantSplit/>
        </w:trPr>
        <w:tc>
          <w:tcPr>
            <w:tcW w:w="1800" w:type="dxa"/>
            <w:shd w:val="clear" w:color="auto" w:fill="FDEBD0"/>
            <w:vAlign w:val="top"/>
          </w:tcPr>
          <w:p>
            <w:pPr>
              <w:spacing w:after="0"/>
            </w:pPr>
            <w:r>
              <w:rPr>
                <w:sz w:val="17"/>
                <w:szCs w:val="17"/>
              </w:rPr>
              <w:t xml:space="preserve">Grave</w:t>
            </w:r>
          </w:p>
        </w:tc>
        <w:tc>
          <w:tcPr>
            <w:tcW w:w="1100" w:type="dxa"/>
            <w:shd w:val="clear" w:color="auto" w:fill="FDEBD0"/>
            <w:vAlign w:val="top"/>
          </w:tcPr>
          <w:p>
            <w:pPr>
              <w:spacing w:after="0"/>
            </w:pPr>
            <w:r>
              <w:rPr>
                <w:sz w:val="17"/>
                <w:szCs w:val="17"/>
              </w:rPr>
              <w:t xml:space="preserve">59</w:t>
            </w:r>
          </w:p>
        </w:tc>
        <w:tc>
          <w:tcPr>
            <w:tcW w:w="11500" w:type="dxa"/>
            <w:shd w:val="clear" w:color="auto" w:fill="FDEBD0"/>
            <w:vAlign w:val="top"/>
          </w:tcPr>
          <w:p>
            <w:pPr>
              <w:spacing w:after="0"/>
            </w:pPr>
            <w:r>
              <w:rPr>
                <w:sz w:val="17"/>
                <w:szCs w:val="17"/>
              </w:rPr>
              <w:t xml:space="preserve">Le contenu est faux, non sourcé ou viole une règle absolue du prompt de base.</w:t>
            </w:r>
          </w:p>
        </w:tc>
      </w:tr>
      <w:tr>
        <w:trPr>
          <w:cantSplit/>
        </w:trPr>
        <w:tc>
          <w:tcPr>
            <w:tcW w:w="1800" w:type="dxa"/>
            <w:shd w:val="clear" w:color="auto" w:fill="FEF9E7"/>
            <w:vAlign w:val="top"/>
          </w:tcPr>
          <w:p>
            <w:pPr>
              <w:spacing w:after="0"/>
            </w:pPr>
            <w:r>
              <w:rPr>
                <w:sz w:val="17"/>
                <w:szCs w:val="17"/>
              </w:rPr>
              <w:t xml:space="preserve">Moyen</w:t>
            </w:r>
          </w:p>
        </w:tc>
        <w:tc>
          <w:tcPr>
            <w:tcW w:w="1100" w:type="dxa"/>
            <w:shd w:val="clear" w:color="auto" w:fill="FEF9E7"/>
            <w:vAlign w:val="top"/>
          </w:tcPr>
          <w:p>
            <w:pPr>
              <w:spacing w:after="0"/>
            </w:pPr>
            <w:r>
              <w:rPr>
                <w:sz w:val="17"/>
                <w:szCs w:val="17"/>
              </w:rPr>
              <w:t xml:space="preserve">50</w:t>
            </w:r>
          </w:p>
        </w:tc>
        <w:tc>
          <w:tcPr>
            <w:tcW w:w="11500" w:type="dxa"/>
            <w:shd w:val="clear" w:color="auto" w:fill="FEF9E7"/>
            <w:vAlign w:val="top"/>
          </w:tcPr>
          <w:p>
            <w:pPr>
              <w:spacing w:after="0"/>
            </w:pPr>
            <w:r>
              <w:rPr>
                <w:sz w:val="17"/>
                <w:szCs w:val="17"/>
              </w:rPr>
              <w:t xml:space="preserve">Le contenu est incomplet, imprécis ou mal structuré ; la pédagogie en souffre.</w:t>
            </w:r>
          </w:p>
        </w:tc>
      </w:tr>
      <w:tr>
        <w:trPr>
          <w:cantSplit/>
        </w:trPr>
        <w:tc>
          <w:tcPr>
            <w:tcW w:w="1800" w:type="dxa"/>
            <w:shd w:val="clear" w:color="auto" w:fill="EBF5FB"/>
            <w:vAlign w:val="top"/>
          </w:tcPr>
          <w:p>
            <w:pPr>
              <w:spacing w:after="0"/>
            </w:pPr>
            <w:r>
              <w:rPr>
                <w:sz w:val="17"/>
                <w:szCs w:val="17"/>
              </w:rPr>
              <w:t xml:space="preserve">Léger</w:t>
            </w:r>
          </w:p>
        </w:tc>
        <w:tc>
          <w:tcPr>
            <w:tcW w:w="1100" w:type="dxa"/>
            <w:shd w:val="clear" w:color="auto" w:fill="EBF5FB"/>
            <w:vAlign w:val="top"/>
          </w:tcPr>
          <w:p>
            <w:pPr>
              <w:spacing w:after="0"/>
            </w:pPr>
            <w:r>
              <w:rPr>
                <w:sz w:val="17"/>
                <w:szCs w:val="17"/>
              </w:rPr>
              <w:t xml:space="preserve">13</w:t>
            </w:r>
          </w:p>
        </w:tc>
        <w:tc>
          <w:tcPr>
            <w:tcW w:w="11500" w:type="dxa"/>
            <w:shd w:val="clear" w:color="auto" w:fill="EBF5FB"/>
            <w:vAlign w:val="top"/>
          </w:tcPr>
          <w:p>
            <w:pPr>
              <w:spacing w:after="0"/>
            </w:pPr>
            <w:r>
              <w:rPr>
                <w:sz w:val="17"/>
                <w:szCs w:val="17"/>
              </w:rPr>
              <w:t xml:space="preserve">Faute de langue, de typographie ou de mise en forme sans conséquence sur le fond.</w:t>
            </w:r>
          </w:p>
        </w:tc>
      </w:tr>
      <w:tr>
        <w:trPr>
          <w:cantSplit/>
        </w:trPr>
        <w:tc>
          <w:tcPr>
            <w:tcW w:w="1800" w:type="dxa"/>
            <w:shd w:val="clear" w:color="auto" w:fill="EAECEE"/>
            <w:vAlign w:val="top"/>
          </w:tcPr>
          <w:p>
            <w:pPr>
              <w:spacing w:after="0"/>
            </w:pPr>
            <w:r>
              <w:rPr>
                <w:sz w:val="17"/>
                <w:szCs w:val="17"/>
              </w:rPr>
              <w:t xml:space="preserve">Total</w:t>
            </w:r>
          </w:p>
        </w:tc>
        <w:tc>
          <w:tcPr>
            <w:tcW w:w="1100" w:type="dxa"/>
            <w:shd w:val="clear" w:color="auto" w:fill="EAECEE"/>
            <w:vAlign w:val="top"/>
          </w:tcPr>
          <w:p>
            <w:pPr>
              <w:spacing w:after="0"/>
            </w:pPr>
            <w:r>
              <w:rPr>
                <w:sz w:val="17"/>
                <w:szCs w:val="17"/>
              </w:rPr>
              <w:t xml:space="preserve">127</w:t>
            </w:r>
          </w:p>
        </w:tc>
        <w:tc>
          <w:tcPr>
            <w:tcW w:w="11500" w:type="dxa"/>
            <w:shd w:val="clear" w:color="auto" w:fill="EAECEE"/>
            <w:vAlign w:val="top"/>
          </w:tcPr>
          <w:p>
            <w:pPr>
              <w:spacing w:after="0"/>
            </w:pPr>
            <w:r>
              <w:rPr>
                <w:sz w:val="17"/>
                <w:szCs w:val="17"/>
              </w:rPr>
              <w:t xml:space="preserve"/>
            </w:r>
          </w:p>
        </w:tc>
      </w:tr>
    </w:tbl>
    <w:p>
      <w:pPr>
        <w:spacing w:after="120"/>
      </w:pPr>
    </w:p>
    <w:p>
      <w:pPr>
        <w:spacing w:after="40"/>
      </w:pPr>
      <w:r>
        <w:rPr>
          <w:sz w:val="17"/>
          <w:szCs w:val="17"/>
        </w:rPr>
        <w:t xml:space="preserve">L'audit relève 60 constats : 4 Critiques, 27 Graves, 27 Moyens et 2 Légers. Les dangers portent surtout sur le lithium (restriction sodée, thiazidique) et sur le dénosumab dans l'insuffisance rénale.</w:t>
      </w:r>
    </w:p>
    <w:p>
      <w:pPr>
        <w:spacing w:after="40"/>
      </w:pPr>
      <w:r>
        <w:rPr>
          <w:sz w:val="17"/>
          <w:szCs w:val="17"/>
        </w:rPr>
        <w:t xml:space="preserve">Le lot doit être régénéré en cinq fichiers HTML sourcés, qui combinent la richesse chiffrée des Parties V5, corrigée, et la prudence du V6.</w:t>
      </w:r>
    </w:p>
    <w:p>
      <w:pPr>
        <w:spacing w:after="40"/>
      </w:pPr>
      <w:r>
        <w:rPr>
          <w:sz w:val="17"/>
          <w:szCs w:val="17"/>
        </w:rPr>
        <w:t xml:space="preserve">Le LOT_3 compte 67 constats : 1 critique, 32 graves, 23 moyens et 11 légers.</w:t>
      </w:r>
    </w:p>
    <w:p>
      <w:pPr>
        <w:spacing w:after="40"/>
      </w:pPr>
      <w:r>
        <w:rPr>
          <w:sz w:val="17"/>
          <w:szCs w:val="17"/>
        </w:rPr>
        <w:t xml:space="preserve">La V5 est riche mais livrée en Google Docs, ce qui détruit les fenêtres et les seuils et rend une ligne de potassium dangereuse. La V6 est au format HTML mais appauvrie, monolithique et contaminée par d'autres SSP.</w:t>
      </w:r>
    </w:p>
    <w:p>
      <w:pPr>
        <w:spacing w:after="40"/>
      </w:pPr>
      <w:r>
        <w:rPr>
          <w:sz w:val="17"/>
          <w:szCs w:val="17"/>
        </w:rPr>
        <w:t xml:space="preserve">Il faut régénérer cinq fichiers HTML natifs à partir de la V5 corrigée et sourcée.</w:t>
      </w:r>
    </w:p>
    <w:p>
      <w:pPr>
        <w:pStyle w:val="Titre1"/>
        <w:keepNext/>
      </w:pPr>
      <w:r>
        <w:rPr>
          <w:b/>
          <w:color w:val="1A5276"/>
          <w:sz w:val="26"/>
          <w:szCs w:val="26"/>
        </w:rPr>
        <w:t xml:space="preserve">Fichiers audités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400"/>
        <w:gridCol w:w="4600"/>
        <w:gridCol w:w="1500"/>
        <w:gridCol w:w="1900"/>
      </w:tblGrid>
      <w:tr>
        <w:trPr>
          <w:tblHeader/>
          <w:cantSplit/>
        </w:trPr>
        <w:tc>
          <w:tcPr>
            <w:tcW w:w="6400" w:type="dxa"/>
            <w:shd w:val="clear" w:color="auto" w:fill="1A5276"/>
            <w:vAlign w:val="top"/>
          </w:tcPr>
          <w:p>
            <w:pPr>
              <w:spacing w:after="0"/>
            </w:pPr>
            <w:r>
              <w:rPr>
                <w:b/>
                <w:color w:val="FFFFFF"/>
                <w:sz w:val="17"/>
                <w:szCs w:val="17"/>
              </w:rPr>
              <w:t xml:space="preserve">Fichier</w:t>
            </w:r>
          </w:p>
        </w:tc>
        <w:tc>
          <w:tcPr>
            <w:tcW w:w="4600" w:type="dxa"/>
            <w:shd w:val="clear" w:color="auto" w:fill="1A5276"/>
            <w:vAlign w:val="top"/>
          </w:tcPr>
          <w:p>
            <w:pPr>
              <w:spacing w:after="0"/>
            </w:pPr>
            <w:r>
              <w:rPr>
                <w:b/>
                <w:color w:val="FFFFFF"/>
                <w:sz w:val="17"/>
                <w:szCs w:val="17"/>
              </w:rPr>
              <w:t xml:space="preserve">Identifiant Drive</w:t>
            </w:r>
          </w:p>
        </w:tc>
        <w:tc>
          <w:tcPr>
            <w:tcW w:w="1500" w:type="dxa"/>
            <w:shd w:val="clear" w:color="auto" w:fill="1A5276"/>
            <w:vAlign w:val="top"/>
          </w:tcPr>
          <w:p>
            <w:pPr>
              <w:spacing w:after="0"/>
            </w:pPr>
            <w:r>
              <w:rPr>
                <w:b/>
                <w:color w:val="FFFFFF"/>
                <w:sz w:val="17"/>
                <w:szCs w:val="17"/>
              </w:rPr>
              <w:t xml:space="preserve">Taille (octets)</w:t>
            </w:r>
          </w:p>
        </w:tc>
        <w:tc>
          <w:tcPr>
            <w:tcW w:w="1900" w:type="dxa"/>
            <w:shd w:val="clear" w:color="auto" w:fill="1A5276"/>
            <w:vAlign w:val="top"/>
          </w:tcPr>
          <w:p>
            <w:pPr>
              <w:spacing w:after="0"/>
            </w:pPr>
            <w:r>
              <w:rPr>
                <w:b/>
                <w:color w:val="FFFFFF"/>
                <w:sz w:val="17"/>
                <w:szCs w:val="17"/>
              </w:rPr>
              <w:t xml:space="preserve">Statut</w:t>
            </w:r>
          </w:p>
        </w:tc>
      </w:tr>
      <w:tr>
        <w:trPr>
          <w:cantSplit/>
        </w:trPr>
        <w:tc>
          <w:tcPr>
            <w:tcW w:w="6400" w:type="dxa"/>
            <w:vAlign w:val="top"/>
          </w:tcPr>
          <w:p>
            <w:pPr>
              <w:spacing w:after="0"/>
            </w:pPr>
            <w:r>
              <w:rPr>
                <w:sz w:val="17"/>
                <w:szCs w:val="17"/>
              </w:rPr>
              <w:t xml:space="preserve">LOT_3_Appel_A_V5_Ultra_Pedagogique_Plan_et_Liste__export_GoogleDoc.html</w:t>
            </w:r>
          </w:p>
        </w:tc>
        <w:tc>
          <w:tcPr>
            <w:tcW w:w="4600" w:type="dxa"/>
            <w:vAlign w:val="top"/>
          </w:tcPr>
          <w:p>
            <w:pPr>
              <w:spacing w:after="0"/>
            </w:pPr>
            <w:r>
              <w:rPr>
                <w:sz w:val="17"/>
                <w:szCs w:val="17"/>
              </w:rPr>
              <w:t xml:space="preserve">1PTIEH1rjq3oXwsFP7ZTxUNgNuCakB7ph5wkUtco6X-A</w:t>
            </w:r>
          </w:p>
        </w:tc>
        <w:tc>
          <w:tcPr>
            <w:tcW w:w="1500" w:type="dxa"/>
            <w:vAlign w:val="top"/>
          </w:tcPr>
          <w:p>
            <w:pPr>
              <w:spacing w:after="0"/>
            </w:pPr>
            <w:r>
              <w:rPr>
                <w:sz w:val="17"/>
                <w:szCs w:val="17"/>
              </w:rPr>
              <w:t xml:space="preserve">81638</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LOT_3_Appel_B_V5_Ultra_Pedagogique_Partie_1_D3.1_a_D3.2__export_GoogleDoc.html</w:t>
            </w:r>
          </w:p>
        </w:tc>
        <w:tc>
          <w:tcPr>
            <w:tcW w:w="4600" w:type="dxa"/>
            <w:vAlign w:val="top"/>
          </w:tcPr>
          <w:p>
            <w:pPr>
              <w:spacing w:after="0"/>
            </w:pPr>
            <w:r>
              <w:rPr>
                <w:sz w:val="17"/>
                <w:szCs w:val="17"/>
              </w:rPr>
              <w:t xml:space="preserve">1vrkoE8NPzowCDc93qH2JAlaya8ZNPuaDrqUgrtbK4gE</w:t>
            </w:r>
          </w:p>
        </w:tc>
        <w:tc>
          <w:tcPr>
            <w:tcW w:w="1500" w:type="dxa"/>
            <w:vAlign w:val="top"/>
          </w:tcPr>
          <w:p>
            <w:pPr>
              <w:spacing w:after="0"/>
            </w:pPr>
            <w:r>
              <w:rPr>
                <w:sz w:val="17"/>
                <w:szCs w:val="17"/>
              </w:rPr>
              <w:t xml:space="preserve">228085</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LOT_3_Appel_B_V5_Ultra_Pedagogique_Partie_2_D3.3_a_D3.5__export_GoogleDoc.html</w:t>
            </w:r>
          </w:p>
        </w:tc>
        <w:tc>
          <w:tcPr>
            <w:tcW w:w="4600" w:type="dxa"/>
            <w:vAlign w:val="top"/>
          </w:tcPr>
          <w:p>
            <w:pPr>
              <w:spacing w:after="0"/>
            </w:pPr>
            <w:r>
              <w:rPr>
                <w:sz w:val="17"/>
                <w:szCs w:val="17"/>
              </w:rPr>
              <w:t xml:space="preserve">1Hrc7JlIhVZiaWiAjxlFOgG2OzC1fWBiws4LCr9N1AUg</w:t>
            </w:r>
          </w:p>
        </w:tc>
        <w:tc>
          <w:tcPr>
            <w:tcW w:w="1500" w:type="dxa"/>
            <w:vAlign w:val="top"/>
          </w:tcPr>
          <w:p>
            <w:pPr>
              <w:spacing w:after="0"/>
            </w:pPr>
            <w:r>
              <w:rPr>
                <w:sz w:val="17"/>
                <w:szCs w:val="17"/>
              </w:rPr>
              <w:t xml:space="preserve">177475</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LOT_3_Appel_B_V5_Ultra_Pedagogique_Partie_3_D3.6_a_D3.7__export_GoogleDoc.html</w:t>
            </w:r>
          </w:p>
        </w:tc>
        <w:tc>
          <w:tcPr>
            <w:tcW w:w="4600" w:type="dxa"/>
            <w:vAlign w:val="top"/>
          </w:tcPr>
          <w:p>
            <w:pPr>
              <w:spacing w:after="0"/>
            </w:pPr>
            <w:r>
              <w:rPr>
                <w:sz w:val="17"/>
                <w:szCs w:val="17"/>
              </w:rPr>
              <w:t xml:space="preserve">1AhvLNTDSFgvribxb0_4VeGYzGttlZxwezB-GfE8B2UM</w:t>
            </w:r>
          </w:p>
        </w:tc>
        <w:tc>
          <w:tcPr>
            <w:tcW w:w="1500" w:type="dxa"/>
            <w:vAlign w:val="top"/>
          </w:tcPr>
          <w:p>
            <w:pPr>
              <w:spacing w:after="0"/>
            </w:pPr>
            <w:r>
              <w:rPr>
                <w:sz w:val="17"/>
                <w:szCs w:val="17"/>
              </w:rPr>
              <w:t xml:space="preserve">147325</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LOT_3_Appel_B_V5_Ultra_Pedagogique_Partie_4_D3.8_a_D3.10__export_GoogleDoc.html</w:t>
            </w:r>
          </w:p>
        </w:tc>
        <w:tc>
          <w:tcPr>
            <w:tcW w:w="4600" w:type="dxa"/>
            <w:vAlign w:val="top"/>
          </w:tcPr>
          <w:p>
            <w:pPr>
              <w:spacing w:after="0"/>
            </w:pPr>
            <w:r>
              <w:rPr>
                <w:sz w:val="17"/>
                <w:szCs w:val="17"/>
              </w:rPr>
              <w:t xml:space="preserve">12MZqqgCjlu2E1ZZnObSXZGe8gNy2-wdmk4driKB0Rl8</w:t>
            </w:r>
          </w:p>
        </w:tc>
        <w:tc>
          <w:tcPr>
            <w:tcW w:w="1500" w:type="dxa"/>
            <w:vAlign w:val="top"/>
          </w:tcPr>
          <w:p>
            <w:pPr>
              <w:spacing w:after="0"/>
            </w:pPr>
            <w:r>
              <w:rPr>
                <w:sz w:val="17"/>
                <w:szCs w:val="17"/>
              </w:rPr>
              <w:t xml:space="preserve">207758</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LOT_3_V6_Enrichi_8plus_Partie_1_Integral.html</w:t>
            </w:r>
          </w:p>
        </w:tc>
        <w:tc>
          <w:tcPr>
            <w:tcW w:w="4600" w:type="dxa"/>
            <w:vAlign w:val="top"/>
          </w:tcPr>
          <w:p>
            <w:pPr>
              <w:spacing w:after="0"/>
            </w:pPr>
            <w:r>
              <w:rPr>
                <w:sz w:val="17"/>
                <w:szCs w:val="17"/>
              </w:rPr>
              <w:t xml:space="preserve">1Pr4a9U3ubV8Nd2jWle3o75iOvDlXsKyZ</w:t>
            </w:r>
          </w:p>
        </w:tc>
        <w:tc>
          <w:tcPr>
            <w:tcW w:w="1500" w:type="dxa"/>
            <w:vAlign w:val="top"/>
          </w:tcPr>
          <w:p>
            <w:pPr>
              <w:spacing w:after="0"/>
            </w:pPr>
            <w:r>
              <w:rPr>
                <w:sz w:val="17"/>
                <w:szCs w:val="17"/>
              </w:rPr>
              <w:t xml:space="preserve">85137</w:t>
            </w:r>
          </w:p>
        </w:tc>
        <w:tc>
          <w:tcPr>
            <w:tcW w:w="1900" w:type="dxa"/>
            <w:vAlign w:val="top"/>
          </w:tcPr>
          <w:p>
            <w:pPr>
              <w:spacing w:after="0"/>
            </w:pPr>
            <w:r>
              <w:rPr>
                <w:sz w:val="17"/>
                <w:szCs w:val="17"/>
              </w:rPr>
              <w:t xml:space="preserve">HTML</w:t>
            </w:r>
          </w:p>
        </w:tc>
      </w:tr>
    </w:tbl>
    <w:p>
      <w:pPr>
        <w:spacing w:after="120"/>
      </w:pPr>
    </w:p>
    <w:p>
      <w:pPr>
        <w:pStyle w:val="Titre1"/>
        <w:keepNext/>
      </w:pPr>
      <w:r>
        <w:rPr>
          <w:b/>
          <w:color w:val="8B0000"/>
          <w:sz w:val="26"/>
          <w:szCs w:val="26"/>
        </w:rPr>
        <w:t xml:space="preserve">Critique — 5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8B0000"/>
            <w:vAlign w:val="top"/>
          </w:tcPr>
          <w:p>
            <w:pPr>
              <w:spacing w:after="0"/>
            </w:pPr>
            <w:r>
              <w:rPr>
                <w:b/>
                <w:color w:val="FFFFFF"/>
                <w:sz w:val="17"/>
                <w:szCs w:val="17"/>
              </w:rPr>
              <w:t xml:space="preserve">Fait</w:t>
            </w:r>
          </w:p>
        </w:tc>
        <w:tc>
          <w:tcPr>
            <w:tcW w:w="900" w:type="dxa"/>
            <w:shd w:val="clear" w:color="auto" w:fill="8B0000"/>
            <w:vAlign w:val="top"/>
          </w:tcPr>
          <w:p>
            <w:pPr>
              <w:spacing w:after="0"/>
            </w:pPr>
            <w:r>
              <w:rPr>
                <w:b/>
                <w:color w:val="FFFFFF"/>
                <w:sz w:val="17"/>
                <w:szCs w:val="17"/>
              </w:rPr>
              <w:t xml:space="preserve">N°</w:t>
            </w:r>
          </w:p>
        </w:tc>
        <w:tc>
          <w:tcPr>
            <w:tcW w:w="1250" w:type="dxa"/>
            <w:shd w:val="clear" w:color="auto" w:fill="8B0000"/>
            <w:vAlign w:val="top"/>
          </w:tcPr>
          <w:p>
            <w:pPr>
              <w:spacing w:after="0"/>
            </w:pPr>
            <w:r>
              <w:rPr>
                <w:b/>
                <w:color w:val="FFFFFF"/>
                <w:sz w:val="17"/>
                <w:szCs w:val="17"/>
              </w:rPr>
              <w:t xml:space="preserve">Domaine</w:t>
            </w:r>
          </w:p>
        </w:tc>
        <w:tc>
          <w:tcPr>
            <w:tcW w:w="1900" w:type="dxa"/>
            <w:shd w:val="clear" w:color="auto" w:fill="8B0000"/>
            <w:vAlign w:val="top"/>
          </w:tcPr>
          <w:p>
            <w:pPr>
              <w:spacing w:after="0"/>
            </w:pPr>
            <w:r>
              <w:rPr>
                <w:b/>
                <w:color w:val="FFFFFF"/>
                <w:sz w:val="17"/>
                <w:szCs w:val="17"/>
              </w:rPr>
              <w:t xml:space="preserve">Fichier</w:t>
            </w:r>
          </w:p>
        </w:tc>
        <w:tc>
          <w:tcPr>
            <w:tcW w:w="2350" w:type="dxa"/>
            <w:shd w:val="clear" w:color="auto" w:fill="8B0000"/>
            <w:vAlign w:val="top"/>
          </w:tcPr>
          <w:p>
            <w:pPr>
              <w:spacing w:after="0"/>
            </w:pPr>
            <w:r>
              <w:rPr>
                <w:b/>
                <w:color w:val="FFFFFF"/>
                <w:sz w:val="17"/>
                <w:szCs w:val="17"/>
              </w:rPr>
              <w:t xml:space="preserve">Emplacement</w:t>
            </w:r>
          </w:p>
        </w:tc>
        <w:tc>
          <w:tcPr>
            <w:tcW w:w="2600" w:type="dxa"/>
            <w:shd w:val="clear" w:color="auto" w:fill="8B0000"/>
            <w:vAlign w:val="top"/>
          </w:tcPr>
          <w:p>
            <w:pPr>
              <w:spacing w:after="0"/>
            </w:pPr>
            <w:r>
              <w:rPr>
                <w:b/>
                <w:color w:val="FFFFFF"/>
                <w:sz w:val="17"/>
                <w:szCs w:val="17"/>
              </w:rPr>
              <w:t xml:space="preserve">Extrait exact</w:t>
            </w:r>
          </w:p>
        </w:tc>
        <w:tc>
          <w:tcPr>
            <w:tcW w:w="3000" w:type="dxa"/>
            <w:shd w:val="clear" w:color="auto" w:fill="8B0000"/>
            <w:vAlign w:val="top"/>
          </w:tcPr>
          <w:p>
            <w:pPr>
              <w:spacing w:after="0"/>
            </w:pPr>
            <w:r>
              <w:rPr>
                <w:b/>
                <w:color w:val="FFFFFF"/>
                <w:sz w:val="17"/>
                <w:szCs w:val="17"/>
              </w:rPr>
              <w:t xml:space="preserve">Problème → correction</w:t>
            </w:r>
          </w:p>
        </w:tc>
        <w:tc>
          <w:tcPr>
            <w:tcW w:w="1800" w:type="dxa"/>
            <w:shd w:val="clear" w:color="auto" w:fill="8B0000"/>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L3-L21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LOT_3_Appel_B_V5_Ultra_Pedagogique_Partie_1_D3.1_a_D3.2__export_GoogleDoc.html</w:t>
            </w:r>
          </w:p>
        </w:tc>
        <w:tc>
          <w:tcPr>
            <w:tcW w:w="2350" w:type="dxa"/>
            <w:vAlign w:val="top"/>
          </w:tcPr>
          <w:p>
            <w:pPr>
              <w:spacing w:after="0"/>
            </w:pPr>
            <w:r>
              <w:rPr>
                <w:sz w:val="17"/>
                <w:szCs w:val="17"/>
              </w:rPr>
              <w:t xml:space="preserve">D3.1 › point 11 › fenêtre 11.1 › tableau › ligne « 2. Gestion du Potassium »</w:t>
            </w:r>
          </w:p>
        </w:tc>
        <w:tc>
          <w:tcPr>
            <w:tcW w:w="2600" w:type="dxa"/>
            <w:vAlign w:val="top"/>
          </w:tcPr>
          <w:p>
            <w:pPr>
              <w:spacing w:after="0"/>
            </w:pPr>
            <w:r>
              <w:rPr>
                <w:i/>
                <w:sz w:val="17"/>
                <w:szCs w:val="17"/>
              </w:rPr>
              <w:t xml:space="preserve">« SUSPENDRE L'INSULINE et perfuser 20 à 40 mmol/heure de KCl jusqu'à ce que . »</w:t>
            </w:r>
          </w:p>
        </w:tc>
        <w:tc>
          <w:tcPr>
            <w:tcW w:w="3000" w:type="dxa"/>
            <w:vAlign w:val="top"/>
          </w:tcPr>
          <w:p>
            <w:pPr>
              <w:spacing w:after="40"/>
            </w:pPr>
            <w:r>
              <w:rPr>
                <w:sz w:val="17"/>
                <w:szCs w:val="17"/>
              </w:rPr>
              <w:t xml:space="preserve">La conversion a effacé le seuil de kaliémie (« Si : »), et le débit de 20 à 40 mmol/h de KCl dépasse celui du consensus 2024 (10 mmol/h) : un lecteur peut perfuser trop vite du potassium, au risque d'arythmie.</w:t>
            </w:r>
          </w:p>
          <w:p>
            <w:pPr>
              <w:spacing w:after="0"/>
            </w:pPr>
            <w:r>
              <w:rPr>
                <w:b/>
                <w:color w:val="145A32"/>
                <w:sz w:val="17"/>
                <w:szCs w:val="17"/>
              </w:rPr>
              <w:t xml:space="preserve">→ Écrire : « Si la kaliémie est &lt; 3,5 mmol/L, le médecin diffère l'insuline et débute le KCl à 10 mmol/h jusqu'à une kaliémie &gt; 3,5 mmol/L. Si elle est &gt; 5,0 mmol/L, il ne donne pas de KCl et contrôle la kaliémie toutes les 2 h. » [Sn]</w:t>
            </w:r>
          </w:p>
        </w:tc>
        <w:tc>
          <w:tcPr>
            <w:tcW w:w="1800" w:type="dxa"/>
            <w:vAlign w:val="top"/>
          </w:tcPr>
          <w:p>
            <w:pPr>
              <w:spacing w:after="0"/>
            </w:pPr>
            <w:r>
              <w:rPr>
                <w:sz w:val="17"/>
                <w:szCs w:val="17"/>
              </w:rPr>
              <w:t xml:space="preserve">Umpierrez GE et al. Hyperglycaemic crises in adults with diabetes: a consensus report (ADA, EASD, JBDS, AACE, DTS) — Diabetologia/Diabetes Care, 2024 — https://pmc.ncbi.nlm.nih.gov/articles/PMC11343900/ — consulté le 22.10.2026 : « potassium replacement should begin at a rate of 10 mmol/h, and insulin therapy should be delayed until the potassium level increases to &gt;3.5 mmol/l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L3-M26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11. Prise en charge › B- Moyens et méthodes</w:t>
            </w:r>
          </w:p>
        </w:tc>
        <w:tc>
          <w:tcPr>
            <w:tcW w:w="2600" w:type="dxa"/>
            <w:vAlign w:val="top"/>
          </w:tcPr>
          <w:p>
            <w:pPr>
              <w:spacing w:after="0"/>
            </w:pPr>
            <w:r>
              <w:rPr>
                <w:i/>
                <w:sz w:val="17"/>
                <w:szCs w:val="17"/>
              </w:rPr>
              <w:t xml:space="preserve">« régime hyposodé + thiazidique + amiloride dans la résistance néphrogénique »</w:t>
            </w:r>
          </w:p>
        </w:tc>
        <w:tc>
          <w:tcPr>
            <w:tcW w:w="3000" w:type="dxa"/>
            <w:vAlign w:val="top"/>
          </w:tcPr>
          <w:p>
            <w:pPr>
              <w:spacing w:after="40"/>
            </w:pPr>
            <w:r>
              <w:rPr>
                <w:sz w:val="17"/>
                <w:szCs w:val="17"/>
              </w:rPr>
              <w:t xml:space="preserve">Le fichier recommande sans réserve un régime hyposodé et un thiazidique dans la résistance à l'AVP, alors que sa propre liste en fait surtout une complication du lithium : cette association élève la lithiémie et peut provoquer une intoxication.</w:t>
            </w:r>
          </w:p>
          <w:p>
            <w:pPr>
              <w:spacing w:after="0"/>
            </w:pPr>
            <w:r>
              <w:rPr>
                <w:b/>
                <w:color w:val="145A32"/>
                <w:sz w:val="17"/>
                <w:szCs w:val="17"/>
              </w:rPr>
              <w:t xml:space="preserve">→ Écrire : « Dans la résistance à l'AVP liée au lithium, le médecin privilégie l'amiloride, maintient un apport sodé normal et évite les thiazidiques ; le régime hyposodé et le thiazidique se discutent seulement dans les formes non liées au lithium, sous surveillance spécialisée. »</w:t>
            </w:r>
          </w:p>
        </w:tc>
        <w:tc>
          <w:tcPr>
            <w:tcW w:w="1800" w:type="dxa"/>
            <w:vAlign w:val="top"/>
          </w:tcPr>
          <w:p>
            <w:pPr>
              <w:spacing w:after="0"/>
            </w:pPr>
            <w:r>
              <w:rPr>
                <w:sz w:val="17"/>
                <w:szCs w:val="17"/>
              </w:rPr>
              <w:t xml:space="preserve">Information professionnelle Quilonorm® retard (lithium), AIPS / swissmedicinfo.ch : le lithium ne doit en général pas être administré en cas d'apport réduit en sel de cuisine (risque accru d'intoxication) ; patients invités à maintenir un apport suffisant en liquide et en sel — https://swissmedicinfo-pro.ch/showText.aspx?textType=FI&amp;lang=DE&amp;authNr=35960&amp;supportMultipleResults=1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L3-M45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D3.7 › 11. Prise en charge › B- Moyens › traitement de fond anti-ostéoclastique</w:t>
            </w:r>
          </w:p>
        </w:tc>
        <w:tc>
          <w:tcPr>
            <w:tcW w:w="2600" w:type="dxa"/>
            <w:vAlign w:val="top"/>
          </w:tcPr>
          <w:p>
            <w:pPr>
              <w:spacing w:after="0"/>
            </w:pPr>
            <w:r>
              <w:rPr>
                <w:i/>
                <w:sz w:val="17"/>
                <w:szCs w:val="17"/>
              </w:rPr>
              <w:t xml:space="preserve">« Dénosumab (Xgeva® 60 à 120 mg en injection sous-cutanée ; n'est pas éliminé par le rein) »</w:t>
            </w:r>
          </w:p>
        </w:tc>
        <w:tc>
          <w:tcPr>
            <w:tcW w:w="3000" w:type="dxa"/>
            <w:vAlign w:val="top"/>
          </w:tcPr>
          <w:p>
            <w:pPr>
              <w:spacing w:after="40"/>
            </w:pPr>
            <w:r>
              <w:rPr>
                <w:sz w:val="17"/>
                <w:szCs w:val="17"/>
              </w:rPr>
              <w:t xml:space="preserve">Le dénosumab est proposé précisément chez l'insuffisant rénal sévère, où le risque d'hypocalcémie sévère est le plus élevé ; la dose 60 mg correspond à une autre spécialité et l'hypercalcémie maligne n'est pas une indication de Xgeva® dans l'information professionnelle européenne.</w:t>
            </w:r>
          </w:p>
          <w:p>
            <w:pPr>
              <w:spacing w:after="0"/>
            </w:pPr>
            <w:r>
              <w:rPr>
                <w:b/>
                <w:color w:val="145A32"/>
                <w:sz w:val="17"/>
                <w:szCs w:val="17"/>
              </w:rPr>
              <w:t xml:space="preserve">→ Écrire : « Le dénosumab (Xgeva® 120 mg SC) n'est qu'une option hors indication de l'hypercalcémie réfractaire aux bisphosphonates, décidée par l'oncologue ; en cas de DFGe &lt; 30 mL/min, il expose à une hypocalcémie sévère et impose une surveillance rapprochée de la calcémie. »</w:t>
            </w:r>
          </w:p>
        </w:tc>
        <w:tc>
          <w:tcPr>
            <w:tcW w:w="1800" w:type="dxa"/>
            <w:vAlign w:val="top"/>
          </w:tcPr>
          <w:p>
            <w:pPr>
              <w:spacing w:after="0"/>
            </w:pPr>
            <w:r>
              <w:rPr>
                <w:sz w:val="17"/>
                <w:szCs w:val="17"/>
              </w:rPr>
              <w:t xml:space="preserve">Information professionnelle Xgeva® (UE/Allemagne, 2026 : indications limitées aux complications osseuses et aux tumeurs à cellules géantes) ; vérifier l'information professionnelle suisse sur swissmedicinfo.ch.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L3-M54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D3.10 › 10. Arbre décisionnel (et 11.B moyens non médicamenteux : « régime restreint en sodium (&lt; 6 g NaCl/jour) »)</w:t>
            </w:r>
          </w:p>
        </w:tc>
        <w:tc>
          <w:tcPr>
            <w:tcW w:w="2600" w:type="dxa"/>
            <w:vAlign w:val="top"/>
          </w:tcPr>
          <w:p>
            <w:pPr>
              <w:spacing w:after="0"/>
            </w:pPr>
            <w:r>
              <w:rPr>
                <w:i/>
                <w:sz w:val="17"/>
                <w:szCs w:val="17"/>
              </w:rPr>
              <w:t xml:space="preserve">« il introduit l'Amiloride associé à une restriction sodée »</w:t>
            </w:r>
          </w:p>
        </w:tc>
        <w:tc>
          <w:tcPr>
            <w:tcW w:w="3000" w:type="dxa"/>
            <w:vAlign w:val="top"/>
          </w:tcPr>
          <w:p>
            <w:pPr>
              <w:spacing w:after="40"/>
            </w:pPr>
            <w:r>
              <w:rPr>
                <w:sz w:val="17"/>
                <w:szCs w:val="17"/>
              </w:rPr>
              <w:t xml:space="preserve">Le fichier prescrit une restriction sodée à un patient qui poursuit le lithium, alors que l'information professionnelle suisse déconseille le lithium en cas d'apport réduit en sel en raison du risque d'intoxication.</w:t>
            </w:r>
          </w:p>
          <w:p>
            <w:pPr>
              <w:spacing w:after="0"/>
            </w:pPr>
            <w:r>
              <w:rPr>
                <w:b/>
                <w:color w:val="145A32"/>
                <w:sz w:val="17"/>
                <w:szCs w:val="17"/>
              </w:rPr>
              <w:t xml:space="preserve">→ Écrire : « Si le lithium est indispensable, le médecin introduit l'amiloride, maintient un apport normal en sel et en liquides, puis contrôle la lithiémie, la natrémie et la kaliémie à J5–J7. » Supprimer la restriction sodée chez le patient sous lithium.</w:t>
            </w:r>
          </w:p>
        </w:tc>
        <w:tc>
          <w:tcPr>
            <w:tcW w:w="1800" w:type="dxa"/>
            <w:vAlign w:val="top"/>
          </w:tcPr>
          <w:p>
            <w:pPr>
              <w:spacing w:after="0"/>
            </w:pPr>
            <w:r>
              <w:rPr>
                <w:sz w:val="17"/>
                <w:szCs w:val="17"/>
              </w:rPr>
              <w:t xml:space="preserve">Information professionnelle Quilonorm® retard (lithium), AIPS / swissmedicinfo.ch : le lithium ne doit en général pas être administré en cas d'apport réduit en sel de cuisine (risque accru d'intoxication) ; patients invités à maintenir un apport suffisant en liquide et en sel — https://swissmedicinfo-pro.ch/showText.aspx?textType=FI&amp;lang=DE&amp;authNr=35960&amp;supportMultipleResults=1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L3-M55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D3.10 › 11. Prise en charge › B- Moyens pharmacologiques (1re intention dans l'AVP-R au lithium)</w:t>
            </w:r>
          </w:p>
        </w:tc>
        <w:tc>
          <w:tcPr>
            <w:tcW w:w="2600" w:type="dxa"/>
            <w:vAlign w:val="top"/>
          </w:tcPr>
          <w:p>
            <w:pPr>
              <w:spacing w:after="0"/>
            </w:pPr>
            <w:r>
              <w:rPr>
                <w:i/>
                <w:sz w:val="17"/>
                <w:szCs w:val="17"/>
              </w:rPr>
              <w:t xml:space="preserve">« Amiloride + Hydrochlorothiazide (Nom commercial suisse en association : Moduretic® »</w:t>
            </w:r>
          </w:p>
        </w:tc>
        <w:tc>
          <w:tcPr>
            <w:tcW w:w="3000" w:type="dxa"/>
            <w:vAlign w:val="top"/>
          </w:tcPr>
          <w:p>
            <w:pPr>
              <w:spacing w:after="40"/>
            </w:pPr>
            <w:r>
              <w:rPr>
                <w:sz w:val="17"/>
                <w:szCs w:val="17"/>
              </w:rPr>
              <w:t xml:space="preserve">Le fichier place en première intention une association contenant 50 mg d'hydrochlorothiazide chez le patient sous lithium, alors que les thiazidiques élèvent la lithiémie ; la commercialisation suisse de Moduretic® n'est pas vérifiée.</w:t>
            </w:r>
          </w:p>
          <w:p>
            <w:pPr>
              <w:spacing w:after="0"/>
            </w:pPr>
            <w:r>
              <w:rPr>
                <w:b/>
                <w:color w:val="145A32"/>
                <w:sz w:val="17"/>
                <w:szCs w:val="17"/>
              </w:rPr>
              <w:t xml:space="preserve">→ Écrire : « 1re intention : amiloride seul, dose selon l'information professionnelle de la spécialité suisse disponible ; éviter l'hydrochlorothiazide sous lithium. » Vérifier la spécialité sur compendium.ch (seule une association amiloride-HCT de type Comilorid-Mepha® mite a été retrouvée).</w:t>
            </w:r>
          </w:p>
        </w:tc>
        <w:tc>
          <w:tcPr>
            <w:tcW w:w="1800" w:type="dxa"/>
            <w:vAlign w:val="top"/>
          </w:tcPr>
          <w:p>
            <w:pPr>
              <w:spacing w:after="0"/>
            </w:pPr>
            <w:r>
              <w:rPr>
                <w:sz w:val="17"/>
                <w:szCs w:val="17"/>
              </w:rPr>
              <w:t xml:space="preserve">Information professionnelle Quilonorm® retard (lithium), AIPS / swissmedicinfo.ch : le lithium ne doit en général pas être administré en cas d'apport réduit en sel de cuisine (risque accru d'intoxication) ; patients invités à maintenir un apport suffisant en liquide et en sel — https://swissmedicinfo-pro.ch/showText.aspx?textType=FI&amp;lang=DE&amp;authNr=35960&amp;supportMultipleResults=1 ; compendium.ch, Comilorid-Mepha® mite (amiloride 2,5 mg / HCT 25 mg) — https://compendium.ch/fr/product/29259-comilorid-mepha-mite-cpr-2-5-25</w:t>
            </w:r>
          </w:p>
        </w:tc>
      </w:tr>
    </w:tbl>
    <w:p>
      <w:pPr>
        <w:spacing w:after="120"/>
      </w:pPr>
    </w:p>
    <w:p>
      <w:pPr>
        <w:pStyle w:val="Titre1"/>
        <w:keepNext/>
      </w:pPr>
      <w:r>
        <w:rPr>
          <w:b/>
          <w:color w:val="C0392B"/>
          <w:sz w:val="26"/>
          <w:szCs w:val="26"/>
        </w:rPr>
        <w:t xml:space="preserve">Grave — 59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C0392B"/>
            <w:vAlign w:val="top"/>
          </w:tcPr>
          <w:p>
            <w:pPr>
              <w:spacing w:after="0"/>
            </w:pPr>
            <w:r>
              <w:rPr>
                <w:b/>
                <w:color w:val="FFFFFF"/>
                <w:sz w:val="17"/>
                <w:szCs w:val="17"/>
              </w:rPr>
              <w:t xml:space="preserve">Fait</w:t>
            </w:r>
          </w:p>
        </w:tc>
        <w:tc>
          <w:tcPr>
            <w:tcW w:w="900" w:type="dxa"/>
            <w:shd w:val="clear" w:color="auto" w:fill="C0392B"/>
            <w:vAlign w:val="top"/>
          </w:tcPr>
          <w:p>
            <w:pPr>
              <w:spacing w:after="0"/>
            </w:pPr>
            <w:r>
              <w:rPr>
                <w:b/>
                <w:color w:val="FFFFFF"/>
                <w:sz w:val="17"/>
                <w:szCs w:val="17"/>
              </w:rPr>
              <w:t xml:space="preserve">N°</w:t>
            </w:r>
          </w:p>
        </w:tc>
        <w:tc>
          <w:tcPr>
            <w:tcW w:w="1250" w:type="dxa"/>
            <w:shd w:val="clear" w:color="auto" w:fill="C0392B"/>
            <w:vAlign w:val="top"/>
          </w:tcPr>
          <w:p>
            <w:pPr>
              <w:spacing w:after="0"/>
            </w:pPr>
            <w:r>
              <w:rPr>
                <w:b/>
                <w:color w:val="FFFFFF"/>
                <w:sz w:val="17"/>
                <w:szCs w:val="17"/>
              </w:rPr>
              <w:t xml:space="preserve">Domaine</w:t>
            </w:r>
          </w:p>
        </w:tc>
        <w:tc>
          <w:tcPr>
            <w:tcW w:w="1900" w:type="dxa"/>
            <w:shd w:val="clear" w:color="auto" w:fill="C0392B"/>
            <w:vAlign w:val="top"/>
          </w:tcPr>
          <w:p>
            <w:pPr>
              <w:spacing w:after="0"/>
            </w:pPr>
            <w:r>
              <w:rPr>
                <w:b/>
                <w:color w:val="FFFFFF"/>
                <w:sz w:val="17"/>
                <w:szCs w:val="17"/>
              </w:rPr>
              <w:t xml:space="preserve">Fichier</w:t>
            </w:r>
          </w:p>
        </w:tc>
        <w:tc>
          <w:tcPr>
            <w:tcW w:w="2350" w:type="dxa"/>
            <w:shd w:val="clear" w:color="auto" w:fill="C0392B"/>
            <w:vAlign w:val="top"/>
          </w:tcPr>
          <w:p>
            <w:pPr>
              <w:spacing w:after="0"/>
            </w:pPr>
            <w:r>
              <w:rPr>
                <w:b/>
                <w:color w:val="FFFFFF"/>
                <w:sz w:val="17"/>
                <w:szCs w:val="17"/>
              </w:rPr>
              <w:t xml:space="preserve">Emplacement</w:t>
            </w:r>
          </w:p>
        </w:tc>
        <w:tc>
          <w:tcPr>
            <w:tcW w:w="2600" w:type="dxa"/>
            <w:shd w:val="clear" w:color="auto" w:fill="C0392B"/>
            <w:vAlign w:val="top"/>
          </w:tcPr>
          <w:p>
            <w:pPr>
              <w:spacing w:after="0"/>
            </w:pPr>
            <w:r>
              <w:rPr>
                <w:b/>
                <w:color w:val="FFFFFF"/>
                <w:sz w:val="17"/>
                <w:szCs w:val="17"/>
              </w:rPr>
              <w:t xml:space="preserve">Extrait exact</w:t>
            </w:r>
          </w:p>
        </w:tc>
        <w:tc>
          <w:tcPr>
            <w:tcW w:w="3000" w:type="dxa"/>
            <w:shd w:val="clear" w:color="auto" w:fill="C0392B"/>
            <w:vAlign w:val="top"/>
          </w:tcPr>
          <w:p>
            <w:pPr>
              <w:spacing w:after="0"/>
            </w:pPr>
            <w:r>
              <w:rPr>
                <w:b/>
                <w:color w:val="FFFFFF"/>
                <w:sz w:val="17"/>
                <w:szCs w:val="17"/>
              </w:rPr>
              <w:t xml:space="preserve">Problème → correction</w:t>
            </w:r>
          </w:p>
        </w:tc>
        <w:tc>
          <w:tcPr>
            <w:tcW w:w="1800" w:type="dxa"/>
            <w:shd w:val="clear" w:color="auto" w:fill="C0392B"/>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L3-L01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Appel A › en-tête du document</w:t>
            </w:r>
          </w:p>
        </w:tc>
        <w:tc>
          <w:tcPr>
            <w:tcW w:w="2600" w:type="dxa"/>
            <w:vAlign w:val="top"/>
          </w:tcPr>
          <w:p>
            <w:pPr>
              <w:spacing w:after="0"/>
            </w:pPr>
            <w:r>
              <w:rPr>
                <w:i/>
                <w:sz w:val="17"/>
                <w:szCs w:val="17"/>
              </w:rPr>
              <w:t xml:space="preserve">« Appel A (V5 Ultra-Pédagogique) : Plan Monographique, Formules &amp; Tableaux Bio-Mathématiques et Liste Différentielle »</w:t>
            </w:r>
          </w:p>
        </w:tc>
        <w:tc>
          <w:tcPr>
            <w:tcW w:w="3000" w:type="dxa"/>
            <w:vAlign w:val="top"/>
          </w:tcPr>
          <w:p>
            <w:pPr>
              <w:spacing w:after="40"/>
            </w:pPr>
            <w:r>
              <w:rPr>
                <w:sz w:val="17"/>
                <w:szCs w:val="17"/>
              </w:rPr>
              <w:t xml:space="preserve">Le fichier de la Appel A est un Google Doc exporté, et non un fichier .html natif : cette conversion viole la règle bloquante 0 et a détruit toutes les fenêtres &lt;details&gt;.</w:t>
            </w:r>
          </w:p>
          <w:p>
            <w:pPr>
              <w:spacing w:after="0"/>
            </w:pPr>
            <w:r>
              <w:rPr>
                <w:b/>
                <w:color w:val="145A32"/>
                <w:sz w:val="17"/>
                <w:szCs w:val="17"/>
              </w:rPr>
              <w:t xml:space="preserve">→ Régénérer la Appel A en HTML5 complet selon le gabarit V6 (de &lt;!DOCTYPE html&gt; à &lt;/html&gt;), le déposer en text/html sans conversion, vérifier l'égalité des tailles Drive/locale, puis déplacer le Google Doc dans CORBEILLE_DOUBLONS_OBSOLETES avec le suffixe _OBSOLETE_.</w:t>
            </w:r>
          </w:p>
        </w:tc>
        <w:tc>
          <w:tcPr>
            <w:tcW w:w="1800" w:type="dxa"/>
            <w:vAlign w:val="top"/>
          </w:tcPr>
          <w:p>
            <w:pPr>
              <w:spacing w:after="0"/>
            </w:pPr>
            <w:r>
              <w:rPr>
                <w:sz w:val="17"/>
                <w:szCs w:val="17"/>
              </w:rPr>
              <w:t xml:space="preserve">PROMPT MAÎTRE V6 — PROFILES, règles citées (prompt de base du lot) :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L3-L02</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LOT_3_Appel_B_V5_Ultra_Pedagogique_Partie_1_D3.1_a_D3.2__export_GoogleDoc.html</w:t>
            </w:r>
          </w:p>
        </w:tc>
        <w:tc>
          <w:tcPr>
            <w:tcW w:w="2350" w:type="dxa"/>
            <w:vAlign w:val="top"/>
          </w:tcPr>
          <w:p>
            <w:pPr>
              <w:spacing w:after="0"/>
            </w:pPr>
            <w:r>
              <w:rPr>
                <w:sz w:val="17"/>
                <w:szCs w:val="17"/>
              </w:rPr>
              <w:t xml:space="preserve">Partie 1 › en-tête du document</w:t>
            </w:r>
          </w:p>
        </w:tc>
        <w:tc>
          <w:tcPr>
            <w:tcW w:w="2600" w:type="dxa"/>
            <w:vAlign w:val="top"/>
          </w:tcPr>
          <w:p>
            <w:pPr>
              <w:spacing w:after="0"/>
            </w:pPr>
            <w:r>
              <w:rPr>
                <w:i/>
                <w:sz w:val="17"/>
                <w:szCs w:val="17"/>
              </w:rPr>
              <w:t xml:space="preserve">« Appel B - Partie 1/4 (D3.1 à D3.2) — Audit Médical &amp; Bio-Mathématique Ultra-Pédagogique »</w:t>
            </w:r>
          </w:p>
        </w:tc>
        <w:tc>
          <w:tcPr>
            <w:tcW w:w="3000" w:type="dxa"/>
            <w:vAlign w:val="top"/>
          </w:tcPr>
          <w:p>
            <w:pPr>
              <w:spacing w:after="40"/>
            </w:pPr>
            <w:r>
              <w:rPr>
                <w:sz w:val="17"/>
                <w:szCs w:val="17"/>
              </w:rPr>
              <w:t xml:space="preserve">Le fichier de la Partie 1 est un Google Doc exporté, et non un fichier .html natif : cette conversion viole la règle bloquante 0 et a détruit toutes les fenêtres &lt;details&gt;.</w:t>
            </w:r>
          </w:p>
          <w:p>
            <w:pPr>
              <w:spacing w:after="0"/>
            </w:pPr>
            <w:r>
              <w:rPr>
                <w:b/>
                <w:color w:val="145A32"/>
                <w:sz w:val="17"/>
                <w:szCs w:val="17"/>
              </w:rPr>
              <w:t xml:space="preserve">→ Régénérer la Partie 1 en HTML5 complet selon le gabarit V6 (de &lt;!DOCTYPE html&gt; à &lt;/html&gt;), le déposer en text/html sans conversion, vérifier l'égalité des tailles Drive/locale, puis déplacer le Google Doc dans CORBEILLE_DOUBLONS_OBSOLETES avec le suffixe _OBSOLETE_.</w:t>
            </w:r>
          </w:p>
        </w:tc>
        <w:tc>
          <w:tcPr>
            <w:tcW w:w="1800" w:type="dxa"/>
            <w:vAlign w:val="top"/>
          </w:tcPr>
          <w:p>
            <w:pPr>
              <w:spacing w:after="0"/>
            </w:pPr>
            <w:r>
              <w:rPr>
                <w:sz w:val="17"/>
                <w:szCs w:val="17"/>
              </w:rPr>
              <w:t xml:space="preserve">PROMPT MAÎTRE V6 — PROFILES, règles citées (prompt de base du lot) :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L3-L03</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Partie 2 › en-tête du document</w:t>
            </w:r>
          </w:p>
        </w:tc>
        <w:tc>
          <w:tcPr>
            <w:tcW w:w="2600" w:type="dxa"/>
            <w:vAlign w:val="top"/>
          </w:tcPr>
          <w:p>
            <w:pPr>
              <w:spacing w:after="0"/>
            </w:pPr>
            <w:r>
              <w:rPr>
                <w:i/>
                <w:sz w:val="17"/>
                <w:szCs w:val="17"/>
              </w:rPr>
              <w:t xml:space="preserve">« Appel B - Partie 2/4 (D3.3 à D3.5) — Audit Médical &amp; Bio-Mathématique Ultra-Pédagogique »</w:t>
            </w:r>
          </w:p>
        </w:tc>
        <w:tc>
          <w:tcPr>
            <w:tcW w:w="3000" w:type="dxa"/>
            <w:vAlign w:val="top"/>
          </w:tcPr>
          <w:p>
            <w:pPr>
              <w:spacing w:after="40"/>
            </w:pPr>
            <w:r>
              <w:rPr>
                <w:sz w:val="17"/>
                <w:szCs w:val="17"/>
              </w:rPr>
              <w:t xml:space="preserve">Le fichier de la Partie 2 est un Google Doc exporté, et non un fichier .html natif : cette conversion viole la règle bloquante 0 et a détruit toutes les fenêtres &lt;details&gt;.</w:t>
            </w:r>
          </w:p>
          <w:p>
            <w:pPr>
              <w:spacing w:after="0"/>
            </w:pPr>
            <w:r>
              <w:rPr>
                <w:b/>
                <w:color w:val="145A32"/>
                <w:sz w:val="17"/>
                <w:szCs w:val="17"/>
              </w:rPr>
              <w:t xml:space="preserve">→ Régénérer la Partie 2 en HTML5 complet selon le gabarit V6 (de &lt;!DOCTYPE html&gt; à &lt;/html&gt;), le déposer en text/html sans conversion, vérifier l'égalité des tailles Drive/locale, puis déplacer le Google Doc dans CORBEILLE_DOUBLONS_OBSOLETES avec le suffixe _OBSOLETE_.</w:t>
            </w:r>
          </w:p>
        </w:tc>
        <w:tc>
          <w:tcPr>
            <w:tcW w:w="1800" w:type="dxa"/>
            <w:vAlign w:val="top"/>
          </w:tcPr>
          <w:p>
            <w:pPr>
              <w:spacing w:after="0"/>
            </w:pPr>
            <w:r>
              <w:rPr>
                <w:sz w:val="17"/>
                <w:szCs w:val="17"/>
              </w:rPr>
              <w:t xml:space="preserve">PROMPT MAÎTRE V6 — PROFILES, règles citées (prompt de base du lot) :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L3-L04</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Partie 3 › en-tête du document</w:t>
            </w:r>
          </w:p>
        </w:tc>
        <w:tc>
          <w:tcPr>
            <w:tcW w:w="2600" w:type="dxa"/>
            <w:vAlign w:val="top"/>
          </w:tcPr>
          <w:p>
            <w:pPr>
              <w:spacing w:after="0"/>
            </w:pPr>
            <w:r>
              <w:rPr>
                <w:i/>
                <w:sz w:val="17"/>
                <w:szCs w:val="17"/>
              </w:rPr>
              <w:t xml:space="preserve">« Appel B - Partie 3/4 (D3.6 à D3.7) — Audit Médical &amp; Bio-Mathématique Ultra-Pédagogique »</w:t>
            </w:r>
          </w:p>
        </w:tc>
        <w:tc>
          <w:tcPr>
            <w:tcW w:w="3000" w:type="dxa"/>
            <w:vAlign w:val="top"/>
          </w:tcPr>
          <w:p>
            <w:pPr>
              <w:spacing w:after="40"/>
            </w:pPr>
            <w:r>
              <w:rPr>
                <w:sz w:val="17"/>
                <w:szCs w:val="17"/>
              </w:rPr>
              <w:t xml:space="preserve">Le fichier de la Partie 3 est un Google Doc exporté, et non un fichier .html natif : cette conversion viole la règle bloquante 0 et a détruit toutes les fenêtres &lt;details&gt;.</w:t>
            </w:r>
          </w:p>
          <w:p>
            <w:pPr>
              <w:spacing w:after="0"/>
            </w:pPr>
            <w:r>
              <w:rPr>
                <w:b/>
                <w:color w:val="145A32"/>
                <w:sz w:val="17"/>
                <w:szCs w:val="17"/>
              </w:rPr>
              <w:t xml:space="preserve">→ Régénérer la Partie 3 en HTML5 complet selon le gabarit V6 (de &lt;!DOCTYPE html&gt; à &lt;/html&gt;), le déposer en text/html sans conversion, vérifier l'égalité des tailles Drive/locale, puis déplacer le Google Doc dans CORBEILLE_DOUBLONS_OBSOLETES avec le suffixe _OBSOLETE_.</w:t>
            </w:r>
          </w:p>
        </w:tc>
        <w:tc>
          <w:tcPr>
            <w:tcW w:w="1800" w:type="dxa"/>
            <w:vAlign w:val="top"/>
          </w:tcPr>
          <w:p>
            <w:pPr>
              <w:spacing w:after="0"/>
            </w:pPr>
            <w:r>
              <w:rPr>
                <w:sz w:val="17"/>
                <w:szCs w:val="17"/>
              </w:rPr>
              <w:t xml:space="preserve">PROMPT MAÎTRE V6 — PROFILES, règles citées (prompt de base du lot) :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L3-L05</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Partie 4 › en-tête du document</w:t>
            </w:r>
          </w:p>
        </w:tc>
        <w:tc>
          <w:tcPr>
            <w:tcW w:w="2600" w:type="dxa"/>
            <w:vAlign w:val="top"/>
          </w:tcPr>
          <w:p>
            <w:pPr>
              <w:spacing w:after="0"/>
            </w:pPr>
            <w:r>
              <w:rPr>
                <w:i/>
                <w:sz w:val="17"/>
                <w:szCs w:val="17"/>
              </w:rPr>
              <w:t xml:space="preserve">« Appel B - Partie 4/4 (D3.8 à D3.10) — Audit Médical &amp; Bio-Mathématique Ultra-Pédagogique »</w:t>
            </w:r>
          </w:p>
        </w:tc>
        <w:tc>
          <w:tcPr>
            <w:tcW w:w="3000" w:type="dxa"/>
            <w:vAlign w:val="top"/>
          </w:tcPr>
          <w:p>
            <w:pPr>
              <w:spacing w:after="40"/>
            </w:pPr>
            <w:r>
              <w:rPr>
                <w:sz w:val="17"/>
                <w:szCs w:val="17"/>
              </w:rPr>
              <w:t xml:space="preserve">Le fichier de la Partie 4 est un Google Doc exporté, et non un fichier .html natif : cette conversion viole la règle bloquante 0 et a détruit toutes les fenêtres &lt;details&gt;.</w:t>
            </w:r>
          </w:p>
          <w:p>
            <w:pPr>
              <w:spacing w:after="0"/>
            </w:pPr>
            <w:r>
              <w:rPr>
                <w:b/>
                <w:color w:val="145A32"/>
                <w:sz w:val="17"/>
                <w:szCs w:val="17"/>
              </w:rPr>
              <w:t xml:space="preserve">→ Régénérer la Partie 4 en HTML5 complet selon le gabarit V6 (de &lt;!DOCTYPE html&gt; à &lt;/html&gt;), le déposer en text/html sans conversion, vérifier l'égalité des tailles Drive/locale, puis déplacer le Google Doc dans CORBEILLE_DOUBLONS_OBSOLETES avec le suffixe _OBSOLETE_.</w:t>
            </w:r>
          </w:p>
        </w:tc>
        <w:tc>
          <w:tcPr>
            <w:tcW w:w="1800" w:type="dxa"/>
            <w:vAlign w:val="top"/>
          </w:tcPr>
          <w:p>
            <w:pPr>
              <w:spacing w:after="0"/>
            </w:pPr>
            <w:r>
              <w:rPr>
                <w:sz w:val="17"/>
                <w:szCs w:val="17"/>
              </w:rPr>
              <w:t xml:space="preserve">PROMPT MAÎTRE V6 — PROFILES, règles citées (prompt de base du lot) :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L3-L06</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En-tête › chapeau introductif</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V6 regroupe le SSP et les dix DX dans un seul document nommé « Partie_1_Integral » et se termine par « FIN_FICHIER LOT_3_PARTIE_1 » : il ne respecte ni la cadence 2-3-2-3 en cinq fichiers ni le nommage canonique, et il crée un doublon concurrent des cinq fichiers V5.</w:t>
            </w:r>
          </w:p>
          <w:p>
            <w:pPr>
              <w:spacing w:after="0"/>
            </w:pPr>
            <w:r>
              <w:rPr>
                <w:b/>
                <w:color w:val="145A32"/>
                <w:sz w:val="17"/>
                <w:szCs w:val="17"/>
              </w:rPr>
              <w:t xml:space="preserve">→ Scinder le contenu en cinq fichiers : LOT_3_Appel_A_V5_Ultra_Pedagogique_Plan_et_Liste.html, puis Partie_1_DX.1_a_DX.2 … Partie_4_DX.8_a_DX.10 ; adapter chaque balise FIN_FICHIER ; déplacer ensuite les versions remplacées dans CORBEILLE_DOUBLONS_OBSOLETES.</w:t>
            </w:r>
          </w:p>
        </w:tc>
        <w:tc>
          <w:tcPr>
            <w:tcW w:w="1800" w:type="dxa"/>
            <w:vAlign w:val="top"/>
          </w:tcPr>
          <w:p>
            <w:pPr>
              <w:spacing w:after="0"/>
            </w:pPr>
            <w:r>
              <w:rPr>
                <w:sz w:val="17"/>
                <w:szCs w:val="17"/>
              </w:rPr>
              <w:t xml:space="preserve">PROMPT MAÎTRE V6 — PROFILES, règles citées (prompt de base du lot) : § 4, § 10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L3-L07</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Ensemble du fichier › balises &lt;summary&gt; des 34 fenêtres (première : D3.1 › point 8 › « Lire les précisions »)</w:t>
            </w:r>
          </w:p>
        </w:tc>
        <w:tc>
          <w:tcPr>
            <w:tcW w:w="2600" w:type="dxa"/>
            <w:vAlign w:val="top"/>
          </w:tcPr>
          <w:p>
            <w:pPr>
              <w:spacing w:after="0"/>
            </w:pPr>
            <w:r>
              <w:rPr>
                <w:i/>
                <w:sz w:val="17"/>
                <w:szCs w:val="17"/>
              </w:rPr>
              <w:t xml:space="preserve">« Lire les précisions »</w:t>
            </w:r>
          </w:p>
        </w:tc>
        <w:tc>
          <w:tcPr>
            <w:tcW w:w="3000" w:type="dxa"/>
            <w:vAlign w:val="top"/>
          </w:tcPr>
          <w:p>
            <w:pPr>
              <w:spacing w:after="40"/>
            </w:pPr>
            <w:r>
              <w:rPr>
                <w:sz w:val="17"/>
                <w:szCs w:val="17"/>
              </w:rPr>
              <w:t xml:space="preserve">Le fichier porte 34 attributs title= sur les &lt;summary&gt;, alors que le prompt interdit explicitement title= comme infobulle (illisible au toucher).</w:t>
            </w:r>
          </w:p>
          <w:p>
            <w:pPr>
              <w:spacing w:after="0"/>
            </w:pPr>
            <w:r>
              <w:rPr>
                <w:b/>
                <w:color w:val="145A32"/>
                <w:sz w:val="17"/>
                <w:szCs w:val="17"/>
              </w:rPr>
              <w:t xml:space="preserve">→ Supprimer les 34 attributs title= ; placer le texte utile dans le corps de la fenêtre &lt;details&gt;.</w:t>
            </w:r>
          </w:p>
        </w:tc>
        <w:tc>
          <w:tcPr>
            <w:tcW w:w="1800" w:type="dxa"/>
            <w:vAlign w:val="top"/>
          </w:tcPr>
          <w:p>
            <w:pPr>
              <w:spacing w:after="0"/>
            </w:pPr>
            <w:r>
              <w:rPr>
                <w:sz w:val="17"/>
                <w:szCs w:val="17"/>
              </w:rPr>
              <w:t xml:space="preserve">PROMPT MAÎTRE V6 — PROFILES, règles citées (prompt de base du lot) : § 9 (règles techniques)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L3-L10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point 3 › « Fenêtre Interactive Bio-Mathématique 3.1 » (même constat pour toutes les « fenêtres » des cinq Google Docs : 2 dans l'Appel A, 4 en Partie 1, 3 en Partie 2, 2 en Partie 3, 4 en Partie 4)</w:t>
            </w:r>
          </w:p>
        </w:tc>
        <w:tc>
          <w:tcPr>
            <w:tcW w:w="2600" w:type="dxa"/>
            <w:vAlign w:val="top"/>
          </w:tcPr>
          <w:p>
            <w:pPr>
              <w:spacing w:after="0"/>
            </w:pPr>
            <w:r>
              <w:rPr>
                <w:i/>
                <w:sz w:val="17"/>
                <w:szCs w:val="17"/>
              </w:rPr>
              <w:t xml:space="preserve">« Fenêtre Interactive Bio-Mathématique 3.1 : Osmolalité plasmatique totale vs Osmolalité efficace (Tonicité) &amp; Trou Osmolaire »</w:t>
            </w:r>
          </w:p>
        </w:tc>
        <w:tc>
          <w:tcPr>
            <w:tcW w:w="3000" w:type="dxa"/>
            <w:vAlign w:val="top"/>
          </w:tcPr>
          <w:p>
            <w:pPr>
              <w:spacing w:after="40"/>
            </w:pPr>
            <w:r>
              <w:rPr>
                <w:sz w:val="17"/>
                <w:szCs w:val="17"/>
              </w:rPr>
              <w:t xml:space="preserve">Les « fenêtres interactives » ne sont que du texte statique (0 balise &lt;details&gt; dans les cinq fichiers) et aucun terme sémiologique, examen ou médicament n'ouvre de fenêtre sourcée.</w:t>
            </w:r>
          </w:p>
          <w:p>
            <w:pPr>
              <w:spacing w:after="0"/>
            </w:pPr>
            <w:r>
              <w:rPr>
                <w:b/>
                <w:color w:val="145A32"/>
                <w:sz w:val="17"/>
                <w:szCs w:val="17"/>
              </w:rPr>
              <w:t xml:space="preserve">→ Recréer chaque fenêtre en &lt;details&gt; selon le gabarit V6 et ajouter une fenêtre sourcée [Sn] sur chaque terme technique, signe, examen, médicament et score.</w:t>
            </w:r>
          </w:p>
        </w:tc>
        <w:tc>
          <w:tcPr>
            <w:tcW w:w="1800" w:type="dxa"/>
            <w:vAlign w:val="top"/>
          </w:tcPr>
          <w:p>
            <w:pPr>
              <w:spacing w:after="0"/>
            </w:pPr>
            <w:r>
              <w:rPr>
                <w:sz w:val="17"/>
                <w:szCs w:val="17"/>
              </w:rPr>
              <w:t xml:space="preserve">PROMPT MAÎTRE V6 — PROFILES, règles citées (prompt de base du lot) : § 7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L3-L11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Fin du document (même constat dans les Parties 1 à 4)</w:t>
            </w:r>
          </w:p>
        </w:tc>
        <w:tc>
          <w:tcPr>
            <w:tcW w:w="2600" w:type="dxa"/>
            <w:vAlign w:val="top"/>
          </w:tcPr>
          <w:p>
            <w:pPr>
              <w:spacing w:after="0"/>
            </w:pPr>
            <w:r>
              <w:rPr>
                <w:i/>
                <w:sz w:val="17"/>
                <w:szCs w:val="17"/>
              </w:rPr>
              <w:t xml:space="preserve">« (Insensibilité du tube collecteur à l'AVP, dominée par l'intoxication chronique au Lithium, source : ESE / KDIGO) »</w:t>
            </w:r>
          </w:p>
        </w:tc>
        <w:tc>
          <w:tcPr>
            <w:tcW w:w="3000" w:type="dxa"/>
            <w:vAlign w:val="top"/>
          </w:tcPr>
          <w:p>
            <w:pPr>
              <w:spacing w:after="40"/>
            </w:pPr>
            <w:r>
              <w:rPr>
                <w:sz w:val="17"/>
                <w:szCs w:val="17"/>
              </w:rPr>
              <w:t xml:space="preserve">Les cinq Google Docs se terminent sans section Sources numérotée [S1]…[Sn], sans mention « Contenu produit par IA… non validé cliniquement » et sans balise FIN_FICHIER ; ils sont donc réputés tronqués et non sourcés.</w:t>
            </w:r>
          </w:p>
          <w:p>
            <w:pPr>
              <w:spacing w:after="0"/>
            </w:pPr>
            <w:r>
              <w:rPr>
                <w:b/>
                <w:color w:val="145A32"/>
                <w:sz w:val="17"/>
                <w:szCs w:val="17"/>
              </w:rPr>
              <w:t xml:space="preserve">→ Ajouter à chaque fichier la section « Sources » [S1]…[Sn] (titre, organisme, année, URL, date de consultation), la mention de non-validation puis &lt;!-- FIN_FICHIER LOT_3_&lt;PARTIE&gt; --&gt;.</w:t>
            </w:r>
          </w:p>
        </w:tc>
        <w:tc>
          <w:tcPr>
            <w:tcW w:w="1800" w:type="dxa"/>
            <w:vAlign w:val="top"/>
          </w:tcPr>
          <w:p>
            <w:pPr>
              <w:spacing w:after="0"/>
            </w:pPr>
            <w:r>
              <w:rPr>
                <w:sz w:val="17"/>
                <w:szCs w:val="17"/>
              </w:rPr>
              <w:t xml:space="preserve">PROMPT MAÎTRE V6 — PROFILES, règles citées (prompt de base du lot) : § 3.8, § 9 et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L3-L12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2 › D3.1 (même constat pour les badges D3.2 à D3.10 et pour les titres des Parties 1 à 4)</w:t>
            </w:r>
          </w:p>
        </w:tc>
        <w:tc>
          <w:tcPr>
            <w:tcW w:w="2600" w:type="dxa"/>
            <w:vAlign w:val="top"/>
          </w:tcPr>
          <w:p>
            <w:pPr>
              <w:spacing w:after="0"/>
            </w:pPr>
            <w:r>
              <w:rPr>
                <w:i/>
                <w:sz w:val="17"/>
                <w:szCs w:val="17"/>
              </w:rPr>
              <w:t xml:space="preserve">« D3.1 — Diabète sucré décompensé (Inaugural, Acidocétose diabétique, État hyperosmolaire) [60 %] »</w:t>
            </w:r>
          </w:p>
        </w:tc>
        <w:tc>
          <w:tcPr>
            <w:tcW w:w="3000" w:type="dxa"/>
            <w:vAlign w:val="top"/>
          </w:tcPr>
          <w:p>
            <w:pPr>
              <w:spacing w:after="40"/>
            </w:pPr>
            <w:r>
              <w:rPr>
                <w:sz w:val="17"/>
                <w:szCs w:val="17"/>
              </w:rPr>
              <w:t xml:space="preserve">Les badges de fréquence (60 %, 15 %, 10 %… 0,7 %) ne citent aucune étude suisse : ce sont des pourcentages non sourcés, interdits par le prompt, et la V6 les a d'ailleurs retirés.</w:t>
            </w:r>
          </w:p>
          <w:p>
            <w:pPr>
              <w:spacing w:after="0"/>
            </w:pPr>
            <w:r>
              <w:rPr>
                <w:b/>
                <w:color w:val="145A32"/>
                <w:sz w:val="17"/>
                <w:szCs w:val="17"/>
              </w:rPr>
              <w:t xml:space="preserve">→ Remplacer chaque badge par « Ne rang — fréquence non quantifiée (Suisse) », sauf pourcentage tiré d'une source citée [Sn], et annoncer le critère d'ordre (fréquence pondérée par la gravité).</w:t>
            </w:r>
          </w:p>
        </w:tc>
        <w:tc>
          <w:tcPr>
            <w:tcW w:w="1800" w:type="dxa"/>
            <w:vAlign w:val="top"/>
          </w:tcPr>
          <w:p>
            <w:pPr>
              <w:spacing w:after="0"/>
            </w:pPr>
            <w:r>
              <w:rPr>
                <w:sz w:val="17"/>
                <w:szCs w:val="17"/>
              </w:rPr>
              <w:t xml:space="preserve">PROMPT MAÎTRE V6 — PROFILES, règles citées (prompt de base du lot) : § 8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L3-L13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2 › D3.1 › justification</w:t>
            </w:r>
          </w:p>
        </w:tc>
        <w:tc>
          <w:tcPr>
            <w:tcW w:w="2600" w:type="dxa"/>
            <w:vAlign w:val="top"/>
          </w:tcPr>
          <w:p>
            <w:pPr>
              <w:spacing w:after="0"/>
            </w:pPr>
            <w:r>
              <w:rPr>
                <w:i/>
                <w:sz w:val="17"/>
                <w:szCs w:val="17"/>
              </w:rPr>
              <w:t xml:space="preserve">« (Première cause absolue de polyurie osmotique et de polydipsie, source : SSED / ADA) »</w:t>
            </w:r>
          </w:p>
        </w:tc>
        <w:tc>
          <w:tcPr>
            <w:tcW w:w="3000" w:type="dxa"/>
            <w:vAlign w:val="top"/>
          </w:tcPr>
          <w:p>
            <w:pPr>
              <w:spacing w:after="40"/>
            </w:pPr>
            <w:r>
              <w:rPr>
                <w:sz w:val="17"/>
                <w:szCs w:val="17"/>
              </w:rPr>
              <w:t xml:space="preserve">La justification s'appuie sur l'ADA, référence américaine ; la Partie 1 répète « Consensus SSED / ADA » dans ses tableaux d'urgence.</w:t>
            </w:r>
          </w:p>
          <w:p>
            <w:pPr>
              <w:spacing w:after="0"/>
            </w:pPr>
            <w:r>
              <w:rPr>
                <w:b/>
                <w:color w:val="145A32"/>
                <w:sz w:val="17"/>
                <w:szCs w:val="17"/>
              </w:rPr>
              <w:t xml:space="preserve">→ Citer le consensus international 2024 sur les crises hyperglycémiques (ADA, EASD, JBDS, AACE, DTS) et les recommandations de la SSED, avec URL et date.</w:t>
            </w:r>
          </w:p>
        </w:tc>
        <w:tc>
          <w:tcPr>
            <w:tcW w:w="1800" w:type="dxa"/>
            <w:vAlign w:val="top"/>
          </w:tcPr>
          <w:p>
            <w:pPr>
              <w:spacing w:after="0"/>
            </w:pPr>
            <w:r>
              <w:rPr>
                <w:sz w:val="17"/>
                <w:szCs w:val="17"/>
              </w:rPr>
              <w:t xml:space="preserve">Umpierrez GE et al. Hyperglycaemic crises in adults with diabetes: a consensus report (ADA, EASD, JBDS, AACE, DTS) — Diabetologia/Diabetes Care, 2024 — https://pmc.ncbi.nlm.nih.gov/articles/PMC11343900/ — consulté le 22.10.2026 ; PROMPT MAÎTRE V6 — PROFILES, règles citées (prompt de base du lot) : § 3.2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L3-L14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2 › titre de la liste</w:t>
            </w:r>
          </w:p>
        </w:tc>
        <w:tc>
          <w:tcPr>
            <w:tcW w:w="2600" w:type="dxa"/>
            <w:vAlign w:val="top"/>
          </w:tcPr>
          <w:p>
            <w:pPr>
              <w:spacing w:after="0"/>
            </w:pPr>
            <w:r>
              <w:rPr>
                <w:i/>
                <w:sz w:val="17"/>
                <w:szCs w:val="17"/>
              </w:rPr>
              <w:t xml:space="preserve">« BLOC 2 : LISTE ORDONNÉE DES 10 DIAGNOSTICS DIFFÉRENTIELS DU LOT 3 (SSP G3) »</w:t>
            </w:r>
          </w:p>
        </w:tc>
        <w:tc>
          <w:tcPr>
            <w:tcW w:w="3000" w:type="dxa"/>
            <w:vAlign w:val="top"/>
          </w:tcPr>
          <w:p>
            <w:pPr>
              <w:spacing w:after="40"/>
            </w:pPr>
            <w:r>
              <w:rPr>
                <w:sz w:val="17"/>
                <w:szCs w:val="17"/>
              </w:rPr>
              <w:t xml:space="preserve">Le Bloc 2 se limite à une liste : il manque le tableau comparatif des 10 DX (signe clé, examen clé, mécanisme, conduite immédiate) et l'algorithme discriminant.</w:t>
            </w:r>
          </w:p>
          <w:p>
            <w:pPr>
              <w:spacing w:after="0"/>
            </w:pPr>
            <w:r>
              <w:rPr>
                <w:b/>
                <w:color w:val="145A32"/>
                <w:sz w:val="17"/>
                <w:szCs w:val="17"/>
              </w:rPr>
              <w:t xml:space="preserve">→ Ajouter après la liste un tableau comparatif à quatre colonnes enveloppé dans &lt;div style='overflow-x:auto;'&gt;, puis un algorithme en texte structuré (glycémie → volume urinaire des 24 h → osmolalité urinaire → calcémie/kaliémie → copeptine basale → copeptine stimulée).</w:t>
            </w:r>
          </w:p>
        </w:tc>
        <w:tc>
          <w:tcPr>
            <w:tcW w:w="1800" w:type="dxa"/>
            <w:vAlign w:val="top"/>
          </w:tcPr>
          <w:p>
            <w:pPr>
              <w:spacing w:after="0"/>
            </w:pPr>
            <w:r>
              <w:rPr>
                <w:sz w:val="17"/>
                <w:szCs w:val="17"/>
              </w:rPr>
              <w:t xml:space="preserve">PROMPT MAÎTRE V6 — PROFILES, règles citées (prompt de base du lot) : § 4.1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L3-L15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point 8</w:t>
            </w:r>
          </w:p>
        </w:tc>
        <w:tc>
          <w:tcPr>
            <w:tcW w:w="2600" w:type="dxa"/>
            <w:vAlign w:val="top"/>
          </w:tcPr>
          <w:p>
            <w:pPr>
              <w:spacing w:after="0"/>
            </w:pPr>
            <w:r>
              <w:rPr>
                <w:i/>
                <w:sz w:val="17"/>
                <w:szCs w:val="17"/>
              </w:rPr>
              <w:t xml:space="preserve">« le diagnostic positif d'un SPUPD suit l'algorithme quantitatif ci-dessous. »</w:t>
            </w:r>
          </w:p>
        </w:tc>
        <w:tc>
          <w:tcPr>
            <w:tcW w:w="3000" w:type="dxa"/>
            <w:vAlign w:val="top"/>
          </w:tcPr>
          <w:p>
            <w:pPr>
              <w:spacing w:after="40"/>
            </w:pPr>
            <w:r>
              <w:rPr>
                <w:sz w:val="17"/>
                <w:szCs w:val="17"/>
              </w:rPr>
              <w:t xml:space="preserve">Le point 8 renvoie à un algorithme qui n'existe pas et ne donne aucun critère formel (seuil, durée, société, année).</w:t>
            </w:r>
          </w:p>
          <w:p>
            <w:pPr>
              <w:spacing w:after="0"/>
            </w:pPr>
            <w:r>
              <w:rPr>
                <w:b/>
                <w:color w:val="145A32"/>
                <w:sz w:val="17"/>
                <w:szCs w:val="17"/>
              </w:rPr>
              <w:t xml:space="preserve">→ Écrire : « La polyurie se définit chez l'adulte par une diurèse &gt; 50 mL/kg/24 h ; elle est hypotonique si l'osmolalité urinaire est &lt; 800 mOsm/kg et la glycémie normale [Sn]. » puis présenter ces critères en tableau.</w:t>
            </w:r>
          </w:p>
        </w:tc>
        <w:tc>
          <w:tcPr>
            <w:tcW w:w="1800" w:type="dxa"/>
            <w:vAlign w:val="top"/>
          </w:tcPr>
          <w:p>
            <w:pPr>
              <w:spacing w:after="0"/>
            </w:pPr>
            <w:r>
              <w:rPr>
                <w:sz w:val="17"/>
                <w:szCs w:val="17"/>
              </w:rPr>
              <w:t xml:space="preserve">Fenske W et al. A copeptin-based approach in the diagnosis of diabetes insipidus — N Engl J Med 2018;379:428–439 (étude multicentrique Bâle) — https://www.nejm.org/doi/full/10.1056/NEJMoa1803760 (critères d'inclusion : diurèse &gt; 50 mL/kg/24 h, osmolalité urinaire &lt; 800 mOsm/kg)</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L3-L18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point 9 et point 11.B (même défaut dans les points 9 et 11.B des 10 DX des Parties 1 à 4)</w:t>
            </w:r>
          </w:p>
        </w:tc>
        <w:tc>
          <w:tcPr>
            <w:tcW w:w="2600" w:type="dxa"/>
            <w:vAlign w:val="top"/>
          </w:tcPr>
          <w:p>
            <w:pPr>
              <w:spacing w:after="0"/>
            </w:pPr>
            <w:r>
              <w:rPr>
                <w:i/>
                <w:sz w:val="17"/>
                <w:szCs w:val="17"/>
              </w:rPr>
              <w:t xml:space="preserve">« Réhydratation et insulinothérapie dans le diabète sucré ; Desmopressine (Minirin®) dans le déficit central en AVP »</w:t>
            </w:r>
          </w:p>
        </w:tc>
        <w:tc>
          <w:tcPr>
            <w:tcW w:w="3000" w:type="dxa"/>
            <w:vAlign w:val="top"/>
          </w:tcPr>
          <w:p>
            <w:pPr>
              <w:spacing w:after="40"/>
            </w:pPr>
            <w:r>
              <w:rPr>
                <w:sz w:val="17"/>
                <w:szCs w:val="17"/>
              </w:rPr>
              <w:t xml:space="preserve">Les points 9 (« Gold Standard… : Le Dosage… », « 1ère intention : … ») et 11.B sont rédigés en listes nominales télégraphiques, systématiquement interdites par le prompt.</w:t>
            </w:r>
          </w:p>
          <w:p>
            <w:pPr>
              <w:spacing w:after="0"/>
            </w:pPr>
            <w:r>
              <w:rPr>
                <w:b/>
                <w:color w:val="145A32"/>
                <w:sz w:val="17"/>
                <w:szCs w:val="17"/>
              </w:rPr>
              <w:t xml:space="preserve">→ Réécrire chaque liste en phrases verbales courtes, par exemple : « Le médecin réhydrate et instaure l'insuline dans le diabète décompensé. Il prescrit la desmopressine (Minirin®) dans le déficit en AVP. »</w:t>
            </w:r>
          </w:p>
        </w:tc>
        <w:tc>
          <w:tcPr>
            <w:tcW w:w="1800" w:type="dxa"/>
            <w:vAlign w:val="top"/>
          </w:tcPr>
          <w:p>
            <w:pPr>
              <w:spacing w:after="0"/>
            </w:pPr>
            <w:r>
              <w:rPr>
                <w:sz w:val="17"/>
                <w:szCs w:val="17"/>
              </w:rPr>
              <w:t xml:space="preserve">PROMPT MAÎTRE V6 — PROFILES, règles citées (prompt de base du lot) : § 6.1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L3-L20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point 9 › fenêtre 9.1 › formules (même défaut dans les Parties 1, 2 et 3)</w:t>
            </w:r>
          </w:p>
        </w:tc>
        <w:tc>
          <w:tcPr>
            <w:tcW w:w="2600" w:type="dxa"/>
            <w:vAlign w:val="top"/>
          </w:tcPr>
          <w:p>
            <w:pPr>
              <w:spacing w:after="0"/>
            </w:pPr>
            <w:r>
              <w:rPr>
                <w:i/>
                <w:sz w:val="17"/>
                <w:szCs w:val="17"/>
              </w:rPr>
              <w:t xml:space="preserve">« Formule de la Clairance de l'Eau Libre () et de la Charge Osmolaire Quotidienne »</w:t>
            </w:r>
          </w:p>
        </w:tc>
        <w:tc>
          <w:tcPr>
            <w:tcW w:w="3000" w:type="dxa"/>
            <w:vAlign w:val="top"/>
          </w:tcPr>
          <w:p>
            <w:pPr>
              <w:spacing w:after="40"/>
            </w:pPr>
            <w:r>
              <w:rPr>
                <w:sz w:val="17"/>
                <w:szCs w:val="17"/>
              </w:rPr>
              <w:t xml:space="preserve">La conversion en Google Docs a supprimé les formules et symboles (parenthèses vides « () », « Si () : ») : le lecteur ne peut plus lire les conditions CH₂O &gt; 0 ni la charge osmolaire.</w:t>
            </w:r>
          </w:p>
          <w:p>
            <w:pPr>
              <w:spacing w:after="0"/>
            </w:pPr>
            <w:r>
              <w:rPr>
                <w:b/>
                <w:color w:val="145A32"/>
                <w:sz w:val="17"/>
                <w:szCs w:val="17"/>
              </w:rPr>
              <w:t xml:space="preserve">→ Restaurer les expressions perdues : « (CH₂O) », « Si CH₂O &gt; 0 : … », « Si Cosm &gt; 3 L/24 h : … (charge osmolaire &gt; 1 000 mOsm/24 h) », en HTML natif avec indices Unicode.</w:t>
            </w:r>
          </w:p>
        </w:tc>
        <w:tc>
          <w:tcPr>
            <w:tcW w:w="1800" w:type="dxa"/>
            <w:vAlign w:val="top"/>
          </w:tcPr>
          <w:p>
            <w:pPr>
              <w:spacing w:after="0"/>
            </w:pPr>
            <w:r>
              <w:rPr>
                <w:sz w:val="17"/>
                <w:szCs w:val="17"/>
              </w:rPr>
              <w:t xml:space="preserve">PROMPT MAÎTRE V6 — PROFILES, règles citées (prompt de base du lot) : § 0 (la conversion détruit le contenu)</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L3-L22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LOT_3_Appel_B_V5_Ultra_Pedagogique_Partie_1_D3.1_a_D3.2__export_GoogleDoc.html</w:t>
            </w:r>
          </w:p>
        </w:tc>
        <w:tc>
          <w:tcPr>
            <w:tcW w:w="2350" w:type="dxa"/>
            <w:vAlign w:val="top"/>
          </w:tcPr>
          <w:p>
            <w:pPr>
              <w:spacing w:after="0"/>
            </w:pPr>
            <w:r>
              <w:rPr>
                <w:sz w:val="17"/>
                <w:szCs w:val="17"/>
              </w:rPr>
              <w:t xml:space="preserve">D3.1 › point 9 › fenêtre 9.1 › formule de Katz › exemple concret</w:t>
            </w:r>
          </w:p>
        </w:tc>
        <w:tc>
          <w:tcPr>
            <w:tcW w:w="2600" w:type="dxa"/>
            <w:vAlign w:val="top"/>
          </w:tcPr>
          <w:p>
            <w:pPr>
              <w:spacing w:after="0"/>
            </w:pPr>
            <w:r>
              <w:rPr>
                <w:i/>
                <w:sz w:val="17"/>
                <w:szCs w:val="17"/>
              </w:rPr>
              <w:t xml:space="preserve">« Exemple concret : Si et , alors (le patient n'est pas réellement hyponatrémique »</w:t>
            </w:r>
          </w:p>
        </w:tc>
        <w:tc>
          <w:tcPr>
            <w:tcW w:w="3000" w:type="dxa"/>
            <w:vAlign w:val="top"/>
          </w:tcPr>
          <w:p>
            <w:pPr>
              <w:spacing w:after="40"/>
            </w:pPr>
            <w:r>
              <w:rPr>
                <w:sz w:val="17"/>
                <w:szCs w:val="17"/>
              </w:rPr>
              <w:t xml:space="preserve">L'exemple chiffré a perdu toutes ses valeurs lors de la conversion et devient incompréhensible.</w:t>
            </w:r>
          </w:p>
          <w:p>
            <w:pPr>
              <w:spacing w:after="0"/>
            </w:pPr>
            <w:r>
              <w:rPr>
                <w:b/>
                <w:color w:val="145A32"/>
                <w:sz w:val="17"/>
                <w:szCs w:val="17"/>
              </w:rPr>
              <w:t xml:space="preserve">→ Restaurer un exemple recalculé, par ex. : « Si Na⁺ mesuré = 128 mmol/L et glycémie = 35,5 mmol/L, alors Na⁺ corrigé = 128 + 0,3 × 30 = 137 mmol/L (calcul dérivé). »</w:t>
            </w:r>
          </w:p>
        </w:tc>
        <w:tc>
          <w:tcPr>
            <w:tcW w:w="1800" w:type="dxa"/>
            <w:vAlign w:val="top"/>
          </w:tcPr>
          <w:p>
            <w:pPr>
              <w:spacing w:after="0"/>
            </w:pPr>
            <w:r>
              <w:rPr>
                <w:sz w:val="17"/>
                <w:szCs w:val="17"/>
              </w:rPr>
              <w:t xml:space="preserve">PROMPT MAÎTRE V6 — PROFILES, règles citées (prompt de base du lot) : § 7 (exemple résolu pas à pas, recalculé)</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L3-L23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LOT_3_Appel_B_V5_Ultra_Pedagogique_Partie_1_D3.1_a_D3.2__export_GoogleDoc.html</w:t>
            </w:r>
          </w:p>
        </w:tc>
        <w:tc>
          <w:tcPr>
            <w:tcW w:w="2350" w:type="dxa"/>
            <w:vAlign w:val="top"/>
          </w:tcPr>
          <w:p>
            <w:pPr>
              <w:spacing w:after="0"/>
            </w:pPr>
            <w:r>
              <w:rPr>
                <w:sz w:val="17"/>
                <w:szCs w:val="17"/>
              </w:rPr>
              <w:t xml:space="preserve">D3.2 › point 9 › fenêtre 9.1 › « Explicitation de l'Eau Corporelle Totale » et tableau Adrogué-Madias</w:t>
            </w:r>
          </w:p>
        </w:tc>
        <w:tc>
          <w:tcPr>
            <w:tcW w:w="2600" w:type="dxa"/>
            <w:vAlign w:val="top"/>
          </w:tcPr>
          <w:p>
            <w:pPr>
              <w:spacing w:after="0"/>
            </w:pPr>
            <w:r>
              <w:rPr>
                <w:i/>
                <w:sz w:val="17"/>
                <w:szCs w:val="17"/>
              </w:rPr>
              <w:t xml:space="preserve">« Exemple concret : Homme âgé de 70 kg () admis avec . »</w:t>
            </w:r>
          </w:p>
        </w:tc>
        <w:tc>
          <w:tcPr>
            <w:tcW w:w="3000" w:type="dxa"/>
            <w:vAlign w:val="top"/>
          </w:tcPr>
          <w:p>
            <w:pPr>
              <w:spacing w:after="40"/>
            </w:pPr>
            <w:r>
              <w:rPr>
                <w:sz w:val="17"/>
                <w:szCs w:val="17"/>
              </w:rPr>
              <w:t xml:space="preserve">Les fractions d'eau corporelle (0,6 / 0,5 / 0,45), la natrémie de l'exemple et toute la colonne « Effet sur la Natrémie » ont disparu : la fenêtre de calcul de réhydratation est inutilisable.</w:t>
            </w:r>
          </w:p>
          <w:p>
            <w:pPr>
              <w:spacing w:after="0"/>
            </w:pPr>
            <w:r>
              <w:rPr>
                <w:b/>
                <w:color w:val="145A32"/>
                <w:sz w:val="17"/>
                <w:szCs w:val="17"/>
              </w:rPr>
              <w:t xml:space="preserve">→ Restaurer : homme jeune ECT = 0,6 × poids ; femme jeune ou homme âgé = 0,5 × poids ; femme âgée = 0,45 × poids ; refaire l'exemple et les ΔNa⁺ par litre (G5 %, NaCl 0,45 %, NaCl 0,9 %) en les étiquetant « calcul dérivé ».</w:t>
            </w:r>
          </w:p>
        </w:tc>
        <w:tc>
          <w:tcPr>
            <w:tcW w:w="1800" w:type="dxa"/>
            <w:vAlign w:val="top"/>
          </w:tcPr>
          <w:p>
            <w:pPr>
              <w:spacing w:after="0"/>
            </w:pPr>
            <w:r>
              <w:rPr>
                <w:sz w:val="17"/>
                <w:szCs w:val="17"/>
              </w:rPr>
              <w:t xml:space="preserve">Adrogué HJ, Madias NE. Hypernatremia. N Engl J Med 2000;342:1493–1499 ; PROMPT MAÎTRE V6 — PROFILES, règles citées (prompt de base du lot) : § 3.6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L3-L24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D3.3 › point 3 et fenêtre 9.1 (même défaut en D3.4 points 3, 6, 7.1, 9.1 et D3.5 fenêtre 3.1)</w:t>
            </w:r>
          </w:p>
        </w:tc>
        <w:tc>
          <w:tcPr>
            <w:tcW w:w="2600" w:type="dxa"/>
            <w:vAlign w:val="top"/>
          </w:tcPr>
          <w:p>
            <w:pPr>
              <w:spacing w:after="0"/>
            </w:pPr>
            <w:r>
              <w:rPr>
                <w:i/>
                <w:sz w:val="17"/>
                <w:szCs w:val="17"/>
              </w:rPr>
              <w:t xml:space="preserve">« couplés à la protéine ( activation de la phospholipase C libération de intracellulaire »</w:t>
            </w:r>
          </w:p>
        </w:tc>
        <w:tc>
          <w:tcPr>
            <w:tcW w:w="3000" w:type="dxa"/>
            <w:vAlign w:val="top"/>
          </w:tcPr>
          <w:p>
            <w:pPr>
              <w:spacing w:after="40"/>
            </w:pPr>
            <w:r>
              <w:rPr>
                <w:sz w:val="17"/>
                <w:szCs w:val="17"/>
              </w:rPr>
              <w:t xml:space="preserve">La cascade M3 → Gq → PLC → IP₃ → Ca²⁺ a perdu ses symboles, et le Focus Score a perdu son unité (« par surface de de tissu », au lieu de 4 mm²).</w:t>
            </w:r>
          </w:p>
          <w:p>
            <w:pPr>
              <w:spacing w:after="0"/>
            </w:pPr>
            <w:r>
              <w:rPr>
                <w:b/>
                <w:color w:val="145A32"/>
                <w:sz w:val="17"/>
                <w:szCs w:val="17"/>
              </w:rPr>
              <w:t xml:space="preserve">→ Restaurer : « couplés à la protéine Gq (activation de la phospholipase C → libération d'IP₃ → hausse du Ca²⁺ intracellulaire → ouverture de l'aquaporine-5) » et « ≥ 1 foyer/4 mm² ».</w:t>
            </w:r>
          </w:p>
        </w:tc>
        <w:tc>
          <w:tcPr>
            <w:tcW w:w="1800" w:type="dxa"/>
            <w:vAlign w:val="top"/>
          </w:tcPr>
          <w:p>
            <w:pPr>
              <w:spacing w:after="0"/>
            </w:pPr>
            <w:r>
              <w:rPr>
                <w:sz w:val="17"/>
                <w:szCs w:val="17"/>
              </w:rPr>
              <w:t xml:space="preserve">Shiboski CH et al. 2016 ACR/EULAR classification criteria for primary Sjögren's syndrome — Ann Rheum Dis 2017;76:9–16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L3-L25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D3.7 › point 1 (même défaut en D3.6 points 1, 3, 7.1, 9, 10, 11.B et D3.7 points 5, 8, 10)</w:t>
            </w:r>
          </w:p>
        </w:tc>
        <w:tc>
          <w:tcPr>
            <w:tcW w:w="2600" w:type="dxa"/>
            <w:vAlign w:val="top"/>
          </w:tcPr>
          <w:p>
            <w:pPr>
              <w:spacing w:after="0"/>
            </w:pPr>
            <w:r>
              <w:rPr>
                <w:i/>
                <w:sz w:val="17"/>
                <w:szCs w:val="17"/>
              </w:rPr>
              <w:t xml:space="preserve">« L'Hypercalcémie ( ou ) et l'Hypokaliémie chronique () sont les deux seules anomalies »</w:t>
            </w:r>
          </w:p>
        </w:tc>
        <w:tc>
          <w:tcPr>
            <w:tcW w:w="3000" w:type="dxa"/>
            <w:vAlign w:val="top"/>
          </w:tcPr>
          <w:p>
            <w:pPr>
              <w:spacing w:after="40"/>
            </w:pPr>
            <w:r>
              <w:rPr>
                <w:sz w:val="17"/>
                <w:szCs w:val="17"/>
              </w:rPr>
              <w:t xml:space="preserve">Les seuils chiffrés ont disparu (hypercalcémie, hypokaliémie, crise hypercalcémique, hyponatrémie motivant la restriction hydrique) : les conduites des points 10 et 11 deviennent applicables sans seuil.</w:t>
            </w:r>
          </w:p>
          <w:p>
            <w:pPr>
              <w:spacing w:after="0"/>
            </w:pPr>
            <w:r>
              <w:rPr>
                <w:b/>
                <w:color w:val="145A32"/>
                <w:sz w:val="17"/>
                <w:szCs w:val="17"/>
              </w:rPr>
              <w:t xml:space="preserve">→ Restaurer chaque seuil : calcémie corrigée &gt; 2,60 mmol/L ou Ca²⁺ ionisé &gt; 1,32 mmol/L (selon le laboratoire), kaliémie &lt; 3,5 mmol/L, crise ≥ 3,50 mmol/L, natrémie &lt; 130 mmol/L pour la restriction hydrique, chacun sourcé [Sn].</w:t>
            </w:r>
          </w:p>
        </w:tc>
        <w:tc>
          <w:tcPr>
            <w:tcW w:w="1800" w:type="dxa"/>
            <w:vAlign w:val="top"/>
          </w:tcPr>
          <w:p>
            <w:pPr>
              <w:spacing w:after="0"/>
            </w:pPr>
            <w:r>
              <w:rPr>
                <w:sz w:val="17"/>
                <w:szCs w:val="17"/>
              </w:rPr>
              <w:t xml:space="preserve">donnée non trouvée dans les sources consultées pour le texte d'origine ; seuils à reprendre de la recommandation citée en [Sn] ; PROMPT MAÎTRE V6 — PROFILES, règles citées (prompt de base du lot) : § 6.7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L3-L30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D3.5 › point 5 (même erreur en Partie 3 › D3.7 › point 11.B : « Prednisone (Spiricort® 40 mg/j »)</w:t>
            </w:r>
          </w:p>
        </w:tc>
        <w:tc>
          <w:tcPr>
            <w:tcW w:w="2600" w:type="dxa"/>
            <w:vAlign w:val="top"/>
          </w:tcPr>
          <w:p>
            <w:pPr>
              <w:spacing w:after="0"/>
            </w:pPr>
            <w:r>
              <w:rPr>
                <w:i/>
                <w:sz w:val="17"/>
                <w:szCs w:val="17"/>
              </w:rPr>
              <w:t xml:space="preserve">« Prednisone Spiricort® ou Dexaméthasone Fortecortin® »</w:t>
            </w:r>
          </w:p>
        </w:tc>
        <w:tc>
          <w:tcPr>
            <w:tcW w:w="3000" w:type="dxa"/>
            <w:vAlign w:val="top"/>
          </w:tcPr>
          <w:p>
            <w:pPr>
              <w:spacing w:after="40"/>
            </w:pPr>
            <w:r>
              <w:rPr>
                <w:sz w:val="17"/>
                <w:szCs w:val="17"/>
              </w:rPr>
              <w:t xml:space="preserve">Spiricort® contient de la prednisolone et non de la prednisone : l'association DCI-spécialité est fausse.</w:t>
            </w:r>
          </w:p>
          <w:p>
            <w:pPr>
              <w:spacing w:after="0"/>
            </w:pPr>
            <w:r>
              <w:rPr>
                <w:b/>
                <w:color w:val="145A32"/>
                <w:sz w:val="17"/>
                <w:szCs w:val="17"/>
              </w:rPr>
              <w:t xml:space="preserve">→ Écrire « prednisolone (Spiricort®) » dans les deux occurrences.</w:t>
            </w:r>
          </w:p>
        </w:tc>
        <w:tc>
          <w:tcPr>
            <w:tcW w:w="1800" w:type="dxa"/>
            <w:vAlign w:val="top"/>
          </w:tcPr>
          <w:p>
            <w:pPr>
              <w:spacing w:after="0"/>
            </w:pPr>
            <w:r>
              <w:rPr>
                <w:sz w:val="17"/>
                <w:szCs w:val="17"/>
              </w:rPr>
              <w:t xml:space="preserve">Information professionnelle Spiricort® (Spirig HealthCare), Swissmedic n° 38840, principe actif prednisolone, ATC H02AB06 — https://ch.oddb.org/de/gcc/fachinfo/reg/38840/chapter/composition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L3-L31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point 11 › B- Moyens › traitement d'urgence</w:t>
            </w:r>
          </w:p>
        </w:tc>
        <w:tc>
          <w:tcPr>
            <w:tcW w:w="2600" w:type="dxa"/>
            <w:vAlign w:val="top"/>
          </w:tcPr>
          <w:p>
            <w:pPr>
              <w:spacing w:after="0"/>
            </w:pPr>
            <w:r>
              <w:rPr>
                <w:i/>
                <w:sz w:val="17"/>
                <w:szCs w:val="17"/>
              </w:rPr>
              <w:t xml:space="preserve">« bolus de 100 à 150 mL de NaCl hypertonique 3 % sur 20 minutes (répétable 1 fois) »</w:t>
            </w:r>
          </w:p>
        </w:tc>
        <w:tc>
          <w:tcPr>
            <w:tcW w:w="3000" w:type="dxa"/>
            <w:vAlign w:val="top"/>
          </w:tcPr>
          <w:p>
            <w:pPr>
              <w:spacing w:after="40"/>
            </w:pPr>
            <w:r>
              <w:rPr>
                <w:sz w:val="17"/>
                <w:szCs w:val="17"/>
              </w:rPr>
              <w:t xml:space="preserve">La recommandation européenne prévoit 150 mL de NaCl 3 % en 20 min, répétés jusqu'à deux fois (trois bolus) jusqu'à une hausse de 5 mmol/L ; limiter à une répétition risque de sous-traiter une hyponatrémie convulsivante.</w:t>
            </w:r>
          </w:p>
          <w:p>
            <w:pPr>
              <w:spacing w:after="0"/>
            </w:pPr>
            <w:r>
              <w:rPr>
                <w:b/>
                <w:color w:val="145A32"/>
                <w:sz w:val="17"/>
                <w:szCs w:val="17"/>
              </w:rPr>
              <w:t xml:space="preserve">→ Écrire : « Le médecin perfuse 150 mL de NaCl 3 % en 20 minutes, contrôle la natrémie, puis répète le bolus jusqu'à deux fois, jusqu'à une hausse de 5 mmol/L [Sn]. »</w:t>
            </w:r>
          </w:p>
        </w:tc>
        <w:tc>
          <w:tcPr>
            <w:tcW w:w="1800" w:type="dxa"/>
            <w:vAlign w:val="top"/>
          </w:tcPr>
          <w:p>
            <w:pPr>
              <w:spacing w:after="0"/>
            </w:pPr>
            <w:r>
              <w:rPr>
                <w:sz w:val="17"/>
                <w:szCs w:val="17"/>
              </w:rPr>
              <w:t xml:space="preserve">Spasovski G et al. Clinical practice guideline on diagnosis and treatment of hyponatraemia (ESE, ESICM, ERA-EDTA) — Eur J Endocrinol 2014;170:G1–G47 — https://pubmed.ncbi.nlm.nih.gov/24569496/ — consulté le 22.10.2026 (résumé et synthèses secondaires lus)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L3-L32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point 11 › D- Pronostic et Recherche 2026</w:t>
            </w:r>
          </w:p>
        </w:tc>
        <w:tc>
          <w:tcPr>
            <w:tcW w:w="2600" w:type="dxa"/>
            <w:vAlign w:val="top"/>
          </w:tcPr>
          <w:p>
            <w:pPr>
              <w:spacing w:after="0"/>
            </w:pPr>
            <w:r>
              <w:rPr>
                <w:i/>
                <w:sz w:val="17"/>
                <w:szCs w:val="17"/>
              </w:rPr>
              <w:t xml:space="preserve">« En 2026, un essai clinique suisse (Hôpital Universitaire de Bâle) a démontré que les Agonistes des récepteurs du GLP-1 »</w:t>
            </w:r>
          </w:p>
        </w:tc>
        <w:tc>
          <w:tcPr>
            <w:tcW w:w="3000" w:type="dxa"/>
            <w:vAlign w:val="top"/>
          </w:tcPr>
          <w:p>
            <w:pPr>
              <w:spacing w:after="40"/>
            </w:pPr>
            <w:r>
              <w:rPr>
                <w:sz w:val="17"/>
                <w:szCs w:val="17"/>
              </w:rPr>
              <w:t xml:space="preserve">L'essai bâlois date de 2021 (J Clin Invest), n'a testé que le dulaglutide 1,5 mg/semaine en croisé de 3 semaines chez 34 patients, et n'a étudié ni le sémaglutide ni des formes « réfractaires ».</w:t>
            </w:r>
          </w:p>
          <w:p>
            <w:pPr>
              <w:spacing w:after="0"/>
            </w:pPr>
            <w:r>
              <w:rPr>
                <w:b/>
                <w:color w:val="145A32"/>
                <w:sz w:val="17"/>
                <w:szCs w:val="17"/>
              </w:rPr>
              <w:t xml:space="preserve">→ Écrire : « En 2021, un essai randomisé croisé de Bâle (34 patients) a montré que le dulaglutide 1,5 mg/semaine réduit les apports hydriques et la soif dans la polydipsie primaire [Sn]. Aucun agoniste du GLP-1 n'est autorisé dans cette indication. »</w:t>
            </w:r>
          </w:p>
        </w:tc>
        <w:tc>
          <w:tcPr>
            <w:tcW w:w="1800" w:type="dxa"/>
            <w:vAlign w:val="top"/>
          </w:tcPr>
          <w:p>
            <w:pPr>
              <w:spacing w:after="0"/>
            </w:pPr>
            <w:r>
              <w:rPr>
                <w:sz w:val="17"/>
                <w:szCs w:val="17"/>
              </w:rPr>
              <w:t xml:space="preserve">Winzeler B et al. A randomized controlled trial of the GLP-1 receptor agonist dulaglutide in primary polydipsia — J Clin Invest 2021;131(20):e151800 — https://www.jci.org/articles/view/151800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L3-L53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G3 › point 2 (absence de Bloc 2 dans tout le fichier)</w:t>
            </w:r>
          </w:p>
        </w:tc>
        <w:tc>
          <w:tcPr>
            <w:tcW w:w="2600" w:type="dxa"/>
            <w:vAlign w:val="top"/>
          </w:tcPr>
          <w:p>
            <w:pPr>
              <w:spacing w:after="0"/>
            </w:pPr>
            <w:r>
              <w:rPr>
                <w:i/>
                <w:sz w:val="17"/>
                <w:szCs w:val="17"/>
              </w:rPr>
              <w:t xml:space="preserve">« Les causes rares deviennent pertinentes après la vérification de la polyurie. »</w:t>
            </w:r>
          </w:p>
        </w:tc>
        <w:tc>
          <w:tcPr>
            <w:tcW w:w="3000" w:type="dxa"/>
            <w:vAlign w:val="top"/>
          </w:tcPr>
          <w:p>
            <w:pPr>
              <w:spacing w:after="40"/>
            </w:pPr>
            <w:r>
              <w:rPr>
                <w:sz w:val="17"/>
                <w:szCs w:val="17"/>
              </w:rPr>
              <w:t xml:space="preserve">La V6 ne contient ni justification des 10 DX, ni tableau comparatif, ni algorithme discriminant, ni critère d'ordre annoncé : l'Appel A est incomplet.</w:t>
            </w:r>
          </w:p>
          <w:p>
            <w:pPr>
              <w:spacing w:after="0"/>
            </w:pPr>
            <w:r>
              <w:rPr>
                <w:b/>
                <w:color w:val="145A32"/>
                <w:sz w:val="17"/>
                <w:szCs w:val="17"/>
              </w:rPr>
              <w:t xml:space="preserve">→ Ajouter un Bloc 2 complet (liste ordonnée justifiée, tableau comparatif des 10 DX, algorithme) dans le futur fichier Appel A.</w:t>
            </w:r>
          </w:p>
        </w:tc>
        <w:tc>
          <w:tcPr>
            <w:tcW w:w="1800" w:type="dxa"/>
            <w:vAlign w:val="top"/>
          </w:tcPr>
          <w:p>
            <w:pPr>
              <w:spacing w:after="0"/>
            </w:pPr>
            <w:r>
              <w:rPr>
                <w:sz w:val="17"/>
                <w:szCs w:val="17"/>
              </w:rPr>
              <w:t xml:space="preserve">PROMPT MAÎTRE V6 — PROFILES, règles citées (prompt de base du lot) : § 4.1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L3-L54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Ensemble du fichier › 0 balise &lt;table&gt; (exemple : D3.2 › point 9 › Alternatives)</w:t>
            </w:r>
          </w:p>
        </w:tc>
        <w:tc>
          <w:tcPr>
            <w:tcW w:w="2600" w:type="dxa"/>
            <w:vAlign w:val="top"/>
          </w:tcPr>
          <w:p>
            <w:pPr>
              <w:spacing w:after="0"/>
            </w:pPr>
            <w:r>
              <w:rPr>
                <w:i/>
                <w:sz w:val="17"/>
                <w:szCs w:val="17"/>
              </w:rPr>
              <w:t xml:space="preserve">« Le déficit hydrique calculé donne un ordre de grandeur. »</w:t>
            </w:r>
          </w:p>
        </w:tc>
        <w:tc>
          <w:tcPr>
            <w:tcW w:w="3000" w:type="dxa"/>
            <w:vAlign w:val="top"/>
          </w:tcPr>
          <w:p>
            <w:pPr>
              <w:spacing w:after="40"/>
            </w:pPr>
            <w:r>
              <w:rPr>
                <w:sz w:val="17"/>
                <w:szCs w:val="17"/>
              </w:rPr>
              <w:t xml:space="preserve">La V6 ne contient aucun tableau, aucun tableau d'interprétation par examen et aucune fenêtre bio-mathématique, alors que la V5 en comptait une quinzaine (osmolalités, Katz, Winter, Adrogué-Madias, SAAG, Payne, copeptine).</w:t>
            </w:r>
          </w:p>
          <w:p>
            <w:pPr>
              <w:spacing w:after="0"/>
            </w:pPr>
            <w:r>
              <w:rPr>
                <w:b/>
                <w:color w:val="145A32"/>
                <w:sz w:val="17"/>
                <w:szCs w:val="17"/>
              </w:rPr>
              <w:t xml:space="preserve">→ Réintégrer, après correction, les fenêtres bio-mathématiques de la V5 et ajouter pour chaque examen un tableau normal (SI) | seuil | signification | conduite.</w:t>
            </w:r>
          </w:p>
        </w:tc>
        <w:tc>
          <w:tcPr>
            <w:tcW w:w="1800" w:type="dxa"/>
            <w:vAlign w:val="top"/>
          </w:tcPr>
          <w:p>
            <w:pPr>
              <w:spacing w:after="0"/>
            </w:pPr>
            <w:r>
              <w:rPr>
                <w:sz w:val="17"/>
                <w:szCs w:val="17"/>
              </w:rPr>
              <w:t xml:space="preserve">PROMPT MAÎTRE V6 — PROFILES, règles citées (prompt de base du lot) : § 5 point 9, § 7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L3-L55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D3.1 › point 11 › 11.B</w:t>
            </w:r>
          </w:p>
        </w:tc>
        <w:tc>
          <w:tcPr>
            <w:tcW w:w="2600" w:type="dxa"/>
            <w:vAlign w:val="top"/>
          </w:tcPr>
          <w:p>
            <w:pPr>
              <w:spacing w:after="0"/>
            </w:pPr>
            <w:r>
              <w:rPr>
                <w:i/>
                <w:sz w:val="17"/>
                <w:szCs w:val="17"/>
              </w:rPr>
              <w:t xml:space="preserve">« Il évite de commencer l'insuline en présence d'une hypokaliémie importante non corrigée »</w:t>
            </w:r>
          </w:p>
        </w:tc>
        <w:tc>
          <w:tcPr>
            <w:tcW w:w="3000" w:type="dxa"/>
            <w:vAlign w:val="top"/>
          </w:tcPr>
          <w:p>
            <w:pPr>
              <w:spacing w:after="40"/>
            </w:pPr>
            <w:r>
              <w:rPr>
                <w:sz w:val="17"/>
                <w:szCs w:val="17"/>
              </w:rPr>
              <w:t xml:space="preserve">Le texte emploie un terme vague (« hypokaliémie importante ») sans seuil chiffré, alors qu'il s'agit d'une conduite vitale.</w:t>
            </w:r>
          </w:p>
          <w:p>
            <w:pPr>
              <w:spacing w:after="0"/>
            </w:pPr>
            <w:r>
              <w:rPr>
                <w:b/>
                <w:color w:val="145A32"/>
                <w:sz w:val="17"/>
                <w:szCs w:val="17"/>
              </w:rPr>
              <w:t xml:space="preserve">→ Écrire : « Il diffère l'insuline tant que la kaliémie est &lt; 3,5 mmol/L et perfuse du KCl à 10 mmol/h [Sn]. »</w:t>
            </w:r>
          </w:p>
        </w:tc>
        <w:tc>
          <w:tcPr>
            <w:tcW w:w="1800" w:type="dxa"/>
            <w:vAlign w:val="top"/>
          </w:tcPr>
          <w:p>
            <w:pPr>
              <w:spacing w:after="0"/>
            </w:pPr>
            <w:r>
              <w:rPr>
                <w:sz w:val="17"/>
                <w:szCs w:val="17"/>
              </w:rPr>
              <w:t xml:space="preserve">Umpierrez GE et al. Hyperglycaemic crises in adults with diabetes: a consensus report (ADA, EASD, JBDS, AACE, DTS) — Diabetologia/Diabetes Care, 2024 — https://pmc.ncbi.nlm.nih.gov/articles/PMC11343900/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L3-L56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D3.9 › point 11 › 11.B (même défaut dans les 11 points 11.B)</w:t>
            </w:r>
          </w:p>
        </w:tc>
        <w:tc>
          <w:tcPr>
            <w:tcW w:w="2600" w:type="dxa"/>
            <w:vAlign w:val="top"/>
          </w:tcPr>
          <w:p>
            <w:pPr>
              <w:spacing w:after="0"/>
            </w:pPr>
            <w:r>
              <w:rPr>
                <w:i/>
                <w:sz w:val="17"/>
                <w:szCs w:val="17"/>
              </w:rPr>
              <w:t xml:space="preserve">« La dose, les apports et les périodes d'aquarèse éventuelles sont individualisés »</w:t>
            </w:r>
          </w:p>
        </w:tc>
        <w:tc>
          <w:tcPr>
            <w:tcW w:w="3000" w:type="dxa"/>
            <w:vAlign w:val="top"/>
          </w:tcPr>
          <w:p>
            <w:pPr>
              <w:spacing w:after="40"/>
            </w:pPr>
            <w:r>
              <w:rPr>
                <w:sz w:val="17"/>
                <w:szCs w:val="17"/>
              </w:rPr>
              <w:t xml:space="preserve">Aucun point 11.B ne donne de classe, de spécialité suisse ®, de dose, de voie, de durée ni de contre-indication : la pharmacologie exigée a disparu.</w:t>
            </w:r>
          </w:p>
          <w:p>
            <w:pPr>
              <w:spacing w:after="0"/>
            </w:pPr>
            <w:r>
              <w:rPr>
                <w:b/>
                <w:color w:val="145A32"/>
                <w:sz w:val="17"/>
                <w:szCs w:val="17"/>
              </w:rPr>
              <w:t xml:space="preserve">→ Rédiger pour chaque traitement les items ① à ⑥, par ex. desmopressine (Minirin® Melt 60–120 µg sublingual au coucher, titration selon natrémie), vérifiés dans l'information professionnelle suisse.</w:t>
            </w:r>
          </w:p>
        </w:tc>
        <w:tc>
          <w:tcPr>
            <w:tcW w:w="1800" w:type="dxa"/>
            <w:vAlign w:val="top"/>
          </w:tcPr>
          <w:p>
            <w:pPr>
              <w:spacing w:after="0"/>
            </w:pPr>
            <w:r>
              <w:rPr>
                <w:sz w:val="17"/>
                <w:szCs w:val="17"/>
              </w:rPr>
              <w:t xml:space="preserve">PROMPT MAÎTRE V6 — PROFILES, règles citées (prompt de base du lot) : § 5 point 11.B</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L3-L57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G3 › point 7 (même défaut dans les 11 monographies)</w:t>
            </w:r>
          </w:p>
        </w:tc>
        <w:tc>
          <w:tcPr>
            <w:tcW w:w="2600" w:type="dxa"/>
            <w:vAlign w:val="top"/>
          </w:tcPr>
          <w:p>
            <w:pPr>
              <w:spacing w:after="0"/>
            </w:pPr>
            <w:r>
              <w:rPr>
                <w:i/>
                <w:sz w:val="17"/>
                <w:szCs w:val="17"/>
              </w:rPr>
              <w:t xml:space="preserve">« Une polyurie avec glycosurie évoque une diurèse osmotique. »</w:t>
            </w:r>
          </w:p>
        </w:tc>
        <w:tc>
          <w:tcPr>
            <w:tcW w:w="3000" w:type="dxa"/>
            <w:vAlign w:val="top"/>
          </w:tcPr>
          <w:p>
            <w:pPr>
              <w:spacing w:after="40"/>
            </w:pPr>
            <w:r>
              <w:rPr>
                <w:sz w:val="17"/>
                <w:szCs w:val="17"/>
              </w:rPr>
              <w:t xml:space="preserve">Les sous-titres 7.1 et 7.2 sont génériques (« Le tableau oriente le mécanisme ») et ne nomment aucun syndrome ; aucune fenêtre ne relie chaque signe à son mécanisme.</w:t>
            </w:r>
          </w:p>
          <w:p>
            <w:pPr>
              <w:spacing w:after="0"/>
            </w:pPr>
            <w:r>
              <w:rPr>
                <w:b/>
                <w:color w:val="145A32"/>
                <w:sz w:val="17"/>
                <w:szCs w:val="17"/>
              </w:rPr>
              <w:t xml:space="preserve">→ Nommer chaque syndrome (« 7.1 Syndrome polyuro-polydipsique osmotique », « 7.2 Syndrome polyuro-polydipsique hypotonique ») et ouvrir une fenêtre &lt;details&gt; signe → mécanisme sourcée.</w:t>
            </w:r>
          </w:p>
        </w:tc>
        <w:tc>
          <w:tcPr>
            <w:tcW w:w="1800" w:type="dxa"/>
            <w:vAlign w:val="top"/>
          </w:tcPr>
          <w:p>
            <w:pPr>
              <w:spacing w:after="0"/>
            </w:pPr>
            <w:r>
              <w:rPr>
                <w:sz w:val="17"/>
                <w:szCs w:val="17"/>
              </w:rPr>
              <w:t xml:space="preserve">PROMPT MAÎTRE V6 — PROFILES, règles citées (prompt de base du lot) : § 5 point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L3-L58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D3.1 › « Consulter les références et leur portée » (même défaut dans les 11 monographies)</w:t>
            </w:r>
          </w:p>
        </w:tc>
        <w:tc>
          <w:tcPr>
            <w:tcW w:w="2600" w:type="dxa"/>
            <w:vAlign w:val="top"/>
          </w:tcPr>
          <w:p>
            <w:pPr>
              <w:spacing w:after="0"/>
            </w:pPr>
            <w:r>
              <w:rPr>
                <w:i/>
                <w:sz w:val="17"/>
                <w:szCs w:val="17"/>
              </w:rPr>
              <w:t xml:space="preserve">« Consensus international — Crises hyperglycémiques, 2024 »</w:t>
            </w:r>
          </w:p>
        </w:tc>
        <w:tc>
          <w:tcPr>
            <w:tcW w:w="3000" w:type="dxa"/>
            <w:vAlign w:val="top"/>
          </w:tcPr>
          <w:p>
            <w:pPr>
              <w:spacing w:after="40"/>
            </w:pPr>
            <w:r>
              <w:rPr>
                <w:sz w:val="17"/>
                <w:szCs w:val="17"/>
              </w:rPr>
              <w:t xml:space="preserve">Les références ne sont ni numérotées [Sn], ni datées de consultation, ni appelées dans le texte, et les Google Docs du lot servent de « source » ; la mention de non-validation clinique est absente.</w:t>
            </w:r>
          </w:p>
          <w:p>
            <w:pPr>
              <w:spacing w:after="0"/>
            </w:pPr>
            <w:r>
              <w:rPr>
                <w:b/>
                <w:color w:val="145A32"/>
                <w:sz w:val="17"/>
                <w:szCs w:val="17"/>
              </w:rPr>
              <w:t xml:space="preserve">→ Créer une section finale « Sources » [S1]…[Sn] (titre, organisme, année, URL, date), appeler [Sn] après chaque affirmation chiffrée, retirer les Google Docs des sources et ajouter « Contenu produit par IA à partir des sources citées ; non validé cliniquement par un médecin. »</w:t>
            </w:r>
          </w:p>
        </w:tc>
        <w:tc>
          <w:tcPr>
            <w:tcW w:w="1800" w:type="dxa"/>
            <w:vAlign w:val="top"/>
          </w:tcPr>
          <w:p>
            <w:pPr>
              <w:spacing w:after="0"/>
            </w:pPr>
            <w:r>
              <w:rPr>
                <w:sz w:val="17"/>
                <w:szCs w:val="17"/>
              </w:rPr>
              <w:t xml:space="preserve">PROMPT MAÎTRE V6 — PROFILES, règles citées (prompt de base du lot) : § 3.8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L3-L59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D3.5 › point 2</w:t>
            </w:r>
          </w:p>
        </w:tc>
        <w:tc>
          <w:tcPr>
            <w:tcW w:w="2600" w:type="dxa"/>
            <w:vAlign w:val="top"/>
          </w:tcPr>
          <w:p>
            <w:pPr>
              <w:spacing w:after="0"/>
            </w:pPr>
            <w:r>
              <w:rPr>
                <w:i/>
                <w:sz w:val="17"/>
                <w:szCs w:val="17"/>
              </w:rPr>
              <w:t xml:space="preserve">« Le sevrage peut aussi provoquer un malaise, notamment après l'arrêt brutal de certaines substances. »</w:t>
            </w:r>
          </w:p>
        </w:tc>
        <w:tc>
          <w:tcPr>
            <w:tcW w:w="3000" w:type="dxa"/>
            <w:vAlign w:val="top"/>
          </w:tcPr>
          <w:p>
            <w:pPr>
              <w:spacing w:after="40"/>
            </w:pPr>
            <w:r>
              <w:rPr>
                <w:sz w:val="17"/>
                <w:szCs w:val="17"/>
              </w:rPr>
              <w:t xml:space="preserve">Une phrase d'un autre SSP (malaise) a été collée dans D3.5 : elle n'a aucun rapport avec la polyurie iatrogène.</w:t>
            </w:r>
          </w:p>
          <w:p>
            <w:pPr>
              <w:spacing w:after="0"/>
            </w:pPr>
            <w:r>
              <w:rPr>
                <w:b/>
                <w:color w:val="145A32"/>
                <w:sz w:val="17"/>
                <w:szCs w:val="17"/>
              </w:rPr>
              <w:t xml:space="preserve">→ Remplacer par : « Les gliflozines, les diurétiques et les corticoïdes figurent parmi les causes médicamenteuses de polyurie [Sn]. »</w:t>
            </w:r>
          </w:p>
        </w:tc>
        <w:tc>
          <w:tcPr>
            <w:tcW w:w="1800" w:type="dxa"/>
            <w:vAlign w:val="top"/>
          </w:tcPr>
          <w:p>
            <w:pPr>
              <w:spacing w:after="0"/>
            </w:pPr>
            <w:r>
              <w:rPr>
                <w:sz w:val="17"/>
                <w:szCs w:val="17"/>
              </w:rPr>
              <w:t xml:space="preserve">PROMPT MAÎTRE V6 — PROFILES, règles citées (prompt de base du lot) :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L3-L60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D3.5 › points 5, 6, 11.C et 12</w:t>
            </w:r>
          </w:p>
        </w:tc>
        <w:tc>
          <w:tcPr>
            <w:tcW w:w="2600" w:type="dxa"/>
            <w:vAlign w:val="top"/>
          </w:tcPr>
          <w:p>
            <w:pPr>
              <w:spacing w:after="0"/>
            </w:pPr>
            <w:r>
              <w:rPr>
                <w:i/>
                <w:sz w:val="17"/>
                <w:szCs w:val="17"/>
              </w:rPr>
              <w:t xml:space="preserve">« Une confusion, une rigidité, un trouble du rythme ou une instabilité nécessite une évaluation urgente. »</w:t>
            </w:r>
          </w:p>
        </w:tc>
        <w:tc>
          <w:tcPr>
            <w:tcW w:w="3000" w:type="dxa"/>
            <w:vAlign w:val="top"/>
          </w:tcPr>
          <w:p>
            <w:pPr>
              <w:spacing w:after="40"/>
            </w:pPr>
            <w:r>
              <w:rPr>
                <w:sz w:val="17"/>
                <w:szCs w:val="17"/>
              </w:rPr>
              <w:t xml:space="preserve">Les points 5, 6, 11.C et 12 de D3.5 parlent de rigidité, de toxidrome, de syndrome de sevrage et de plans de décroissance, textes issus d'un gabarit d'intoxication sans lien avec la diurèse iatrogène.</w:t>
            </w:r>
          </w:p>
          <w:p>
            <w:pPr>
              <w:spacing w:after="0"/>
            </w:pPr>
            <w:r>
              <w:rPr>
                <w:b/>
                <w:color w:val="145A32"/>
                <w:sz w:val="17"/>
                <w:szCs w:val="17"/>
              </w:rPr>
              <w:t xml:space="preserve">→ Réécrire ces points pour la polyurie iatrogène : hypotension orthostatique, nausées sous SGLT2 (ACD euglycémique), hypokaliémie sous diurétique, hypernatrémie sous tolvaptan.</w:t>
            </w:r>
          </w:p>
        </w:tc>
        <w:tc>
          <w:tcPr>
            <w:tcW w:w="1800" w:type="dxa"/>
            <w:vAlign w:val="top"/>
          </w:tcPr>
          <w:p>
            <w:pPr>
              <w:spacing w:after="0"/>
            </w:pPr>
            <w:r>
              <w:rPr>
                <w:sz w:val="17"/>
                <w:szCs w:val="17"/>
              </w:rPr>
              <w:t xml:space="preserve">PROMPT MAÎTRE V6 — PROFILES, règles citées (prompt de base du lot) : § 5 bis (plaquage interdit)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L3-L61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D3.8 › point 2</w:t>
            </w:r>
          </w:p>
        </w:tc>
        <w:tc>
          <w:tcPr>
            <w:tcW w:w="2600" w:type="dxa"/>
            <w:vAlign w:val="top"/>
          </w:tcPr>
          <w:p>
            <w:pPr>
              <w:spacing w:after="0"/>
            </w:pPr>
            <w:r>
              <w:rPr>
                <w:i/>
                <w:sz w:val="17"/>
                <w:szCs w:val="17"/>
              </w:rPr>
              <w:t xml:space="preserve">« La fatigue dépend aussi de l'anémie, des comorbidités et des traitements. »</w:t>
            </w:r>
          </w:p>
        </w:tc>
        <w:tc>
          <w:tcPr>
            <w:tcW w:w="3000" w:type="dxa"/>
            <w:vAlign w:val="top"/>
          </w:tcPr>
          <w:p>
            <w:pPr>
              <w:spacing w:after="40"/>
            </w:pPr>
            <w:r>
              <w:rPr>
                <w:sz w:val="17"/>
                <w:szCs w:val="17"/>
              </w:rPr>
              <w:t xml:space="preserve">La phrase provient du SSP « fatigue » et n'a aucun rapport avec l'isosthénurie ou la levée d'obstacle.</w:t>
            </w:r>
          </w:p>
          <w:p>
            <w:pPr>
              <w:spacing w:after="0"/>
            </w:pPr>
            <w:r>
              <w:rPr>
                <w:b/>
                <w:color w:val="145A32"/>
                <w:sz w:val="17"/>
                <w:szCs w:val="17"/>
              </w:rPr>
              <w:t xml:space="preserve">→ Remplacer par une donnée épidémiologique sourcée sur la MRC en Suisse ou par « donnée non trouvée dans les sources consultées ».</w:t>
            </w:r>
          </w:p>
        </w:tc>
        <w:tc>
          <w:tcPr>
            <w:tcW w:w="1800" w:type="dxa"/>
            <w:vAlign w:val="top"/>
          </w:tcPr>
          <w:p>
            <w:pPr>
              <w:spacing w:after="0"/>
            </w:pPr>
            <w:r>
              <w:rPr>
                <w:sz w:val="17"/>
                <w:szCs w:val="17"/>
              </w:rPr>
              <w:t xml:space="preserve">PROMPT MAÎTRE V6 — PROFILES, règles citées (prompt de base du lot) :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L3-L62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D3.10 › points 6 et 9 (1re et 2e intention)</w:t>
            </w:r>
          </w:p>
        </w:tc>
        <w:tc>
          <w:tcPr>
            <w:tcW w:w="2600" w:type="dxa"/>
            <w:vAlign w:val="top"/>
          </w:tcPr>
          <w:p>
            <w:pPr>
              <w:spacing w:after="0"/>
            </w:pPr>
            <w:r>
              <w:rPr>
                <w:i/>
                <w:sz w:val="17"/>
                <w:szCs w:val="17"/>
              </w:rPr>
              <w:t xml:space="preserve">« impose une recherche de toxicité. 6. Examen physique Le médecin évalue l'hydratation »</w:t>
            </w:r>
          </w:p>
        </w:tc>
        <w:tc>
          <w:tcPr>
            <w:tcW w:w="3000" w:type="dxa"/>
            <w:vAlign w:val="top"/>
          </w:tcPr>
          <w:p>
            <w:pPr>
              <w:spacing w:after="40"/>
            </w:pPr>
            <w:r>
              <w:rPr>
                <w:sz w:val="17"/>
                <w:szCs w:val="17"/>
              </w:rPr>
              <w:t xml:space="preserve">Les points 6 et 9 de D3.10 recopient mot pour mot ceux de D3.9 (signes neuro-ophtalmologiques, déficits hypophysaires, chirurgie récente, IRM hypophysaire), hors sujet pour une résistance rénale à l'AVP.</w:t>
            </w:r>
          </w:p>
          <w:p>
            <w:pPr>
              <w:spacing w:after="0"/>
            </w:pPr>
            <w:r>
              <w:rPr>
                <w:b/>
                <w:color w:val="145A32"/>
                <w:sz w:val="17"/>
                <w:szCs w:val="17"/>
              </w:rPr>
              <w:t xml:space="preserve">→ Réécrire : examen neurologique (tremblement, ataxie sous lithium), recherche d'un goitre ; 1re intention : lithiémie à 12 h, calcémie, kaliémie, DFGe, copeptine basale ≥ 21,4 pmol/L [Sn].</w:t>
            </w:r>
          </w:p>
        </w:tc>
        <w:tc>
          <w:tcPr>
            <w:tcW w:w="1800" w:type="dxa"/>
            <w:vAlign w:val="top"/>
          </w:tcPr>
          <w:p>
            <w:pPr>
              <w:spacing w:after="0"/>
            </w:pPr>
            <w:r>
              <w:rPr>
                <w:sz w:val="17"/>
                <w:szCs w:val="17"/>
              </w:rPr>
              <w:t xml:space="preserve">Timper K et al. Diagnostic accuracy of copeptin in the differential diagnosis of the polyuria-polydipsia syndrome — J Clin Endocrinol Metab 2015;100:2268–2274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L3-M01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Fichier entier (Appel A)</w:t>
            </w:r>
          </w:p>
        </w:tc>
        <w:tc>
          <w:tcPr>
            <w:tcW w:w="2600" w:type="dxa"/>
            <w:vAlign w:val="top"/>
          </w:tcPr>
          <w:p>
            <w:pPr>
              <w:spacing w:after="0"/>
            </w:pPr>
            <w:r>
              <w:rPr>
                <w:i/>
                <w:sz w:val="17"/>
                <w:szCs w:val="17"/>
              </w:rPr>
              <w:t xml:space="preserve">« Appel A (V5 Ultra-Pédagogique) : Plan Monographique, Formules &amp; Tableaux Bio-Mathématiques et Liste Différentielle »</w:t>
            </w:r>
          </w:p>
        </w:tc>
        <w:tc>
          <w:tcPr>
            <w:tcW w:w="3000" w:type="dxa"/>
            <w:vAlign w:val="top"/>
          </w:tcPr>
          <w:p>
            <w:pPr>
              <w:spacing w:after="40"/>
            </w:pPr>
            <w:r>
              <w:rPr>
                <w:sz w:val="17"/>
                <w:szCs w:val="17"/>
              </w:rPr>
              <w:t xml:space="preserve">L'Appel A n'existe que sous forme de Google Doc exporté : cette conversion viole la règle 0, a détruit toutes les fenêtres &lt;details&gt; (0 fenêtre) et ne porte pas la balise FIN_FICHIER.</w:t>
            </w:r>
          </w:p>
          <w:p>
            <w:pPr>
              <w:spacing w:after="0"/>
            </w:pPr>
            <w:r>
              <w:rPr>
                <w:b/>
                <w:color w:val="145A32"/>
                <w:sz w:val="17"/>
                <w:szCs w:val="17"/>
              </w:rPr>
              <w:t xml:space="preserve">→ Régénérer l'Appel A en HTML5 autonome (gabarit § 9), déposé en text/html sans conversion, avec fenêtres &lt;details&gt;, puis déplacer le Google Doc dans CORBEILLE_DOUBLONS_OBSOLETES avec le suffixe _OBSOLETE_.</w:t>
            </w:r>
          </w:p>
        </w:tc>
        <w:tc>
          <w:tcPr>
            <w:tcW w:w="1800" w:type="dxa"/>
            <w:vAlign w:val="top"/>
          </w:tcPr>
          <w:p>
            <w:pPr>
              <w:spacing w:after="0"/>
            </w:pPr>
            <w:r>
              <w:rPr>
                <w:sz w:val="17"/>
                <w:szCs w:val="17"/>
              </w:rPr>
              <w:t xml:space="preserve">PROMPT V6 du projet (PROMPT_V6.md), sections citées : § 0 (règle bloquante), § 9,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L3-M02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Fichiers entiers Appel B Parties 2, 3 et 4 (3 occurrences ; premier : Partie 2)</w:t>
            </w:r>
          </w:p>
        </w:tc>
        <w:tc>
          <w:tcPr>
            <w:tcW w:w="2600" w:type="dxa"/>
            <w:vAlign w:val="top"/>
          </w:tcPr>
          <w:p>
            <w:pPr>
              <w:spacing w:after="0"/>
            </w:pPr>
            <w:r>
              <w:rPr>
                <w:i/>
                <w:sz w:val="17"/>
                <w:szCs w:val="17"/>
              </w:rPr>
              <w:t xml:space="preserve">« Appel B - Partie 2/4 (D3.3 à D3.5) — Audit Médical &amp; Bio-Mathématique Ultra-Pédagogique »</w:t>
            </w:r>
          </w:p>
        </w:tc>
        <w:tc>
          <w:tcPr>
            <w:tcW w:w="3000" w:type="dxa"/>
            <w:vAlign w:val="top"/>
          </w:tcPr>
          <w:p>
            <w:pPr>
              <w:spacing w:after="40"/>
            </w:pPr>
            <w:r>
              <w:rPr>
                <w:sz w:val="17"/>
                <w:szCs w:val="17"/>
              </w:rPr>
              <w:t xml:space="preserve">Les Parties 2, 3 et 4 n'existent que sous forme de Google Docs exportés : la conversion viole la règle 0, supprime toutes les fenêtres et a vidé de nombreuses formules (parenthèses vides).</w:t>
            </w:r>
          </w:p>
          <w:p>
            <w:pPr>
              <w:spacing w:after="0"/>
            </w:pPr>
            <w:r>
              <w:rPr>
                <w:b/>
                <w:color w:val="145A32"/>
                <w:sz w:val="17"/>
                <w:szCs w:val="17"/>
              </w:rPr>
              <w:t xml:space="preserve">→ Régénérer chaque Partie en fichier .html autonome selon le gabarit V6, en restaurant les formules et les indices perdus, puis archiver les Google Docs avec le suffixe _OBSOLETE_.</w:t>
            </w:r>
          </w:p>
        </w:tc>
        <w:tc>
          <w:tcPr>
            <w:tcW w:w="1800" w:type="dxa"/>
            <w:vAlign w:val="top"/>
          </w:tcPr>
          <w:p>
            <w:pPr>
              <w:spacing w:after="0"/>
            </w:pPr>
            <w:r>
              <w:rPr>
                <w:sz w:val="17"/>
                <w:szCs w:val="17"/>
              </w:rPr>
              <w:t xml:space="preserve">PROMPT V6 du projet (PROMPT_V6.md), sections citées : § 0, § 4,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L3-M04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En-tête du fichier V6 (introduction)</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 Partie_1_Integral » regroupe les onze monographies dans un seul fichier, rompt la cadence 2-3-2-3 et duplique le périmètre des Parties 2 à 4 V5 avec un contenu divergent (doublon de contenu).</w:t>
            </w:r>
          </w:p>
          <w:p>
            <w:pPr>
              <w:spacing w:after="0"/>
            </w:pPr>
            <w:r>
              <w:rPr>
                <w:b/>
                <w:color w:val="145A32"/>
                <w:sz w:val="17"/>
                <w:szCs w:val="17"/>
              </w:rPr>
              <w:t xml:space="preserve">→ Scinder le lot en cinq fichiers HTML (Appel A ; Parties 1 à 4 : D3.1–D3.2, D3.3–D3.5, D3.6–D3.7, D3.8–D3.10) et ne conserver qu'une version active de chaque partie.</w:t>
            </w:r>
          </w:p>
        </w:tc>
        <w:tc>
          <w:tcPr>
            <w:tcW w:w="1800" w:type="dxa"/>
            <w:vAlign w:val="top"/>
          </w:tcPr>
          <w:p>
            <w:pPr>
              <w:spacing w:after="0"/>
            </w:pPr>
            <w:r>
              <w:rPr>
                <w:sz w:val="17"/>
                <w:szCs w:val="17"/>
              </w:rPr>
              <w:t xml:space="preserve">PROMPT V6 du projet (PROMPT_V6.md), sections citées : § 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L3-M05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Toutes les fenêtres &lt;summary&gt; (34 occurrences ; première : SSP G3 › 9. Examens › « Consulter la hiérarchie des examens »)</w:t>
            </w:r>
          </w:p>
        </w:tc>
        <w:tc>
          <w:tcPr>
            <w:tcW w:w="2600" w:type="dxa"/>
            <w:vAlign w:val="top"/>
          </w:tcPr>
          <w:p>
            <w:pPr>
              <w:spacing w:after="0"/>
            </w:pPr>
            <w:r>
              <w:rPr>
                <w:i/>
                <w:sz w:val="17"/>
                <w:szCs w:val="17"/>
              </w:rPr>
              <w:t xml:space="preserve">« Aucun test unique n'établit toutes les causes de soif. Consulter la hiérarchie des examens »</w:t>
            </w:r>
          </w:p>
        </w:tc>
        <w:tc>
          <w:tcPr>
            <w:tcW w:w="3000" w:type="dxa"/>
            <w:vAlign w:val="top"/>
          </w:tcPr>
          <w:p>
            <w:pPr>
              <w:spacing w:after="40"/>
            </w:pPr>
            <w:r>
              <w:rPr>
                <w:sz w:val="17"/>
                <w:szCs w:val="17"/>
              </w:rPr>
              <w:t xml:space="preserve">Le fichier emploie l'attribut title= sur 34 éléments &lt;summary&gt;, ce que le prompt interdit explicitement comme infobulle.</w:t>
            </w:r>
          </w:p>
          <w:p>
            <w:pPr>
              <w:spacing w:after="0"/>
            </w:pPr>
            <w:r>
              <w:rPr>
                <w:b/>
                <w:color w:val="145A32"/>
                <w:sz w:val="17"/>
                <w:szCs w:val="17"/>
              </w:rPr>
              <w:t xml:space="preserve">→ Supprimer tous les attributs title= des &lt;summary&gt; ; placer le texte utile dans le corps de la fenêtre.</w:t>
            </w:r>
          </w:p>
        </w:tc>
        <w:tc>
          <w:tcPr>
            <w:tcW w:w="1800" w:type="dxa"/>
            <w:vAlign w:val="top"/>
          </w:tcPr>
          <w:p>
            <w:pPr>
              <w:spacing w:after="0"/>
            </w:pPr>
            <w:r>
              <w:rPr>
                <w:sz w:val="17"/>
                <w:szCs w:val="17"/>
              </w:rPr>
              <w:t xml:space="preserve">PROMPT V6 du projet (PROMPT_V6.md), sections citées : § 9 (règles techniques)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L3-M06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Fin de chaque monographie › fenêtre « Consulter les références et leur portée » (11 occurrences ; première : SSP G3)</w:t>
            </w:r>
          </w:p>
        </w:tc>
        <w:tc>
          <w:tcPr>
            <w:tcW w:w="2600" w:type="dxa"/>
            <w:vAlign w:val="top"/>
          </w:tcPr>
          <w:p>
            <w:pPr>
              <w:spacing w:after="0"/>
            </w:pPr>
            <w:r>
              <w:rPr>
                <w:i/>
                <w:sz w:val="17"/>
                <w:szCs w:val="17"/>
              </w:rPr>
              <w:t xml:space="preserve">« ne doivent pas être appliqués sans supervision. Consulter les références et leur portée »</w:t>
            </w:r>
          </w:p>
        </w:tc>
        <w:tc>
          <w:tcPr>
            <w:tcW w:w="3000" w:type="dxa"/>
            <w:vAlign w:val="top"/>
          </w:tcPr>
          <w:p>
            <w:pPr>
              <w:spacing w:after="40"/>
            </w:pPr>
            <w:r>
              <w:rPr>
                <w:sz w:val="17"/>
                <w:szCs w:val="17"/>
              </w:rPr>
              <w:t xml:space="preserve">Le fichier ne contient aucune section Sources numérotée [S1]…[Sn] datée, ni la mention de non-validation clinique ; les références se limitent à des liens vers les Google Docs du lot et à trois références externes sans date de consultation.</w:t>
            </w:r>
          </w:p>
          <w:p>
            <w:pPr>
              <w:spacing w:after="0"/>
            </w:pPr>
            <w:r>
              <w:rPr>
                <w:b/>
                <w:color w:val="145A32"/>
                <w:sz w:val="17"/>
                <w:szCs w:val="17"/>
              </w:rPr>
              <w:t xml:space="preserve">→ Ajouter en fin de fichier une section Sources [S1]…[Sn] (titre, organisme, année, URL, date de consultation), appeler chaque [Sn] dans le texte, puis écrire : « Contenu produit par IA à partir des sources citées ; non validé cliniquement par un médecin. »</w:t>
            </w:r>
          </w:p>
        </w:tc>
        <w:tc>
          <w:tcPr>
            <w:tcW w:w="1800" w:type="dxa"/>
            <w:vAlign w:val="top"/>
          </w:tcPr>
          <w:p>
            <w:pPr>
              <w:spacing w:after="0"/>
            </w:pPr>
            <w:r>
              <w:rPr>
                <w:sz w:val="17"/>
                <w:szCs w:val="17"/>
              </w:rPr>
              <w:t xml:space="preserve">PROMPT V6 du projet (PROMPT_V6.md), sections citées : § 3.8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L3-M07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Fin de fichier de l'Appel A (section Sources absente) ; même absence dans les Parties 1 à 4 V5 (5 fichiers)</w:t>
            </w:r>
          </w:p>
        </w:tc>
        <w:tc>
          <w:tcPr>
            <w:tcW w:w="2600" w:type="dxa"/>
            <w:vAlign w:val="top"/>
          </w:tcPr>
          <w:p>
            <w:pPr>
              <w:spacing w:after="0"/>
            </w:pPr>
            <w:r>
              <w:rPr>
                <w:i/>
                <w:sz w:val="17"/>
                <w:szCs w:val="17"/>
              </w:rPr>
              <w:t xml:space="preserve">« dominée par l'intoxication chronique au Lithium, source : ESE / KDIGO) »</w:t>
            </w:r>
          </w:p>
        </w:tc>
        <w:tc>
          <w:tcPr>
            <w:tcW w:w="3000" w:type="dxa"/>
            <w:vAlign w:val="top"/>
          </w:tcPr>
          <w:p>
            <w:pPr>
              <w:spacing w:after="40"/>
            </w:pPr>
            <w:r>
              <w:rPr>
                <w:sz w:val="17"/>
                <w:szCs w:val="17"/>
              </w:rPr>
              <w:t xml:space="preserve">Aucun fichier V5 ne comporte de section Sources numérotée ni la mention de non-validation : les chiffres, doses et seuils ne sont rattachés à aucune référence vérifiable.</w:t>
            </w:r>
          </w:p>
          <w:p>
            <w:pPr>
              <w:spacing w:after="0"/>
            </w:pPr>
            <w:r>
              <w:rPr>
                <w:b/>
                <w:color w:val="145A32"/>
                <w:sz w:val="17"/>
                <w:szCs w:val="17"/>
              </w:rPr>
              <w:t xml:space="preserve">→ Ajouter dans chaque fichier une section Sources [S1]…[Sn] datée et appeler la source après chaque chiffre, seuil ou dose ; ajouter la mention de non-validation clinique.</w:t>
            </w:r>
          </w:p>
        </w:tc>
        <w:tc>
          <w:tcPr>
            <w:tcW w:w="1800" w:type="dxa"/>
            <w:vAlign w:val="top"/>
          </w:tcPr>
          <w:p>
            <w:pPr>
              <w:spacing w:after="0"/>
            </w:pPr>
            <w:r>
              <w:rPr>
                <w:sz w:val="17"/>
                <w:szCs w:val="17"/>
              </w:rPr>
              <w:t xml:space="preserve">PROMPT V6 du projet (PROMPT_V6.md), sections citées : § 3.1 et § 3.8.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L3-M08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Ensemble des monographies › points 8, 9 et 11 (aucun tableau dans le fichier) ; premier : SSP G3 › 9. Examens › 1re intention</w:t>
            </w:r>
          </w:p>
        </w:tc>
        <w:tc>
          <w:tcPr>
            <w:tcW w:w="2600" w:type="dxa"/>
            <w:vAlign w:val="top"/>
          </w:tcPr>
          <w:p>
            <w:pPr>
              <w:spacing w:after="0"/>
            </w:pPr>
            <w:r>
              <w:rPr>
                <w:i/>
                <w:sz w:val="17"/>
                <w:szCs w:val="17"/>
              </w:rPr>
              <w:t xml:space="preserve">« Le médecin mesure la glycémie, le sodium, le potassium, le calcium et la fonction rénale »</w:t>
            </w:r>
          </w:p>
        </w:tc>
        <w:tc>
          <w:tcPr>
            <w:tcW w:w="3000" w:type="dxa"/>
            <w:vAlign w:val="top"/>
          </w:tcPr>
          <w:p>
            <w:pPr>
              <w:spacing w:after="40"/>
            </w:pPr>
            <w:r>
              <w:rPr>
                <w:sz w:val="17"/>
                <w:szCs w:val="17"/>
              </w:rPr>
              <w:t xml:space="preserve">Le fichier V6 a retiré toutes les valeurs normales, tous les seuils SI et tous les tableaux d'interprétation (0 tableau) : aucun examen ne reçoit le tableau normal | seuil | signification | conduite exigé.</w:t>
            </w:r>
          </w:p>
          <w:p>
            <w:pPr>
              <w:spacing w:after="0"/>
            </w:pPr>
            <w:r>
              <w:rPr>
                <w:b/>
                <w:color w:val="145A32"/>
                <w:sz w:val="17"/>
                <w:szCs w:val="17"/>
              </w:rPr>
              <w:t xml:space="preserve">→ Pour chaque examen cité, insérer un tableau enveloppé dans &lt;div style='overflow-x:auto;'&gt; : par exemple osmolalité plasmatique 275–295 mOsm/kg ; natrémie 135–145 mmol/L ; osmolalité urinaire &lt; 300 mOsm/kg = polyurie hypotonique ; glycémie ≥ 11,1 mmol/L ; calcémie corrigée 2,15–2,55 mmol/L ; kaliémie 3,5–5,0 mmol/L ; chaque valeur avec sa source [Sn].</w:t>
            </w:r>
          </w:p>
        </w:tc>
        <w:tc>
          <w:tcPr>
            <w:tcW w:w="1800" w:type="dxa"/>
            <w:vAlign w:val="top"/>
          </w:tcPr>
          <w:p>
            <w:pPr>
              <w:spacing w:after="0"/>
            </w:pPr>
            <w:r>
              <w:rPr>
                <w:sz w:val="17"/>
                <w:szCs w:val="17"/>
              </w:rPr>
              <w:t xml:space="preserve">PROMPT V6 du projet (PROMPT_V6.md), sections citées : § 5 point 9, § 6.7 et § 13 ; valeurs à reprendre des sources suisses (laboratoires universitaires) et européennes citées.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L3-M10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D3.9 › 9. Examens (texte principal) ; même omission en SSP G3 › 14. Pièges et D3.10 › 9.</w:t>
            </w:r>
          </w:p>
        </w:tc>
        <w:tc>
          <w:tcPr>
            <w:tcW w:w="2600" w:type="dxa"/>
            <w:vAlign w:val="top"/>
          </w:tcPr>
          <w:p>
            <w:pPr>
              <w:spacing w:after="0"/>
            </w:pPr>
            <w:r>
              <w:rPr>
                <w:i/>
                <w:sz w:val="17"/>
                <w:szCs w:val="17"/>
              </w:rPr>
              <w:t xml:space="preserve">« caractérise le déficit. Les seuils s'interprètent selon la méthode et le stimulus. Consulter »</w:t>
            </w:r>
          </w:p>
        </w:tc>
        <w:tc>
          <w:tcPr>
            <w:tcW w:w="3000" w:type="dxa"/>
            <w:vAlign w:val="top"/>
          </w:tcPr>
          <w:p>
            <w:pPr>
              <w:spacing w:after="40"/>
            </w:pPr>
            <w:r>
              <w:rPr>
                <w:sz w:val="17"/>
                <w:szCs w:val="17"/>
              </w:rPr>
              <w:t xml:space="preserve">Les seuils de copeptine qui fondent le diagnostic différentiel des polyuries hypotoniques sont supprimés, ce qui rend la monographie inutilisable pour l'examen et pour la décision.</w:t>
            </w:r>
          </w:p>
          <w:p>
            <w:pPr>
              <w:spacing w:after="0"/>
            </w:pPr>
            <w:r>
              <w:rPr>
                <w:b/>
                <w:color w:val="145A32"/>
                <w:sz w:val="17"/>
                <w:szCs w:val="17"/>
              </w:rPr>
              <w:t xml:space="preserve">→ Ajouter un tableau : copeptine stimulée par NaCl 3 % (prélèvement à natrémie ≥ 150 mmol/L) ≤ 4,9 pmol/L = déficit en AVP, &gt; 4,9 pmol/L = polydipsie primaire (précision 96,5 %) ; copeptine basale ≥ 21,4 pmol/L = résistance à l'AVP ; copeptine stimulée par arginine (seuil 3,8 pmol/L à 60 min) moins exacte (74,4 % contre 95,6 %) ; test réalisé uniquement en milieu spécialisé avec natrémie toutes les 30 minutes.</w:t>
            </w:r>
          </w:p>
        </w:tc>
        <w:tc>
          <w:tcPr>
            <w:tcW w:w="1800" w:type="dxa"/>
            <w:vAlign w:val="top"/>
          </w:tcPr>
          <w:p>
            <w:pPr>
              <w:spacing w:after="0"/>
            </w:pPr>
            <w:r>
              <w:rPr>
                <w:sz w:val="17"/>
                <w:szCs w:val="17"/>
              </w:rPr>
              <w:t xml:space="preserve">Fenske W. et al. A Copeptin-Based Approach in the Diagnosis of Diabetes Insipidus. N Engl J Med 2018;379:428-439 (étude multicentrique conduite notamment à Bâle) — https://doi.org/10.1056/NEJMoa1803760 ; Refardt J. et al. (CARGOx). Arginine or Hypertonic Saline–Stimulated Copeptin to Diagnose AVP Deficiency. N Engl J Med 2023;389:1877-1887 (Université de Bâle) — https://dkf.unibas.ch/en/news/details/arginine-or-hypertonic-saline-stimulated-copeptin-to-diagnose-avp-deficiency ; Timper K. et al. J Clin Endocrinol Metab 2015 (copeptine basale ≥ 21,4 pmol/L).</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L3-M11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D3.1 › 11. Prise en charge › 11.B. Moyens</w:t>
            </w:r>
          </w:p>
        </w:tc>
        <w:tc>
          <w:tcPr>
            <w:tcW w:w="2600" w:type="dxa"/>
            <w:vAlign w:val="top"/>
          </w:tcPr>
          <w:p>
            <w:pPr>
              <w:spacing w:after="0"/>
            </w:pPr>
            <w:r>
              <w:rPr>
                <w:i/>
                <w:sz w:val="17"/>
                <w:szCs w:val="17"/>
              </w:rPr>
              <w:t xml:space="preserve">« Il évite de commencer l'insuline en présence d'une hypokaliémie importante non corrigée »</w:t>
            </w:r>
          </w:p>
        </w:tc>
        <w:tc>
          <w:tcPr>
            <w:tcW w:w="3000" w:type="dxa"/>
            <w:vAlign w:val="top"/>
          </w:tcPr>
          <w:p>
            <w:pPr>
              <w:spacing w:after="40"/>
            </w:pPr>
            <w:r>
              <w:rPr>
                <w:sz w:val="17"/>
                <w:szCs w:val="17"/>
              </w:rPr>
              <w:t xml:space="preserve">Le seuil de kaliémie qui conditionne le début de l'insuline est absent (« importante »), ainsi que le débit d'insuline, les solutés et leurs volumes : ces omissions peuvent conduire à une hypokaliémie arythmogène.</w:t>
            </w:r>
          </w:p>
          <w:p>
            <w:pPr>
              <w:spacing w:after="0"/>
            </w:pPr>
            <w:r>
              <w:rPr>
                <w:b/>
                <w:color w:val="145A32"/>
                <w:sz w:val="17"/>
                <w:szCs w:val="17"/>
              </w:rPr>
              <w:t xml:space="preserve">→ Écrire le protocole chiffré : remplissage par NaCl 0,9 % (environ 1 L la première heure, puis adapté) ; si kaliémie &lt; 3,5 mmol/L, différer l'insuline et supplémenter le potassium ; si 3,5–5,0 mmol/L, ajouter du KCl aux solutés ; insuline IV à débit fixe 0,1 UI/kg/h ; ajouter du glucose 10 % quand la glycémie descend sous environ 14 mmol/L ; chaque valeur avec sa source [Sn].</w:t>
            </w:r>
          </w:p>
        </w:tc>
        <w:tc>
          <w:tcPr>
            <w:tcW w:w="1800" w:type="dxa"/>
            <w:vAlign w:val="top"/>
          </w:tcPr>
          <w:p>
            <w:pPr>
              <w:spacing w:after="0"/>
            </w:pPr>
            <w:r>
              <w:rPr>
                <w:sz w:val="17"/>
                <w:szCs w:val="17"/>
              </w:rPr>
              <w:t xml:space="preserve">Umpierrez G.E. et al. Hyperglycemic Crises in Adults With Diabetes: A Consensus Report (EASD, JBDS, ADA, AACE, DTS), Diabetologia / Diabetes Care 2024 — https://pmc.ncbi.nlm.nih.gov/articles/PMC11343900/ ; JBDS-IP, Management of diabetic ketoacidosis in adults (2023).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L3-M12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D3.2 › 11. Prise en charge › 11.B. Moyens</w:t>
            </w:r>
          </w:p>
        </w:tc>
        <w:tc>
          <w:tcPr>
            <w:tcW w:w="2600" w:type="dxa"/>
            <w:vAlign w:val="top"/>
          </w:tcPr>
          <w:p>
            <w:pPr>
              <w:spacing w:after="0"/>
            </w:pPr>
            <w:r>
              <w:rPr>
                <w:i/>
                <w:sz w:val="17"/>
                <w:szCs w:val="17"/>
              </w:rPr>
              <w:t xml:space="preserve">« 11.B. Moyens Le traitement choisit la voie orale, entérale ou IV »</w:t>
            </w:r>
          </w:p>
        </w:tc>
        <w:tc>
          <w:tcPr>
            <w:tcW w:w="3000" w:type="dxa"/>
            <w:vAlign w:val="top"/>
          </w:tcPr>
          <w:p>
            <w:pPr>
              <w:spacing w:after="40"/>
            </w:pPr>
            <w:r>
              <w:rPr>
                <w:sz w:val="17"/>
                <w:szCs w:val="17"/>
              </w:rPr>
              <w:t xml:space="preserve">La vitesse maximale de correction d'une hypernatrémie chronique n'est pas chiffrée, alors qu'une correction trop rapide expose à l'œdème cérébral et qu'une correction trop lente est associée à la mortalité.</w:t>
            </w:r>
          </w:p>
          <w:p>
            <w:pPr>
              <w:spacing w:after="0"/>
            </w:pPr>
            <w:r>
              <w:rPr>
                <w:b/>
                <w:color w:val="145A32"/>
                <w:sz w:val="17"/>
                <w:szCs w:val="17"/>
              </w:rPr>
              <w:t xml:space="preserve">→ Ajouter : « Dans une hypernatrémie installée depuis plus de 48 heures ou de durée inconnue, le médecin abaisse la natrémie d'environ 10 mmol/L par 24 heures au plus (environ 0,5 mmol/L/h) et la contrôle toutes les 4 à 6 heures ; une hypernatrémie aiguë de moins de 48 heures peut être corrigée plus vite. » Ajouter une fenêtre de calcul du déficit en eau libre étiquetée « calcul dérivé ».</w:t>
            </w:r>
          </w:p>
        </w:tc>
        <w:tc>
          <w:tcPr>
            <w:tcW w:w="1800" w:type="dxa"/>
            <w:vAlign w:val="top"/>
          </w:tcPr>
          <w:p>
            <w:pPr>
              <w:spacing w:after="0"/>
            </w:pPr>
            <w:r>
              <w:rPr>
                <w:sz w:val="17"/>
                <w:szCs w:val="17"/>
              </w:rPr>
              <w:t xml:space="preserve">Revue Médicale Suisse 2023;19(851):2189 — Hypernatrémie en milieu hospitalier (DOI 10.53738/REVMED.2023.19.851.2189) ; revue « Hypernatremia and Its Rate of Correction: The Evidence So Far », 2024 — https://www.ncbi.nlm.nih.gov/pmc/articles/PMC10961935/ (seuil chiffré à confirmer dans le texte intégral suisse).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L3-M13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D3.4 › 9. Examens › fenêtre « Consulter la hiérarchie des examens » › 2e intention</w:t>
            </w:r>
          </w:p>
        </w:tc>
        <w:tc>
          <w:tcPr>
            <w:tcW w:w="2600" w:type="dxa"/>
            <w:vAlign w:val="top"/>
          </w:tcPr>
          <w:p>
            <w:pPr>
              <w:spacing w:after="0"/>
            </w:pPr>
            <w:r>
              <w:rPr>
                <w:i/>
                <w:sz w:val="17"/>
                <w:szCs w:val="17"/>
              </w:rPr>
              <w:t xml:space="preserve">« Une hyponatrémie symptomatique exige d'abord une prise en charge urgente. »</w:t>
            </w:r>
          </w:p>
        </w:tc>
        <w:tc>
          <w:tcPr>
            <w:tcW w:w="3000" w:type="dxa"/>
            <w:vAlign w:val="top"/>
          </w:tcPr>
          <w:p>
            <w:pPr>
              <w:spacing w:after="40"/>
            </w:pPr>
            <w:r>
              <w:rPr>
                <w:sz w:val="17"/>
                <w:szCs w:val="17"/>
              </w:rPr>
              <w:t xml:space="preserve">Le traitement de l'intoxication par l'eau avec symptômes sévères n'est pas décrit, alors qu'il s'agit de la complication mortelle du DX.</w:t>
            </w:r>
          </w:p>
          <w:p>
            <w:pPr>
              <w:spacing w:after="0"/>
            </w:pPr>
            <w:r>
              <w:rPr>
                <w:b/>
                <w:color w:val="145A32"/>
                <w:sz w:val="17"/>
                <w:szCs w:val="17"/>
              </w:rPr>
              <w:t xml:space="preserve">→ Ajouter : « En cas de symptômes sévères (vomissements, convulsions, somnolence), le médecin perfuse 150 mL de NaCl 3 % IV en 20 minutes, contrôle la natrémie, répète la perfusion jusqu'à deux fois, vise une hausse de 5 mmol/L la première heure et ne dépasse pas 10 mmol/L dans les 24 premières heures puis 8 mmol/L par 24 heures suivantes. »</w:t>
            </w:r>
          </w:p>
        </w:tc>
        <w:tc>
          <w:tcPr>
            <w:tcW w:w="1800" w:type="dxa"/>
            <w:vAlign w:val="top"/>
          </w:tcPr>
          <w:p>
            <w:pPr>
              <w:spacing w:after="0"/>
            </w:pPr>
            <w:r>
              <w:rPr>
                <w:sz w:val="17"/>
                <w:szCs w:val="17"/>
              </w:rPr>
              <w:t xml:space="preserve">Spasovski G. et al. Clinical practice guideline on diagnosis and treatment of hyponatraemia (ESE / ESICM / ERBP). Eur J Endocrinol 2014;170:G1-G47 — https://pubmed.ncbi.nlm.nih.gov/24569496/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L3-M14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D3.7 › 11. Prise en charge › 11.B. Moyens</w:t>
            </w:r>
          </w:p>
        </w:tc>
        <w:tc>
          <w:tcPr>
            <w:tcW w:w="2600" w:type="dxa"/>
            <w:vAlign w:val="top"/>
          </w:tcPr>
          <w:p>
            <w:pPr>
              <w:spacing w:after="0"/>
            </w:pPr>
            <w:r>
              <w:rPr>
                <w:i/>
                <w:sz w:val="17"/>
                <w:szCs w:val="17"/>
              </w:rPr>
              <w:t xml:space="preserve">« Une hypercalcémie sévère peut nécessiter un traitement spécifique urgent ; le choix dépend de sa cause et de la fonction rénale. »</w:t>
            </w:r>
          </w:p>
        </w:tc>
        <w:tc>
          <w:tcPr>
            <w:tcW w:w="3000" w:type="dxa"/>
            <w:vAlign w:val="top"/>
          </w:tcPr>
          <w:p>
            <w:pPr>
              <w:spacing w:after="40"/>
            </w:pPr>
            <w:r>
              <w:rPr>
                <w:sz w:val="17"/>
                <w:szCs w:val="17"/>
              </w:rPr>
              <w:t xml:space="preserve">Le traitement de l'hypercalcémie sévère (hydratation, bisphosphonate, calcitonine, glucocorticoïdes selon le mécanisme) est absent : aucune DCI, aucune spécialité suisse, aucune dose.</w:t>
            </w:r>
          </w:p>
          <w:p>
            <w:pPr>
              <w:spacing w:after="0"/>
            </w:pPr>
            <w:r>
              <w:rPr>
                <w:b/>
                <w:color w:val="145A32"/>
                <w:sz w:val="17"/>
                <w:szCs w:val="17"/>
              </w:rPr>
              <w:t xml:space="preserve">→ Détailler : réhydratation par NaCl 0,9 % adaptée à la fonction cardiaque ; acide zolédronique (Zometa®) 4 mg IV en au moins 15 minutes, avec adaptation selon la clairance de la créatinine de l'information professionnelle ; calcitonine comme pont de 48 heures si disponible ; glucocorticoïdes dans les hypercalcémies médiées par le calcitriol ; seuils : légère 2,60–2,99, modérée 3,00–3,49, sévère ≥ 3,50 mmol/L (calcémie corrigée).</w:t>
            </w:r>
          </w:p>
        </w:tc>
        <w:tc>
          <w:tcPr>
            <w:tcW w:w="1800" w:type="dxa"/>
            <w:vAlign w:val="top"/>
          </w:tcPr>
          <w:p>
            <w:pPr>
              <w:spacing w:after="0"/>
            </w:pPr>
            <w:r>
              <w:rPr>
                <w:sz w:val="17"/>
                <w:szCs w:val="17"/>
              </w:rPr>
              <w:t xml:space="preserve">Information professionnelle Zometa® (acide zolédronique), swissmedicinfo.ch ; seuils de calcémie selon la Partie 3 V5 à resourcer.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L3-M15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D3.9 › 11. Prise en charge › 11.B. Moyens</w:t>
            </w:r>
          </w:p>
        </w:tc>
        <w:tc>
          <w:tcPr>
            <w:tcW w:w="2600" w:type="dxa"/>
            <w:vAlign w:val="top"/>
          </w:tcPr>
          <w:p>
            <w:pPr>
              <w:spacing w:after="0"/>
            </w:pPr>
            <w:r>
              <w:rPr>
                <w:i/>
                <w:sz w:val="17"/>
                <w:szCs w:val="17"/>
              </w:rPr>
              <w:t xml:space="preserve">« 11.B. Moyens La desmopressine remplace l'effet antidiurétique »</w:t>
            </w:r>
          </w:p>
        </w:tc>
        <w:tc>
          <w:tcPr>
            <w:tcW w:w="3000" w:type="dxa"/>
            <w:vAlign w:val="top"/>
          </w:tcPr>
          <w:p>
            <w:pPr>
              <w:spacing w:after="40"/>
            </w:pPr>
            <w:r>
              <w:rPr>
                <w:sz w:val="17"/>
                <w:szCs w:val="17"/>
              </w:rPr>
              <w:t xml:space="preserve">La desmopressine est citée sans spécialité suisse, sans forme, sans dose ni rythme : le traitement de référence du déficit en AVP n'est pas enseigné.</w:t>
            </w:r>
          </w:p>
          <w:p>
            <w:pPr>
              <w:spacing w:after="0"/>
            </w:pPr>
            <w:r>
              <w:rPr>
                <w:b/>
                <w:color w:val="145A32"/>
                <w:sz w:val="17"/>
                <w:szCs w:val="17"/>
              </w:rPr>
              <w:t xml:space="preserve">→ Ajouter : desmopressine — Minirin® (comprimés, lyophilisat Melt, spray nasal, injectable) et Nocutil® spray nasal (Swissmedic 54616 ; adulte 10–40 µg/j en 1 à 2 prises) ; dose titrée sur la nycturie et la natrémie selon l'information professionnelle de chaque forme ; contrôle de la natrémie à J3, J7 et M1 ; contre-indication en cas de polydipsie primaire.</w:t>
            </w:r>
          </w:p>
        </w:tc>
        <w:tc>
          <w:tcPr>
            <w:tcW w:w="1800" w:type="dxa"/>
            <w:vAlign w:val="top"/>
          </w:tcPr>
          <w:p>
            <w:pPr>
              <w:spacing w:after="0"/>
            </w:pPr>
            <w:r>
              <w:rPr>
                <w:sz w:val="17"/>
                <w:szCs w:val="17"/>
              </w:rPr>
              <w:t xml:space="preserve">Information professionnelle Nocutil® spray nasal (compendium.ch, produit 78709) ; information professionnelle Minirin® (swissmedicinfo.ch).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L3-M16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D3.10 › 6. Examen physique (copie de D3.9) ; même copie en D3.10 › 9. Examens › 1re intention, Alternatives et 2e intention</w:t>
            </w:r>
          </w:p>
        </w:tc>
        <w:tc>
          <w:tcPr>
            <w:tcW w:w="2600" w:type="dxa"/>
            <w:vAlign w:val="top"/>
          </w:tcPr>
          <w:p>
            <w:pPr>
              <w:spacing w:after="0"/>
            </w:pPr>
            <w:r>
              <w:rPr>
                <w:i/>
                <w:sz w:val="17"/>
                <w:szCs w:val="17"/>
              </w:rPr>
              <w:t xml:space="preserve">« toxicité. 6. Examen physique Le médecin évalue l'hydratation, les constantes et les signes neuro-ophtalmologiques. »</w:t>
            </w:r>
          </w:p>
        </w:tc>
        <w:tc>
          <w:tcPr>
            <w:tcW w:w="3000" w:type="dxa"/>
            <w:vAlign w:val="top"/>
          </w:tcPr>
          <w:p>
            <w:pPr>
              <w:spacing w:after="40"/>
            </w:pPr>
            <w:r>
              <w:rPr>
                <w:sz w:val="17"/>
                <w:szCs w:val="17"/>
              </w:rPr>
              <w:t xml:space="preserve">Les points 6 et 9 de D3.10 sont copiés de D3.9 : ils prescrivent la recherche de déficits hypophysaires, d'une chirurgie récente et une IRM hypothalamo-hypophysaire, examens sans objet dans une résistance rénale à l'AVP.</w:t>
            </w:r>
          </w:p>
          <w:p>
            <w:pPr>
              <w:spacing w:after="0"/>
            </w:pPr>
            <w:r>
              <w:rPr>
                <w:b/>
                <w:color w:val="145A32"/>
                <w:sz w:val="17"/>
                <w:szCs w:val="17"/>
              </w:rPr>
              <w:t xml:space="preserve">→ Réécrire le point 6 (tremblement, ataxie, dysarthrie, goitre, état d'hydratation) et le point 9 : lithiémie résiduelle 12 h, créatinine et DFGe, calcémie, kaliémie, TSH, copeptine basale ≥ 21,4 pmol/L ; supprimer l'IRM hypophysaire ; réserver le séquençage AVPR2/AQP2 à l'enfant.</w:t>
            </w:r>
          </w:p>
        </w:tc>
        <w:tc>
          <w:tcPr>
            <w:tcW w:w="1800" w:type="dxa"/>
            <w:vAlign w:val="top"/>
          </w:tcPr>
          <w:p>
            <w:pPr>
              <w:spacing w:after="0"/>
            </w:pPr>
            <w:r>
              <w:rPr>
                <w:sz w:val="17"/>
                <w:szCs w:val="17"/>
              </w:rPr>
              <w:t xml:space="preserve">Timper K. et al. J Clin Endocrinol Metab 2015 ; information professionnelle Quilonorm® retard (surveillance), swissmedicinfo.ch.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L3-M22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2 › liste D3.1–D3.10 (10 badges ; premier : D3.1)</w:t>
            </w:r>
          </w:p>
        </w:tc>
        <w:tc>
          <w:tcPr>
            <w:tcW w:w="2600" w:type="dxa"/>
            <w:vAlign w:val="top"/>
          </w:tcPr>
          <w:p>
            <w:pPr>
              <w:spacing w:after="0"/>
            </w:pPr>
            <w:r>
              <w:rPr>
                <w:i/>
                <w:sz w:val="17"/>
                <w:szCs w:val="17"/>
              </w:rPr>
              <w:t xml:space="preserve">« D3.1 — Diabète sucré décompensé (Inaugural, Acidocétose diabétique, État hyperosmolaire) [60 %] »</w:t>
            </w:r>
          </w:p>
        </w:tc>
        <w:tc>
          <w:tcPr>
            <w:tcW w:w="3000" w:type="dxa"/>
            <w:vAlign w:val="top"/>
          </w:tcPr>
          <w:p>
            <w:pPr>
              <w:spacing w:after="40"/>
            </w:pPr>
            <w:r>
              <w:rPr>
                <w:sz w:val="17"/>
                <w:szCs w:val="17"/>
              </w:rPr>
              <w:t xml:space="preserve">Les dix pourcentages (60 %, 15 %, 10 %… 0,7 %) ne sont rattachés à aucune source lue et le critère d'ordre n'est pas annoncé, ce que le prompt interdit.</w:t>
            </w:r>
          </w:p>
          <w:p>
            <w:pPr>
              <w:spacing w:after="0"/>
            </w:pPr>
            <w:r>
              <w:rPr>
                <w:b/>
                <w:color w:val="145A32"/>
                <w:sz w:val="17"/>
                <w:szCs w:val="17"/>
              </w:rPr>
              <w:t xml:space="preserve">→ Remplacer chaque badge non sourcé par « Ne rang — fréquence non quantifiée (Suisse) » et annoncer en une phrase le critère d'ordre (fréquence suisse pondérée par la gravité).</w:t>
            </w:r>
          </w:p>
        </w:tc>
        <w:tc>
          <w:tcPr>
            <w:tcW w:w="1800" w:type="dxa"/>
            <w:vAlign w:val="top"/>
          </w:tcPr>
          <w:p>
            <w:pPr>
              <w:spacing w:after="0"/>
            </w:pPr>
            <w:r>
              <w:rPr>
                <w:sz w:val="17"/>
                <w:szCs w:val="17"/>
              </w:rPr>
              <w:t xml:space="preserve">PROMPT V6 du projet (PROMPT_V6.md), sections citées : § 8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L3-M23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2 › D3.1 (source) ; même problème en D3.7 (« source : Endocrine Society ») et en Partie 3 › D3.7 › 11.B</w:t>
            </w:r>
          </w:p>
        </w:tc>
        <w:tc>
          <w:tcPr>
            <w:tcW w:w="2600" w:type="dxa"/>
            <w:vAlign w:val="top"/>
          </w:tcPr>
          <w:p>
            <w:pPr>
              <w:spacing w:after="0"/>
            </w:pPr>
            <w:r>
              <w:rPr>
                <w:i/>
                <w:sz w:val="17"/>
                <w:szCs w:val="17"/>
              </w:rPr>
              <w:t xml:space="preserve">« source : SSED / ADA) »</w:t>
            </w:r>
          </w:p>
        </w:tc>
        <w:tc>
          <w:tcPr>
            <w:tcW w:w="3000" w:type="dxa"/>
            <w:vAlign w:val="top"/>
          </w:tcPr>
          <w:p>
            <w:pPr>
              <w:spacing w:after="40"/>
            </w:pPr>
            <w:r>
              <w:rPr>
                <w:sz w:val="17"/>
                <w:szCs w:val="17"/>
              </w:rPr>
              <w:t xml:space="preserve">Le fichier fonde des DX sur des sociétés américaines (ADA, Endocrine Society), alors qu'une recommandation exclusivement américaine ne sert jamais de référence.</w:t>
            </w:r>
          </w:p>
          <w:p>
            <w:pPr>
              <w:spacing w:after="0"/>
            </w:pPr>
            <w:r>
              <w:rPr>
                <w:b/>
                <w:color w:val="145A32"/>
                <w:sz w:val="17"/>
                <w:szCs w:val="17"/>
              </w:rPr>
              <w:t xml:space="preserve">→ Remplacer par des sources suisses ou européennes : SSED et EASD pour le diabète ; ESE et workshop international 2022 sur l'hyperparathyroïdie primaire pour l'hypercalcémie.</w:t>
            </w:r>
          </w:p>
        </w:tc>
        <w:tc>
          <w:tcPr>
            <w:tcW w:w="1800" w:type="dxa"/>
            <w:vAlign w:val="top"/>
          </w:tcPr>
          <w:p>
            <w:pPr>
              <w:spacing w:after="0"/>
            </w:pPr>
            <w:r>
              <w:rPr>
                <w:sz w:val="17"/>
                <w:szCs w:val="17"/>
              </w:rPr>
              <w:t xml:space="preserve">PROMPT V6 du projet (PROMPT_V6.md), sections citées : § 3.2.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L3-M24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2. Épidémiologie</w:t>
            </w:r>
          </w:p>
        </w:tc>
        <w:tc>
          <w:tcPr>
            <w:tcW w:w="2600" w:type="dxa"/>
            <w:vAlign w:val="top"/>
          </w:tcPr>
          <w:p>
            <w:pPr>
              <w:spacing w:after="0"/>
            </w:pPr>
            <w:r>
              <w:rPr>
                <w:i/>
                <w:sz w:val="17"/>
                <w:szCs w:val="17"/>
              </w:rPr>
              <w:t xml:space="preserve">« dominé par le diabète sucré décompensé (60 % des cas »</w:t>
            </w:r>
          </w:p>
        </w:tc>
        <w:tc>
          <w:tcPr>
            <w:tcW w:w="3000" w:type="dxa"/>
            <w:vAlign w:val="top"/>
          </w:tcPr>
          <w:p>
            <w:pPr>
              <w:spacing w:after="40"/>
            </w:pPr>
            <w:r>
              <w:rPr>
                <w:sz w:val="17"/>
                <w:szCs w:val="17"/>
              </w:rPr>
              <w:t xml:space="preserve">Les chiffres « 60 % des cas », « ~500 000 personnes diabétiques » et « 4 cas pour 100 000 » ne portent aucune référence datée.</w:t>
            </w:r>
          </w:p>
          <w:p>
            <w:pPr>
              <w:spacing w:after="0"/>
            </w:pPr>
            <w:r>
              <w:rPr>
                <w:b/>
                <w:color w:val="145A32"/>
                <w:sz w:val="17"/>
                <w:szCs w:val="17"/>
              </w:rPr>
              <w:t xml:space="preserve">→ Rattacher chaque chiffre à une source lue (Obsan ou OFS pour le diabète, Christ-Crain 2019 pour le déficit en AVP) ou écrire « donnée non trouvée dans les sources consultées ».</w:t>
            </w:r>
          </w:p>
        </w:tc>
        <w:tc>
          <w:tcPr>
            <w:tcW w:w="1800" w:type="dxa"/>
            <w:vAlign w:val="top"/>
          </w:tcPr>
          <w:p>
            <w:pPr>
              <w:spacing w:after="0"/>
            </w:pPr>
            <w:r>
              <w:rPr>
                <w:sz w:val="17"/>
                <w:szCs w:val="17"/>
              </w:rPr>
              <w:t xml:space="preserve">Christ-Crain M. et al. Nat Rev Dis Primers 2019;5:54 ; Obsan (obsan.admin.ch).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L3-M25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8. Diagnostic positif et critères</w:t>
            </w:r>
          </w:p>
        </w:tc>
        <w:tc>
          <w:tcPr>
            <w:tcW w:w="2600" w:type="dxa"/>
            <w:vAlign w:val="top"/>
          </w:tcPr>
          <w:p>
            <w:pPr>
              <w:spacing w:after="0"/>
            </w:pPr>
            <w:r>
              <w:rPr>
                <w:i/>
                <w:sz w:val="17"/>
                <w:szCs w:val="17"/>
              </w:rPr>
              <w:t xml:space="preserve">« le diagnostic positif d'un SPUPD suit l'algorithme quantitatif ci-dessous. »</w:t>
            </w:r>
          </w:p>
        </w:tc>
        <w:tc>
          <w:tcPr>
            <w:tcW w:w="3000" w:type="dxa"/>
            <w:vAlign w:val="top"/>
          </w:tcPr>
          <w:p>
            <w:pPr>
              <w:spacing w:after="40"/>
            </w:pPr>
            <w:r>
              <w:rPr>
                <w:sz w:val="17"/>
                <w:szCs w:val="17"/>
              </w:rPr>
              <w:t xml:space="preserve">Le point 8 annonce un algorithme qui ne figure pas sous la phrase : aucun critère formel n'est donné.</w:t>
            </w:r>
          </w:p>
          <w:p>
            <w:pPr>
              <w:spacing w:after="0"/>
            </w:pPr>
            <w:r>
              <w:rPr>
                <w:b/>
                <w:color w:val="145A32"/>
                <w:sz w:val="17"/>
                <w:szCs w:val="17"/>
              </w:rPr>
              <w:t xml:space="preserve">→ Insérer les critères : polyurie &gt; 50 mL/kg/24 h ; osmolalité urinaire &lt; 300 mOsm/kg = polyurie hypotonique, &gt; 300 mOsm/kg avec charge osmolaire &gt; 1 000 mOsm/24 h = diurèse osmotique ; puis copeptine basale et stimulée (seuils 21,4 et 4,9 pmol/L).</w:t>
            </w:r>
          </w:p>
        </w:tc>
        <w:tc>
          <w:tcPr>
            <w:tcW w:w="1800" w:type="dxa"/>
            <w:vAlign w:val="top"/>
          </w:tcPr>
          <w:p>
            <w:pPr>
              <w:spacing w:after="0"/>
            </w:pPr>
            <w:r>
              <w:rPr>
                <w:sz w:val="17"/>
                <w:szCs w:val="17"/>
              </w:rPr>
              <w:t xml:space="preserve">Fenske W. et al. A Copeptin-Based Approach in the Diagnosis of Diabetes Insipidus. N Engl J Med 2018;379:428-439 (étude multicentrique conduite notamment à Bâle) — https://doi.org/10.1056/NEJMoa1803760 ; Timper K. et al. J Clin Endocrinol Metab 2015.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L3-M27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11. Prise en charge › B- Moyens et méthodes</w:t>
            </w:r>
          </w:p>
        </w:tc>
        <w:tc>
          <w:tcPr>
            <w:tcW w:w="2600" w:type="dxa"/>
            <w:vAlign w:val="top"/>
          </w:tcPr>
          <w:p>
            <w:pPr>
              <w:spacing w:after="0"/>
            </w:pPr>
            <w:r>
              <w:rPr>
                <w:i/>
                <w:sz w:val="17"/>
                <w:szCs w:val="17"/>
              </w:rPr>
              <w:t xml:space="preserve">« Desmopressine (Minirin®) dans le déficit central en AVP »</w:t>
            </w:r>
          </w:p>
        </w:tc>
        <w:tc>
          <w:tcPr>
            <w:tcW w:w="3000" w:type="dxa"/>
            <w:vAlign w:val="top"/>
          </w:tcPr>
          <w:p>
            <w:pPr>
              <w:spacing w:after="40"/>
            </w:pPr>
            <w:r>
              <w:rPr>
                <w:sz w:val="17"/>
                <w:szCs w:val="17"/>
              </w:rPr>
              <w:t xml:space="preserve">Le point 11.B ne donne aucune dose, voie, durée ni contre-indication pour les traitements cités (insuline, desmopressine, thiazidique, amiloride).</w:t>
            </w:r>
          </w:p>
          <w:p>
            <w:pPr>
              <w:spacing w:after="0"/>
            </w:pPr>
            <w:r>
              <w:rPr>
                <w:b/>
                <w:color w:val="145A32"/>
                <w:sz w:val="17"/>
                <w:szCs w:val="17"/>
              </w:rPr>
              <w:t xml:space="preserve">→ Pour chaque traitement, donner les six éléments du § 5 point 11.B (classe, DCI, spécialité suisse, dose et voie, durée, contre-indications) selon l'information professionnelle suisse.</w:t>
            </w:r>
          </w:p>
        </w:tc>
        <w:tc>
          <w:tcPr>
            <w:tcW w:w="1800" w:type="dxa"/>
            <w:vAlign w:val="top"/>
          </w:tcPr>
          <w:p>
            <w:pPr>
              <w:spacing w:after="0"/>
            </w:pPr>
            <w:r>
              <w:rPr>
                <w:sz w:val="17"/>
                <w:szCs w:val="17"/>
              </w:rPr>
              <w:t xml:space="preserve">PROMPT V6 du projet (PROMPT_V6.md), sections citées : § 5 point 11.B ; informations professionnelles suisses (swissmedicinfo.ch).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L3-M33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D3.5 › 5. Anamnèse ciblée et drapeaux rouges</w:t>
            </w:r>
          </w:p>
        </w:tc>
        <w:tc>
          <w:tcPr>
            <w:tcW w:w="2600" w:type="dxa"/>
            <w:vAlign w:val="top"/>
          </w:tcPr>
          <w:p>
            <w:pPr>
              <w:spacing w:after="0"/>
            </w:pPr>
            <w:r>
              <w:rPr>
                <w:i/>
                <w:sz w:val="17"/>
                <w:szCs w:val="17"/>
              </w:rPr>
              <w:t xml:space="preserve">« Prednisone Spiricort® ou Dexaméthasone Fortecortin® »</w:t>
            </w:r>
          </w:p>
        </w:tc>
        <w:tc>
          <w:tcPr>
            <w:tcW w:w="3000" w:type="dxa"/>
            <w:vAlign w:val="top"/>
          </w:tcPr>
          <w:p>
            <w:pPr>
              <w:spacing w:after="40"/>
            </w:pPr>
            <w:r>
              <w:rPr>
                <w:sz w:val="17"/>
                <w:szCs w:val="17"/>
              </w:rPr>
              <w:t xml:space="preserve">Spiricort® contient de la prednisolone, non de la prednisone : la DCI et la spécialité ne concordent pas.</w:t>
            </w:r>
          </w:p>
          <w:p>
            <w:pPr>
              <w:spacing w:after="0"/>
            </w:pPr>
            <w:r>
              <w:rPr>
                <w:b/>
                <w:color w:val="145A32"/>
                <w:sz w:val="17"/>
                <w:szCs w:val="17"/>
              </w:rPr>
              <w:t xml:space="preserve">→ Écrire « Prednisolone (Spiricort®) ou dexaméthasone (Fortecortin®) ».</w:t>
            </w:r>
          </w:p>
        </w:tc>
        <w:tc>
          <w:tcPr>
            <w:tcW w:w="1800" w:type="dxa"/>
            <w:vAlign w:val="top"/>
          </w:tcPr>
          <w:p>
            <w:pPr>
              <w:spacing w:after="0"/>
            </w:pPr>
            <w:r>
              <w:rPr>
                <w:sz w:val="17"/>
                <w:szCs w:val="17"/>
              </w:rPr>
              <w:t xml:space="preserve">Swissmedic n° 38840, Spiricort® 5/20/50 mg, composition : prednisolone (Spirig HealthCare) — https://ch.oddb.org/de/gcc/fachinfo/reg/38840/chapter/composition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L3-M34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11. Prise en charge › D- Pronostic et Recherche 2026</w:t>
            </w:r>
          </w:p>
        </w:tc>
        <w:tc>
          <w:tcPr>
            <w:tcW w:w="2600" w:type="dxa"/>
            <w:vAlign w:val="top"/>
          </w:tcPr>
          <w:p>
            <w:pPr>
              <w:spacing w:after="0"/>
            </w:pPr>
            <w:r>
              <w:rPr>
                <w:i/>
                <w:sz w:val="17"/>
                <w:szCs w:val="17"/>
              </w:rPr>
              <w:t xml:space="preserve">« En 2026, un essai clinique suisse (Hôpital Universitaire de Bâle) a démontré que les Agonistes des récepteurs du GLP-1 »</w:t>
            </w:r>
          </w:p>
        </w:tc>
        <w:tc>
          <w:tcPr>
            <w:tcW w:w="3000" w:type="dxa"/>
            <w:vAlign w:val="top"/>
          </w:tcPr>
          <w:p>
            <w:pPr>
              <w:spacing w:after="40"/>
            </w:pPr>
            <w:r>
              <w:rPr>
                <w:sz w:val="17"/>
                <w:szCs w:val="17"/>
              </w:rPr>
              <w:t xml:space="preserve">L'essai bâlois date de 2021, n'a testé que le dulaglutide chez 34 patients pendant 3 semaines et n'a pas évalué le sémaglutide : la date et l'extension à Ozempic®/Wegovy® sont inventées.</w:t>
            </w:r>
          </w:p>
          <w:p>
            <w:pPr>
              <w:spacing w:after="0"/>
            </w:pPr>
            <w:r>
              <w:rPr>
                <w:b/>
                <w:color w:val="145A32"/>
                <w:sz w:val="17"/>
                <w:szCs w:val="17"/>
              </w:rPr>
              <w:t xml:space="preserve">→ Écrire : « En 2021, un essai bâlois randomisé, croisé et contrôlé par placebo (34 patients, 3 semaines) a montré que le dulaglutide 1,5 mg par semaine réduisait les apports hydriques et la soif dans la polydipsie primaire ; cet usage reste hors indication. »</w:t>
            </w:r>
          </w:p>
        </w:tc>
        <w:tc>
          <w:tcPr>
            <w:tcW w:w="1800" w:type="dxa"/>
            <w:vAlign w:val="top"/>
          </w:tcPr>
          <w:p>
            <w:pPr>
              <w:spacing w:after="0"/>
            </w:pPr>
            <w:r>
              <w:rPr>
                <w:sz w:val="17"/>
                <w:szCs w:val="17"/>
              </w:rPr>
              <w:t xml:space="preserve">Winzeler B. et al. A randomized controlled trial of the GLP-1 receptor agonist dulaglutide in primary polydipsia. J Clin Invest 2021;131(20):e151800 — https://doi.org/10.1172/JCI151800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L3-M35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9. Fenêtre 9.1 › tableau › ligne 2 (test à l'arginine)</w:t>
            </w:r>
          </w:p>
        </w:tc>
        <w:tc>
          <w:tcPr>
            <w:tcW w:w="2600" w:type="dxa"/>
            <w:vAlign w:val="top"/>
          </w:tcPr>
          <w:p>
            <w:pPr>
              <w:spacing w:after="0"/>
            </w:pPr>
            <w:r>
              <w:rPr>
                <w:i/>
                <w:sz w:val="17"/>
                <w:szCs w:val="17"/>
              </w:rPr>
              <w:t xml:space="preserve">« 2. Test de stimulation à l'Arginine (Alternative sans risque d'hypernatrémie) »</w:t>
            </w:r>
          </w:p>
        </w:tc>
        <w:tc>
          <w:tcPr>
            <w:tcW w:w="3000" w:type="dxa"/>
            <w:vAlign w:val="top"/>
          </w:tcPr>
          <w:p>
            <w:pPr>
              <w:spacing w:after="40"/>
            </w:pPr>
            <w:r>
              <w:rPr>
                <w:sz w:val="17"/>
                <w:szCs w:val="17"/>
              </w:rPr>
              <w:t xml:space="preserve">Le test à l'arginine est présenté comme une alternative équivalente, alors que l'essai CARGOx 2023 l'a montré inférieur au test au NaCl 3 % (précision 74,4 % contre 95,6 %).</w:t>
            </w:r>
          </w:p>
          <w:p>
            <w:pPr>
              <w:spacing w:after="0"/>
            </w:pPr>
            <w:r>
              <w:rPr>
                <w:b/>
                <w:color w:val="145A32"/>
                <w:sz w:val="17"/>
                <w:szCs w:val="17"/>
              </w:rPr>
              <w:t xml:space="preserve">→ Ajouter : « L'essai CARGOx (2023) a montré que la copeptine stimulée par arginine était moins exacte que le test au NaCl 3 % (74,4 % contre 95,6 %) ; le test au NaCl 3 % reste la référence. »</w:t>
            </w:r>
          </w:p>
        </w:tc>
        <w:tc>
          <w:tcPr>
            <w:tcW w:w="1800" w:type="dxa"/>
            <w:vAlign w:val="top"/>
          </w:tcPr>
          <w:p>
            <w:pPr>
              <w:spacing w:after="0"/>
            </w:pPr>
            <w:r>
              <w:rPr>
                <w:sz w:val="17"/>
                <w:szCs w:val="17"/>
              </w:rPr>
              <w:t xml:space="preserve">Refardt J. et al. (CARGOx). Arginine or Hypertonic Saline–Stimulated Copeptin to Diagnose AVP Deficiency. N Engl J Med 2023;389:1877-1887 (Université de Bâle) — https://dkf.unibas.ch/en/news/details/arginine-or-hypertonic-saline-stimulated-copeptin-to-diagnose-avp-deficiency</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L3-M36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11. Prise en charge › B- Moyens › traitement d'urgence</w:t>
            </w:r>
          </w:p>
        </w:tc>
        <w:tc>
          <w:tcPr>
            <w:tcW w:w="2600" w:type="dxa"/>
            <w:vAlign w:val="top"/>
          </w:tcPr>
          <w:p>
            <w:pPr>
              <w:spacing w:after="0"/>
            </w:pPr>
            <w:r>
              <w:rPr>
                <w:i/>
                <w:sz w:val="17"/>
                <w:szCs w:val="17"/>
              </w:rPr>
              <w:t xml:space="preserve">« bolus de 100 à 150 mL de NaCl hypertonique 3 % sur 20 minutes (répétable 1 fois) »</w:t>
            </w:r>
          </w:p>
        </w:tc>
        <w:tc>
          <w:tcPr>
            <w:tcW w:w="3000" w:type="dxa"/>
            <w:vAlign w:val="top"/>
          </w:tcPr>
          <w:p>
            <w:pPr>
              <w:spacing w:after="40"/>
            </w:pPr>
            <w:r>
              <w:rPr>
                <w:sz w:val="17"/>
                <w:szCs w:val="17"/>
              </w:rPr>
              <w:t xml:space="preserve">Le schéma limite la répétition à une fois et vise 4 à 6 mmol/L, alors que la recommandation européenne prévoit 150 mL en 20 minutes répétés jusqu'à deux fois pour obtenir 5 mmol/L la première heure.</w:t>
            </w:r>
          </w:p>
          <w:p>
            <w:pPr>
              <w:spacing w:after="0"/>
            </w:pPr>
            <w:r>
              <w:rPr>
                <w:b/>
                <w:color w:val="145A32"/>
                <w:sz w:val="17"/>
                <w:szCs w:val="17"/>
              </w:rPr>
              <w:t xml:space="preserve">→ Écrire : « 150 mL de NaCl 3 % IV en 20 minutes, contrôle de la natrémie, répétition jusqu'à deux fois jusqu'à une hausse de 5 mmol/L ; ne pas dépasser 10 mmol/L dans les 24 premières heures puis 8 mmol/L par 24 heures. »</w:t>
            </w:r>
          </w:p>
        </w:tc>
        <w:tc>
          <w:tcPr>
            <w:tcW w:w="1800" w:type="dxa"/>
            <w:vAlign w:val="top"/>
          </w:tcPr>
          <w:p>
            <w:pPr>
              <w:spacing w:after="0"/>
            </w:pPr>
            <w:r>
              <w:rPr>
                <w:sz w:val="17"/>
                <w:szCs w:val="17"/>
              </w:rPr>
              <w:t xml:space="preserve">Spasovski G. et al. Clinical practice guideline on diagnosis and treatment of hyponatraemia (ESE / ESICM / ERBP). Eur J Endocrinol 2014;170:G1-G47 — https://pubmed.ncbi.nlm.nih.gov/24569496/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L3-M41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D3.5 › 12. Prévention</w:t>
            </w:r>
          </w:p>
        </w:tc>
        <w:tc>
          <w:tcPr>
            <w:tcW w:w="2600" w:type="dxa"/>
            <w:vAlign w:val="top"/>
          </w:tcPr>
          <w:p>
            <w:pPr>
              <w:spacing w:after="0"/>
            </w:pPr>
            <w:r>
              <w:rPr>
                <w:i/>
                <w:sz w:val="17"/>
                <w:szCs w:val="17"/>
              </w:rPr>
              <w:t xml:space="preserve">« divise par trois l'incidence des balanites et vulvo-vaginites candidosiques liées à la glycosurie »</w:t>
            </w:r>
          </w:p>
        </w:tc>
        <w:tc>
          <w:tcPr>
            <w:tcW w:w="3000" w:type="dxa"/>
            <w:vAlign w:val="top"/>
          </w:tcPr>
          <w:p>
            <w:pPr>
              <w:spacing w:after="40"/>
            </w:pPr>
            <w:r>
              <w:rPr>
                <w:sz w:val="17"/>
                <w:szCs w:val="17"/>
              </w:rPr>
              <w:t xml:space="preserve">Le facteur « divise par trois » est un chiffre non sourcé, donc interdit.</w:t>
            </w:r>
          </w:p>
          <w:p>
            <w:pPr>
              <w:spacing w:after="0"/>
            </w:pPr>
            <w:r>
              <w:rPr>
                <w:b/>
                <w:color w:val="145A32"/>
                <w:sz w:val="17"/>
                <w:szCs w:val="17"/>
              </w:rPr>
              <w:t xml:space="preserve">→ Écrire : « Une hygiène génitale quotidienne est conseillée pour limiter les mycoses génitales sous gliflozine. » sans chiffre, ou citer une source lue.</w:t>
            </w:r>
          </w:p>
        </w:tc>
        <w:tc>
          <w:tcPr>
            <w:tcW w:w="1800" w:type="dxa"/>
            <w:vAlign w:val="top"/>
          </w:tcPr>
          <w:p>
            <w:pPr>
              <w:spacing w:after="0"/>
            </w:pPr>
            <w:r>
              <w:rPr>
                <w:sz w:val="17"/>
                <w:szCs w:val="17"/>
              </w:rPr>
              <w:t xml:space="preserve">PROMPT V6 du projet (PROMPT_V6.md), sections citées : § 14 (pourcentage non sourcé)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L3-M44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D3.7 › 11. Prise en charge › B- Moyens › hypercalcémie sur sarcoïdose, lymphome ou vitamine D</w:t>
            </w:r>
          </w:p>
        </w:tc>
        <w:tc>
          <w:tcPr>
            <w:tcW w:w="2600" w:type="dxa"/>
            <w:vAlign w:val="top"/>
          </w:tcPr>
          <w:p>
            <w:pPr>
              <w:spacing w:after="0"/>
            </w:pPr>
            <w:r>
              <w:rPr>
                <w:i/>
                <w:sz w:val="17"/>
                <w:szCs w:val="17"/>
              </w:rPr>
              <w:t xml:space="preserve">« Prednisone (Spiricort® 40 mg/j per os »</w:t>
            </w:r>
          </w:p>
        </w:tc>
        <w:tc>
          <w:tcPr>
            <w:tcW w:w="3000" w:type="dxa"/>
            <w:vAlign w:val="top"/>
          </w:tcPr>
          <w:p>
            <w:pPr>
              <w:spacing w:after="40"/>
            </w:pPr>
            <w:r>
              <w:rPr>
                <w:sz w:val="17"/>
                <w:szCs w:val="17"/>
              </w:rPr>
              <w:t xml:space="preserve">Spiricort® contient de la prednisolone, non de la prednisone : la DCI et la spécialité ne concordent pas.</w:t>
            </w:r>
          </w:p>
          <w:p>
            <w:pPr>
              <w:spacing w:after="0"/>
            </w:pPr>
            <w:r>
              <w:rPr>
                <w:b/>
                <w:color w:val="145A32"/>
                <w:sz w:val="17"/>
                <w:szCs w:val="17"/>
              </w:rPr>
              <w:t xml:space="preserve">→ Écrire « Prednisolone (Spiricort®) 40 mg/j per os » ou citer une spécialité suisse de prednisone vérifiée.</w:t>
            </w:r>
          </w:p>
        </w:tc>
        <w:tc>
          <w:tcPr>
            <w:tcW w:w="1800" w:type="dxa"/>
            <w:vAlign w:val="top"/>
          </w:tcPr>
          <w:p>
            <w:pPr>
              <w:spacing w:after="0"/>
            </w:pPr>
            <w:r>
              <w:rPr>
                <w:sz w:val="17"/>
                <w:szCs w:val="17"/>
              </w:rPr>
              <w:t xml:space="preserve">Swissmedic n° 38840, Spiricort®, composition : prednisolone — https://ch.oddb.org/de/gcc/fachinfo/reg/38840/chapter/composition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L3-M47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D3.6 › 11. Prise en charge › D- Pronostic et Recherche 2026</w:t>
            </w:r>
          </w:p>
        </w:tc>
        <w:tc>
          <w:tcPr>
            <w:tcW w:w="2600" w:type="dxa"/>
            <w:vAlign w:val="top"/>
          </w:tcPr>
          <w:p>
            <w:pPr>
              <w:spacing w:after="0"/>
            </w:pPr>
            <w:r>
              <w:rPr>
                <w:i/>
                <w:sz w:val="17"/>
                <w:szCs w:val="17"/>
              </w:rPr>
              <w:t xml:space="preserve">« Finérénone (Kerendia® 10–20 mg/j, validé par l'essai FINEARTS-HF) »</w:t>
            </w:r>
          </w:p>
        </w:tc>
        <w:tc>
          <w:tcPr>
            <w:tcW w:w="3000" w:type="dxa"/>
            <w:vAlign w:val="top"/>
          </w:tcPr>
          <w:p>
            <w:pPr>
              <w:spacing w:after="40"/>
            </w:pPr>
            <w:r>
              <w:rPr>
                <w:sz w:val="17"/>
                <w:szCs w:val="17"/>
              </w:rPr>
              <w:t xml:space="preserve">La dose citée est celle de la maladie rénale diabétique : dans FINEARTS-HF, la dose cible était 20 mg si DFGe ≤ 60 mL/min/1,73 m² et 40 mg si DFGe &gt; 60.</w:t>
            </w:r>
          </w:p>
          <w:p>
            <w:pPr>
              <w:spacing w:after="0"/>
            </w:pPr>
            <w:r>
              <w:rPr>
                <w:b/>
                <w:color w:val="145A32"/>
                <w:sz w:val="17"/>
                <w:szCs w:val="17"/>
              </w:rPr>
              <w:t xml:space="preserve">→ Écrire : « Finérénone (Kerendia®), dose cible 20 mg/j si DFGe ≤ 60 et 40 mg/j si DFGe &gt; 60 dans FINEARTS-HF (NCT04435626), sous réserve de l'indication suisse en vigueur. »</w:t>
            </w:r>
          </w:p>
        </w:tc>
        <w:tc>
          <w:tcPr>
            <w:tcW w:w="1800" w:type="dxa"/>
            <w:vAlign w:val="top"/>
          </w:tcPr>
          <w:p>
            <w:pPr>
              <w:spacing w:after="0"/>
            </w:pPr>
            <w:r>
              <w:rPr>
                <w:sz w:val="17"/>
                <w:szCs w:val="17"/>
              </w:rPr>
              <w:t xml:space="preserve">Solomon S.D. et al. Finerenone in Heart Failure with Mildly Reduced or Preserved Ejection Fraction (FINEARTS-HF). N Engl J Med 2024;391:1475-1485.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L3-M56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D3.9 › 9. Fenêtre 9.1 › tableau › ligne 4 (test à l'arginine)</w:t>
            </w:r>
          </w:p>
        </w:tc>
        <w:tc>
          <w:tcPr>
            <w:tcW w:w="2600" w:type="dxa"/>
            <w:vAlign w:val="top"/>
          </w:tcPr>
          <w:p>
            <w:pPr>
              <w:spacing w:after="0"/>
            </w:pPr>
            <w:r>
              <w:rPr>
                <w:i/>
                <w:sz w:val="17"/>
                <w:szCs w:val="17"/>
              </w:rPr>
              <w:t xml:space="preserve">« Précision : 93 % (utilisé si contre-indication au NaCl 3 % : épilepsie, insuffisance cardiaque) »</w:t>
            </w:r>
          </w:p>
        </w:tc>
        <w:tc>
          <w:tcPr>
            <w:tcW w:w="3000" w:type="dxa"/>
            <w:vAlign w:val="top"/>
          </w:tcPr>
          <w:p>
            <w:pPr>
              <w:spacing w:after="40"/>
            </w:pPr>
            <w:r>
              <w:rPr>
                <w:sz w:val="17"/>
                <w:szCs w:val="17"/>
              </w:rPr>
              <w:t xml:space="preserve">La précision de 93 % provient d'une étude initiale ; l'essai comparatif CARGOx 2023 a trouvé 74,4 % pour l'arginine contre 95,6 % pour le NaCl 3 % et conclu à son infériorité.</w:t>
            </w:r>
          </w:p>
          <w:p>
            <w:pPr>
              <w:spacing w:after="0"/>
            </w:pPr>
            <w:r>
              <w:rPr>
                <w:b/>
                <w:color w:val="145A32"/>
                <w:sz w:val="17"/>
                <w:szCs w:val="17"/>
              </w:rPr>
              <w:t xml:space="preserve">→ Écrire : « Précision 74,4 % contre 95,6 % pour le test au NaCl 3 % (CARGOx 2023) ; le test à l'arginine reste une option de second choix lorsque le NaCl 3 % est impossible. »</w:t>
            </w:r>
          </w:p>
        </w:tc>
        <w:tc>
          <w:tcPr>
            <w:tcW w:w="1800" w:type="dxa"/>
            <w:vAlign w:val="top"/>
          </w:tcPr>
          <w:p>
            <w:pPr>
              <w:spacing w:after="0"/>
            </w:pPr>
            <w:r>
              <w:rPr>
                <w:sz w:val="17"/>
                <w:szCs w:val="17"/>
              </w:rPr>
              <w:t xml:space="preserve">Refardt J. et al. (CARGOx). Arginine or Hypertonic Saline–Stimulated Copeptin to Diagnose AVP Deficiency. N Engl J Med 2023;389:1877-1887 (Université de Bâle) — https://dkf.unibas.ch/en/news/details/arginine-or-hypertonic-saline-stimulated-copeptin-to-diagnose-avp-deficiency</w:t>
            </w:r>
          </w:p>
        </w:tc>
      </w:tr>
    </w:tbl>
    <w:p>
      <w:pPr>
        <w:spacing w:after="120"/>
      </w:pPr>
    </w:p>
    <w:p>
      <w:pPr>
        <w:pStyle w:val="Titre1"/>
        <w:keepNext/>
      </w:pPr>
      <w:r>
        <w:rPr>
          <w:b/>
          <w:color w:val="B9770E"/>
          <w:sz w:val="26"/>
          <w:szCs w:val="26"/>
        </w:rPr>
        <w:t xml:space="preserve">Moyen — 50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B9770E"/>
            <w:vAlign w:val="top"/>
          </w:tcPr>
          <w:p>
            <w:pPr>
              <w:spacing w:after="0"/>
            </w:pPr>
            <w:r>
              <w:rPr>
                <w:b/>
                <w:color w:val="FFFFFF"/>
                <w:sz w:val="17"/>
                <w:szCs w:val="17"/>
              </w:rPr>
              <w:t xml:space="preserve">Fait</w:t>
            </w:r>
          </w:p>
        </w:tc>
        <w:tc>
          <w:tcPr>
            <w:tcW w:w="900" w:type="dxa"/>
            <w:shd w:val="clear" w:color="auto" w:fill="B9770E"/>
            <w:vAlign w:val="top"/>
          </w:tcPr>
          <w:p>
            <w:pPr>
              <w:spacing w:after="0"/>
            </w:pPr>
            <w:r>
              <w:rPr>
                <w:b/>
                <w:color w:val="FFFFFF"/>
                <w:sz w:val="17"/>
                <w:szCs w:val="17"/>
              </w:rPr>
              <w:t xml:space="preserve">N°</w:t>
            </w:r>
          </w:p>
        </w:tc>
        <w:tc>
          <w:tcPr>
            <w:tcW w:w="1250" w:type="dxa"/>
            <w:shd w:val="clear" w:color="auto" w:fill="B9770E"/>
            <w:vAlign w:val="top"/>
          </w:tcPr>
          <w:p>
            <w:pPr>
              <w:spacing w:after="0"/>
            </w:pPr>
            <w:r>
              <w:rPr>
                <w:b/>
                <w:color w:val="FFFFFF"/>
                <w:sz w:val="17"/>
                <w:szCs w:val="17"/>
              </w:rPr>
              <w:t xml:space="preserve">Domaine</w:t>
            </w:r>
          </w:p>
        </w:tc>
        <w:tc>
          <w:tcPr>
            <w:tcW w:w="1900" w:type="dxa"/>
            <w:shd w:val="clear" w:color="auto" w:fill="B9770E"/>
            <w:vAlign w:val="top"/>
          </w:tcPr>
          <w:p>
            <w:pPr>
              <w:spacing w:after="0"/>
            </w:pPr>
            <w:r>
              <w:rPr>
                <w:b/>
                <w:color w:val="FFFFFF"/>
                <w:sz w:val="17"/>
                <w:szCs w:val="17"/>
              </w:rPr>
              <w:t xml:space="preserve">Fichier</w:t>
            </w:r>
          </w:p>
        </w:tc>
        <w:tc>
          <w:tcPr>
            <w:tcW w:w="2350" w:type="dxa"/>
            <w:shd w:val="clear" w:color="auto" w:fill="B9770E"/>
            <w:vAlign w:val="top"/>
          </w:tcPr>
          <w:p>
            <w:pPr>
              <w:spacing w:after="0"/>
            </w:pPr>
            <w:r>
              <w:rPr>
                <w:b/>
                <w:color w:val="FFFFFF"/>
                <w:sz w:val="17"/>
                <w:szCs w:val="17"/>
              </w:rPr>
              <w:t xml:space="preserve">Emplacement</w:t>
            </w:r>
          </w:p>
        </w:tc>
        <w:tc>
          <w:tcPr>
            <w:tcW w:w="2600" w:type="dxa"/>
            <w:shd w:val="clear" w:color="auto" w:fill="B9770E"/>
            <w:vAlign w:val="top"/>
          </w:tcPr>
          <w:p>
            <w:pPr>
              <w:spacing w:after="0"/>
            </w:pPr>
            <w:r>
              <w:rPr>
                <w:b/>
                <w:color w:val="FFFFFF"/>
                <w:sz w:val="17"/>
                <w:szCs w:val="17"/>
              </w:rPr>
              <w:t xml:space="preserve">Extrait exact</w:t>
            </w:r>
          </w:p>
        </w:tc>
        <w:tc>
          <w:tcPr>
            <w:tcW w:w="3000" w:type="dxa"/>
            <w:shd w:val="clear" w:color="auto" w:fill="B9770E"/>
            <w:vAlign w:val="top"/>
          </w:tcPr>
          <w:p>
            <w:pPr>
              <w:spacing w:after="0"/>
            </w:pPr>
            <w:r>
              <w:rPr>
                <w:b/>
                <w:color w:val="FFFFFF"/>
                <w:sz w:val="17"/>
                <w:szCs w:val="17"/>
              </w:rPr>
              <w:t xml:space="preserve">Problème → correction</w:t>
            </w:r>
          </w:p>
        </w:tc>
        <w:tc>
          <w:tcPr>
            <w:tcW w:w="1800" w:type="dxa"/>
            <w:shd w:val="clear" w:color="auto" w:fill="B9770E"/>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L3-L08</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Ensemble du fichier › code source</w:t>
            </w:r>
          </w:p>
        </w:tc>
        <w:tc>
          <w:tcPr>
            <w:tcW w:w="2600" w:type="dxa"/>
            <w:vAlign w:val="top"/>
          </w:tcPr>
          <w:p>
            <w:pPr>
              <w:spacing w:after="0"/>
            </w:pPr>
            <w:r>
              <w:rPr>
                <w:i/>
                <w:sz w:val="17"/>
                <w:szCs w:val="17"/>
              </w:rPr>
              <w:t xml:space="preserve">« Chaque monographie comprend les quatorze rubriques et les quatre sous-parties de la prise en charge. »</w:t>
            </w:r>
          </w:p>
        </w:tc>
        <w:tc>
          <w:tcPr>
            <w:tcW w:w="3000" w:type="dxa"/>
            <w:vAlign w:val="top"/>
          </w:tcPr>
          <w:p>
            <w:pPr>
              <w:spacing w:after="40"/>
            </w:pPr>
            <w:r>
              <w:rPr>
                <w:sz w:val="17"/>
                <w:szCs w:val="17"/>
              </w:rPr>
              <w:t xml:space="preserve">Le code tient sur 5 lignes dont une de 81 151 caractères et pèse 85 Ko : il dépasse la limite de 3 000 caractères par ligne et reste sous la fourchette indicative de 90 à 250 Ko, ce qui signale des omissions.</w:t>
            </w:r>
          </w:p>
          <w:p>
            <w:pPr>
              <w:spacing w:after="0"/>
            </w:pPr>
            <w:r>
              <w:rPr>
                <w:b/>
                <w:color w:val="145A32"/>
                <w:sz w:val="17"/>
                <w:szCs w:val="17"/>
              </w:rPr>
              <w:t xml:space="preserve">→ Reformater le HTML (une balise de bloc par ligne, aucune ligne &gt; 3 000 caractères) et restaurer le contenu manquant pour atteindre la densité attendue.</w:t>
            </w:r>
          </w:p>
        </w:tc>
        <w:tc>
          <w:tcPr>
            <w:tcW w:w="1800" w:type="dxa"/>
            <w:vAlign w:val="top"/>
          </w:tcPr>
          <w:p>
            <w:pPr>
              <w:spacing w:after="0"/>
            </w:pPr>
            <w:r>
              <w:rPr>
                <w:sz w:val="17"/>
                <w:szCs w:val="17"/>
              </w:rPr>
              <w:t xml:space="preserve">PROMPT MAÎTRE V6 — PROFILES, règles citées (prompt de base du lot) : § 9 (règles techniques)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L3-L16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point 9</w:t>
            </w:r>
          </w:p>
        </w:tc>
        <w:tc>
          <w:tcPr>
            <w:tcW w:w="2600" w:type="dxa"/>
            <w:vAlign w:val="top"/>
          </w:tcPr>
          <w:p>
            <w:pPr>
              <w:spacing w:after="0"/>
            </w:pPr>
            <w:r>
              <w:rPr>
                <w:i/>
                <w:sz w:val="17"/>
                <w:szCs w:val="17"/>
              </w:rPr>
              <w:t xml:space="preserve">« 1ère intention : Glycémie veineuse, HbA1c, Cétonémie capillaire, Ionogramme sanguin »</w:t>
            </w:r>
          </w:p>
        </w:tc>
        <w:tc>
          <w:tcPr>
            <w:tcW w:w="3000" w:type="dxa"/>
            <w:vAlign w:val="top"/>
          </w:tcPr>
          <w:p>
            <w:pPr>
              <w:spacing w:after="40"/>
            </w:pPr>
            <w:r>
              <w:rPr>
                <w:sz w:val="17"/>
                <w:szCs w:val="17"/>
              </w:rPr>
              <w:t xml:space="preserve">Le point 9 omet les sous-parties 9.c (alternatives : grossesse, enfant, DFGe &lt; 30 mL/min) et 9.d (critère de passage en 2e intention), et le gold standard ne porte ni sensibilité ni spécificité ; le même défaut se répète dans les 10 DX.</w:t>
            </w:r>
          </w:p>
          <w:p>
            <w:pPr>
              <w:spacing w:after="0"/>
            </w:pPr>
            <w:r>
              <w:rPr>
                <w:b/>
                <w:color w:val="145A32"/>
                <w:sz w:val="17"/>
                <w:szCs w:val="17"/>
              </w:rPr>
              <w:t xml:space="preserve">→ Structurer chaque point 9 en 9.a (gold standard avec Se, Sp, seuil), 9.b, 9.c et 9.d, et ajouter un tableau d'interprétation par examen (normal SI | seuil | signification | conduite).</w:t>
            </w:r>
          </w:p>
        </w:tc>
        <w:tc>
          <w:tcPr>
            <w:tcW w:w="1800" w:type="dxa"/>
            <w:vAlign w:val="top"/>
          </w:tcPr>
          <w:p>
            <w:pPr>
              <w:spacing w:after="0"/>
            </w:pPr>
            <w:r>
              <w:rPr>
                <w:sz w:val="17"/>
                <w:szCs w:val="17"/>
              </w:rPr>
              <w:t xml:space="preserve">PROMPT MAÎTRE V6 — PROFILES, règles citées (prompt de base du lot) : § 5, point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L3-L17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point 11 › C- Surveillance</w:t>
            </w:r>
          </w:p>
        </w:tc>
        <w:tc>
          <w:tcPr>
            <w:tcW w:w="2600" w:type="dxa"/>
            <w:vAlign w:val="top"/>
          </w:tcPr>
          <w:p>
            <w:pPr>
              <w:spacing w:after="0"/>
            </w:pPr>
            <w:r>
              <w:rPr>
                <w:i/>
                <w:sz w:val="17"/>
                <w:szCs w:val="17"/>
              </w:rPr>
              <w:t xml:space="preserve">« (vitesse maximale de correction absolue : ≤ 8 à 10 mmol/L par 24 heures) »</w:t>
            </w:r>
          </w:p>
        </w:tc>
        <w:tc>
          <w:tcPr>
            <w:tcW w:w="3000" w:type="dxa"/>
            <w:vAlign w:val="top"/>
          </w:tcPr>
          <w:p>
            <w:pPr>
              <w:spacing w:after="40"/>
            </w:pPr>
            <w:r>
              <w:rPr>
                <w:sz w:val="17"/>
                <w:szCs w:val="17"/>
              </w:rPr>
              <w:t xml:space="preserve">La phrase fusionne les limites de l'hyponatrémie et de l'hypernatrémie, alors que la recommandation européenne fixe pour l'hyponatrémie ≤ 10 mmol/L les premières 24 h puis ≤ 8 mmol/L par 24 h suivantes.</w:t>
            </w:r>
          </w:p>
          <w:p>
            <w:pPr>
              <w:spacing w:after="0"/>
            </w:pPr>
            <w:r>
              <w:rPr>
                <w:b/>
                <w:color w:val="145A32"/>
                <w:sz w:val="17"/>
                <w:szCs w:val="17"/>
              </w:rPr>
              <w:t xml:space="preserve">→ Écrire : « Dans l'hyponatrémie, la natrémie ne remonte pas de plus de 10 mmol/L les 24 premières heures, puis de 8 mmol/L par 24 h [Sn]. Dans l'hypernatrémie chronique, elle ne baisse pas de plus de 0,5 mmol/L/h ni de 10 mmol/L/24 h [Sn]. »</w:t>
            </w:r>
          </w:p>
        </w:tc>
        <w:tc>
          <w:tcPr>
            <w:tcW w:w="1800" w:type="dxa"/>
            <w:vAlign w:val="top"/>
          </w:tcPr>
          <w:p>
            <w:pPr>
              <w:spacing w:after="0"/>
            </w:pPr>
            <w:r>
              <w:rPr>
                <w:sz w:val="17"/>
                <w:szCs w:val="17"/>
              </w:rPr>
              <w:t xml:space="preserve">Spasovski G et al. Clinical practice guideline on diagnosis and treatment of hyponatraemia (ESE, ESICM, ERA-EDTA) — Eur J Endocrinol 2014;170:G1–G47 — https://pubmed.ncbi.nlm.nih.gov/24569496/ — consulté le 22.10.2026 (résumé et synthèses secondaires lus)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L3-L19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point 11 › B- Moyens et méthodes</w:t>
            </w:r>
          </w:p>
        </w:tc>
        <w:tc>
          <w:tcPr>
            <w:tcW w:w="2600" w:type="dxa"/>
            <w:vAlign w:val="top"/>
          </w:tcPr>
          <w:p>
            <w:pPr>
              <w:spacing w:after="0"/>
            </w:pPr>
            <w:r>
              <w:rPr>
                <w:i/>
                <w:sz w:val="17"/>
                <w:szCs w:val="17"/>
              </w:rPr>
              <w:t xml:space="preserve">« régime hyposodé + thiazidique + amiloride dans la résistance néphrogénique »</w:t>
            </w:r>
          </w:p>
        </w:tc>
        <w:tc>
          <w:tcPr>
            <w:tcW w:w="3000" w:type="dxa"/>
            <w:vAlign w:val="top"/>
          </w:tcPr>
          <w:p>
            <w:pPr>
              <w:spacing w:after="40"/>
            </w:pPr>
            <w:r>
              <w:rPr>
                <w:sz w:val="17"/>
                <w:szCs w:val="17"/>
              </w:rPr>
              <w:t xml:space="preserve">Le point 11.B ne détaille aucun traitement selon les six éléments exigés (classe, DCI avec fenêtre, spécialité suisse, dose et adaptation, durée, contre-indications).</w:t>
            </w:r>
          </w:p>
          <w:p>
            <w:pPr>
              <w:spacing w:after="0"/>
            </w:pPr>
            <w:r>
              <w:rPr>
                <w:b/>
                <w:color w:val="145A32"/>
                <w:sz w:val="17"/>
                <w:szCs w:val="17"/>
              </w:rPr>
              <w:t xml:space="preserve">→ Rédiger pour chaque traitement les items ① à ⑥ et vérifier spécialités et posologies dans l'information professionnelle suisse (compendium.ch).</w:t>
            </w:r>
          </w:p>
        </w:tc>
        <w:tc>
          <w:tcPr>
            <w:tcW w:w="1800" w:type="dxa"/>
            <w:vAlign w:val="top"/>
          </w:tcPr>
          <w:p>
            <w:pPr>
              <w:spacing w:after="0"/>
            </w:pPr>
            <w:r>
              <w:rPr>
                <w:sz w:val="17"/>
                <w:szCs w:val="17"/>
              </w:rPr>
              <w:t xml:space="preserve">PROMPT MAÎTRE V6 — PROFILES, règles citées (prompt de base du lot) : § 5, point 11.B</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L3-L26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LOT_3_Appel_B_V5_Ultra_Pedagogique_Partie_1_D3.1_a_D3.2__export_GoogleDoc.html</w:t>
            </w:r>
          </w:p>
        </w:tc>
        <w:tc>
          <w:tcPr>
            <w:tcW w:w="2350" w:type="dxa"/>
            <w:vAlign w:val="top"/>
          </w:tcPr>
          <w:p>
            <w:pPr>
              <w:spacing w:after="0"/>
            </w:pPr>
            <w:r>
              <w:rPr>
                <w:sz w:val="17"/>
                <w:szCs w:val="17"/>
              </w:rPr>
              <w:t xml:space="preserve">D3.1 › point 14</w:t>
            </w:r>
          </w:p>
        </w:tc>
        <w:tc>
          <w:tcPr>
            <w:tcW w:w="2600" w:type="dxa"/>
            <w:vAlign w:val="top"/>
          </w:tcPr>
          <w:p>
            <w:pPr>
              <w:spacing w:after="0"/>
            </w:pPr>
            <w:r>
              <w:rPr>
                <w:i/>
                <w:sz w:val="17"/>
                <w:szCs w:val="17"/>
              </w:rPr>
              <w:t xml:space="preserve">« L'administration de Bicarbonate de sodium IV () est formellement contre-indiquée dans l'ACD tant que le pH artériel est ≥ 6,90 »</w:t>
            </w:r>
          </w:p>
        </w:tc>
        <w:tc>
          <w:tcPr>
            <w:tcW w:w="3000" w:type="dxa"/>
            <w:vAlign w:val="top"/>
          </w:tcPr>
          <w:p>
            <w:pPr>
              <w:spacing w:after="40"/>
            </w:pPr>
            <w:r>
              <w:rPr>
                <w:sz w:val="17"/>
                <w:szCs w:val="17"/>
              </w:rPr>
              <w:t xml:space="preserve">Le consensus 2024 ne parle pas de contre-indication formelle : il réserve le bicarbonate à l'acidose sévère avec pH &lt; 7,0 ; le seuil 6,90 et l'adverbe « formellement » ne sont pas sourcés.</w:t>
            </w:r>
          </w:p>
          <w:p>
            <w:pPr>
              <w:spacing w:after="0"/>
            </w:pPr>
            <w:r>
              <w:rPr>
                <w:b/>
                <w:color w:val="145A32"/>
                <w:sz w:val="17"/>
                <w:szCs w:val="17"/>
              </w:rPr>
              <w:t xml:space="preserve">→ Écrire : « Le bicarbonate de sodium ne s'administre pas en routine ; il se discute seulement si le pH est &lt; 7,0 [Sn]. »</w:t>
            </w:r>
          </w:p>
        </w:tc>
        <w:tc>
          <w:tcPr>
            <w:tcW w:w="1800" w:type="dxa"/>
            <w:vAlign w:val="top"/>
          </w:tcPr>
          <w:p>
            <w:pPr>
              <w:spacing w:after="0"/>
            </w:pPr>
            <w:r>
              <w:rPr>
                <w:sz w:val="17"/>
                <w:szCs w:val="17"/>
              </w:rPr>
              <w:t xml:space="preserve">Umpierrez GE et al. Hyperglycaemic crises in adults with diabetes: a consensus report (ADA, EASD, JBDS, AACE, DTS) — Diabetologia/Diabetes Care, 2024 — https://pmc.ncbi.nlm.nih.gov/articles/PMC11343900/ — consulté le 22.10.2026 : « bicarbonate administration should be considered if the acidosis is severe (i.e., pH &lt;7.0)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L3-L27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LOT_3_Appel_B_V5_Ultra_Pedagogique_Partie_1_D3.1_a_D3.2__export_GoogleDoc.html</w:t>
            </w:r>
          </w:p>
        </w:tc>
        <w:tc>
          <w:tcPr>
            <w:tcW w:w="2350" w:type="dxa"/>
            <w:vAlign w:val="top"/>
          </w:tcPr>
          <w:p>
            <w:pPr>
              <w:spacing w:after="0"/>
            </w:pPr>
            <w:r>
              <w:rPr>
                <w:sz w:val="17"/>
                <w:szCs w:val="17"/>
              </w:rPr>
              <w:t xml:space="preserve">D3.1 › point 9 › fenêtre 9.1 › formule 3</w:t>
            </w:r>
          </w:p>
        </w:tc>
        <w:tc>
          <w:tcPr>
            <w:tcW w:w="2600" w:type="dxa"/>
            <w:vAlign w:val="top"/>
          </w:tcPr>
          <w:p>
            <w:pPr>
              <w:spacing w:after="0"/>
            </w:pPr>
            <w:r>
              <w:rPr>
                <w:i/>
                <w:sz w:val="17"/>
                <w:szCs w:val="17"/>
              </w:rPr>
              <w:t xml:space="preserve">« Seuil de l'État Hyperosmolaire (EHH) : &gt; 320 mOsm/kg. »</w:t>
            </w:r>
          </w:p>
        </w:tc>
        <w:tc>
          <w:tcPr>
            <w:tcW w:w="3000" w:type="dxa"/>
            <w:vAlign w:val="top"/>
          </w:tcPr>
          <w:p>
            <w:pPr>
              <w:spacing w:after="40"/>
            </w:pPr>
            <w:r>
              <w:rPr>
                <w:sz w:val="17"/>
                <w:szCs w:val="17"/>
              </w:rPr>
              <w:t xml:space="preserve">Le texte place le seuil de l'EHH à 320 mOsm/kg pour l'osmolalité efficace, alors que la V6 (d'après le consensus 2024) retient &gt; 300 mOsm/kg pour l'osmolalité efficace et &gt; 320 mOsm/kg pour l'osmolalité totale ; les deux versions se contredisent.</w:t>
            </w:r>
          </w:p>
          <w:p>
            <w:pPr>
              <w:spacing w:after="0"/>
            </w:pPr>
            <w:r>
              <w:rPr>
                <w:b/>
                <w:color w:val="145A32"/>
                <w:sz w:val="17"/>
                <w:szCs w:val="17"/>
              </w:rPr>
              <w:t xml:space="preserve">→ Écrire : « L'EHH associe une osmolalité efficace calculée &gt; 300 mOsm/kg ou une osmolalité totale &gt; 320 mOsm/kg [Sn]. » et harmoniser le tableau B.</w:t>
            </w:r>
          </w:p>
        </w:tc>
        <w:tc>
          <w:tcPr>
            <w:tcW w:w="1800" w:type="dxa"/>
            <w:vAlign w:val="top"/>
          </w:tcPr>
          <w:p>
            <w:pPr>
              <w:spacing w:after="0"/>
            </w:pPr>
            <w:r>
              <w:rPr>
                <w:sz w:val="17"/>
                <w:szCs w:val="17"/>
              </w:rPr>
              <w:t xml:space="preserve">Umpierrez GE et al. Hyperglycaemic crises in adults with diabetes: a consensus report (ADA, EASD, JBDS, AACE, DTS) — Diabetologia/Diabetes Care, 2024 — https://pmc.ncbi.nlm.nih.gov/articles/PMC11343900/ — consulté le 22.10.2026 (figure 2b ; chiffres repris par la V6, figure non lue directement)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L3-L29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LOT_3_Appel_B_V5_Ultra_Pedagogique_Partie_1_D3.1_a_D3.2__export_GoogleDoc.html</w:t>
            </w:r>
          </w:p>
        </w:tc>
        <w:tc>
          <w:tcPr>
            <w:tcW w:w="2350" w:type="dxa"/>
            <w:vAlign w:val="top"/>
          </w:tcPr>
          <w:p>
            <w:pPr>
              <w:spacing w:after="0"/>
            </w:pPr>
            <w:r>
              <w:rPr>
                <w:sz w:val="17"/>
                <w:szCs w:val="17"/>
              </w:rPr>
              <w:t xml:space="preserve">D3.1 › point 11 › D- Pronostic</w:t>
            </w:r>
          </w:p>
        </w:tc>
        <w:tc>
          <w:tcPr>
            <w:tcW w:w="2600" w:type="dxa"/>
            <w:vAlign w:val="top"/>
          </w:tcPr>
          <w:p>
            <w:pPr>
              <w:spacing w:after="0"/>
            </w:pPr>
            <w:r>
              <w:rPr>
                <w:i/>
                <w:sz w:val="17"/>
                <w:szCs w:val="17"/>
              </w:rPr>
              <w:t xml:space="preserve">« L'anticorps monoclonal anti-CD3 Téplizumab (Tzield®) »</w:t>
            </w:r>
          </w:p>
        </w:tc>
        <w:tc>
          <w:tcPr>
            <w:tcW w:w="3000" w:type="dxa"/>
            <w:vAlign w:val="top"/>
          </w:tcPr>
          <w:p>
            <w:pPr>
              <w:spacing w:after="40"/>
            </w:pPr>
            <w:r>
              <w:rPr>
                <w:sz w:val="17"/>
                <w:szCs w:val="17"/>
              </w:rPr>
              <w:t xml:space="preserve">Le texte cite une spécialité sans indiquer son statut d'autorisation en Suisse ; « donnée non trouvée dans les sources consultées » pour une autorisation Swissmedic.</w:t>
            </w:r>
          </w:p>
          <w:p>
            <w:pPr>
              <w:spacing w:after="0"/>
            </w:pPr>
            <w:r>
              <w:rPr>
                <w:b/>
                <w:color w:val="145A32"/>
                <w:sz w:val="17"/>
                <w:szCs w:val="17"/>
              </w:rPr>
              <w:t xml:space="preserve">→ Vérifier sur swissmedic.ch et compendium.ch ; à défaut, écrire « non autorisé en Suisse à la date de consultation (importation selon OAMéd) » et envoyer la question dans le HELP.</w:t>
            </w:r>
          </w:p>
        </w:tc>
        <w:tc>
          <w:tcPr>
            <w:tcW w:w="1800" w:type="dxa"/>
            <w:vAlign w:val="top"/>
          </w:tcPr>
          <w:p>
            <w:pPr>
              <w:spacing w:after="0"/>
            </w:pPr>
            <w:r>
              <w:rPr>
                <w:sz w:val="17"/>
                <w:szCs w:val="17"/>
              </w:rPr>
              <w:t xml:space="preserve">donnée non trouvée dans les sources consultées ; PROMPT MAÎTRE V6 — PROFILES, règles citées (prompt de base du lot) :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L3-L33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point 9 › gold standard</w:t>
            </w:r>
          </w:p>
        </w:tc>
        <w:tc>
          <w:tcPr>
            <w:tcW w:w="2600" w:type="dxa"/>
            <w:vAlign w:val="top"/>
          </w:tcPr>
          <w:p>
            <w:pPr>
              <w:spacing w:after="0"/>
            </w:pPr>
            <w:r>
              <w:rPr>
                <w:i/>
                <w:sz w:val="17"/>
                <w:szCs w:val="17"/>
              </w:rPr>
              <w:t xml:space="preserve">« dont la précision n'était que de 70 % à cause du lavage médullaire »</w:t>
            </w:r>
          </w:p>
        </w:tc>
        <w:tc>
          <w:tcPr>
            <w:tcW w:w="3000" w:type="dxa"/>
            <w:vAlign w:val="top"/>
          </w:tcPr>
          <w:p>
            <w:pPr>
              <w:spacing w:after="40"/>
            </w:pPr>
            <w:r>
              <w:rPr>
                <w:sz w:val="17"/>
                <w:szCs w:val="17"/>
              </w:rPr>
              <w:t xml:space="preserve">L'étude de référence chiffre la précision du test de restriction hydrique à 76,6 % (contre 96,5 % pour la copeptine stimulée au NaCl 3 %).</w:t>
            </w:r>
          </w:p>
          <w:p>
            <w:pPr>
              <w:spacing w:after="0"/>
            </w:pPr>
            <w:r>
              <w:rPr>
                <w:b/>
                <w:color w:val="145A32"/>
                <w:sz w:val="17"/>
                <w:szCs w:val="17"/>
              </w:rPr>
              <w:t xml:space="preserve">→ Remplacer « 70 % » par « 76,6 % [Sn] ».</w:t>
            </w:r>
          </w:p>
        </w:tc>
        <w:tc>
          <w:tcPr>
            <w:tcW w:w="1800" w:type="dxa"/>
            <w:vAlign w:val="top"/>
          </w:tcPr>
          <w:p>
            <w:pPr>
              <w:spacing w:after="0"/>
            </w:pPr>
            <w:r>
              <w:rPr>
                <w:sz w:val="17"/>
                <w:szCs w:val="17"/>
              </w:rPr>
              <w:t xml:space="preserve">Fenske W et al. A copeptin-based approach in the diagnosis of diabetes insipidus — N Engl J Med 2018;379:428–439 (étude multicentrique Bâle) — https://www.nejm.org/doi/full/10.1056/NEJMoa1803760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L3-L34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point 11 › B- Moyens pharmacologiques</w:t>
            </w:r>
          </w:p>
        </w:tc>
        <w:tc>
          <w:tcPr>
            <w:tcW w:w="2600" w:type="dxa"/>
            <w:vAlign w:val="top"/>
          </w:tcPr>
          <w:p>
            <w:pPr>
              <w:spacing w:after="0"/>
            </w:pPr>
            <w:r>
              <w:rPr>
                <w:i/>
                <w:sz w:val="17"/>
                <w:szCs w:val="17"/>
              </w:rPr>
              <w:t xml:space="preserve">« est le seul antipsychotique ayant démontré une réduction significative des comportements de polydipsie compulsive »</w:t>
            </w:r>
          </w:p>
        </w:tc>
        <w:tc>
          <w:tcPr>
            <w:tcW w:w="3000" w:type="dxa"/>
            <w:vAlign w:val="top"/>
          </w:tcPr>
          <w:p>
            <w:pPr>
              <w:spacing w:after="40"/>
            </w:pPr>
            <w:r>
              <w:rPr>
                <w:sz w:val="17"/>
                <w:szCs w:val="17"/>
              </w:rPr>
              <w:t xml:space="preserve">L'affirmation d'exclusivité n'est pas sourcée ; « donnée non trouvée dans les sources consultées ».</w:t>
            </w:r>
          </w:p>
          <w:p>
            <w:pPr>
              <w:spacing w:after="0"/>
            </w:pPr>
            <w:r>
              <w:rPr>
                <w:b/>
                <w:color w:val="145A32"/>
                <w:sz w:val="17"/>
                <w:szCs w:val="17"/>
              </w:rPr>
              <w:t xml:space="preserve">→ Écrire : « La clozapine a réduit la polydipsie dans des séries de cas [Sn] » ou supprimer, et envoyer la question dans le HELP.</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L3-L35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D3.5 › fenêtre 3.1 › « Utilité clinique cruciale » (même défaut en D3.5 › point 7.2)</w:t>
            </w:r>
          </w:p>
        </w:tc>
        <w:tc>
          <w:tcPr>
            <w:tcW w:w="2600" w:type="dxa"/>
            <w:vAlign w:val="top"/>
          </w:tcPr>
          <w:p>
            <w:pPr>
              <w:spacing w:after="0"/>
            </w:pPr>
            <w:r>
              <w:rPr>
                <w:i/>
                <w:sz w:val="17"/>
                <w:szCs w:val="17"/>
              </w:rPr>
              <w:t xml:space="preserve">« $FE_{Na} &lt; 1\text{ \%}$ »</w:t>
            </w:r>
          </w:p>
        </w:tc>
        <w:tc>
          <w:tcPr>
            <w:tcW w:w="3000" w:type="dxa"/>
            <w:vAlign w:val="top"/>
          </w:tcPr>
          <w:p>
            <w:pPr>
              <w:spacing w:after="40"/>
            </w:pPr>
            <w:r>
              <w:rPr>
                <w:sz w:val="17"/>
                <w:szCs w:val="17"/>
              </w:rPr>
              <w:t xml:space="preserve">Des résidus de code LaTeX s'affichent au lecteur à la place des seuils.</w:t>
            </w:r>
          </w:p>
          <w:p>
            <w:pPr>
              <w:spacing w:after="0"/>
            </w:pPr>
            <w:r>
              <w:rPr>
                <w:b/>
                <w:color w:val="145A32"/>
                <w:sz w:val="17"/>
                <w:szCs w:val="17"/>
              </w:rPr>
              <w:t xml:space="preserve">→ Écrire en texte : « FENa &lt; 1 % » et « FEUrée &lt; 35 % ».</w:t>
            </w:r>
          </w:p>
        </w:tc>
        <w:tc>
          <w:tcPr>
            <w:tcW w:w="1800" w:type="dxa"/>
            <w:vAlign w:val="top"/>
          </w:tcPr>
          <w:p>
            <w:pPr>
              <w:spacing w:after="0"/>
            </w:pPr>
            <w:r>
              <w:rPr>
                <w:sz w:val="17"/>
                <w:szCs w:val="17"/>
              </w:rPr>
              <w:t xml:space="preserve">PROMPT MAÎTRE V6 — PROFILES, règles citées (prompt de base du lot) :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L3-L36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D3.5 › point 12</w:t>
            </w:r>
          </w:p>
        </w:tc>
        <w:tc>
          <w:tcPr>
            <w:tcW w:w="2600" w:type="dxa"/>
            <w:vAlign w:val="top"/>
          </w:tcPr>
          <w:p>
            <w:pPr>
              <w:spacing w:after="0"/>
            </w:pPr>
            <w:r>
              <w:rPr>
                <w:i/>
                <w:sz w:val="17"/>
                <w:szCs w:val="17"/>
              </w:rPr>
              <w:t xml:space="preserve">« divise par trois l'incidence des balanites et vulvo-vaginites candidosiques »</w:t>
            </w:r>
          </w:p>
        </w:tc>
        <w:tc>
          <w:tcPr>
            <w:tcW w:w="3000" w:type="dxa"/>
            <w:vAlign w:val="top"/>
          </w:tcPr>
          <w:p>
            <w:pPr>
              <w:spacing w:after="40"/>
            </w:pPr>
            <w:r>
              <w:rPr>
                <w:sz w:val="17"/>
                <w:szCs w:val="17"/>
              </w:rPr>
              <w:t xml:space="preserve">Le facteur « divise par trois » n'est pas sourcé ; « donnée non trouvée dans les sources consultées ».</w:t>
            </w:r>
          </w:p>
          <w:p>
            <w:pPr>
              <w:spacing w:after="0"/>
            </w:pPr>
            <w:r>
              <w:rPr>
                <w:b/>
                <w:color w:val="145A32"/>
                <w:sz w:val="17"/>
                <w:szCs w:val="17"/>
              </w:rPr>
              <w:t xml:space="preserve">→ Supprimer le chiffre ou le remplacer par une donnée sourcée [Sn] ; envoyer la question dans le HELP.</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L3-L37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D3.5 › point 11 › B- Moyens non médicamenteux</w:t>
            </w:r>
          </w:p>
        </w:tc>
        <w:tc>
          <w:tcPr>
            <w:tcW w:w="2600" w:type="dxa"/>
            <w:vAlign w:val="top"/>
          </w:tcPr>
          <w:p>
            <w:pPr>
              <w:spacing w:after="0"/>
            </w:pPr>
            <w:r>
              <w:rPr>
                <w:i/>
                <w:sz w:val="17"/>
                <w:szCs w:val="17"/>
              </w:rPr>
              <w:t xml:space="preserve">« 3 jours avant toute chirurgie programmée (4 jours pour l'Ertugliflozine) »</w:t>
            </w:r>
          </w:p>
        </w:tc>
        <w:tc>
          <w:tcPr>
            <w:tcW w:w="3000" w:type="dxa"/>
            <w:vAlign w:val="top"/>
          </w:tcPr>
          <w:p>
            <w:pPr>
              <w:spacing w:after="40"/>
            </w:pPr>
            <w:r>
              <w:rPr>
                <w:sz w:val="17"/>
                <w:szCs w:val="17"/>
              </w:rPr>
              <w:t xml:space="preserve">Le délai d'arrêt de 3 à 4 jours provient d'une mise en garde américaine (FDA) et n'est pas rapporté à l'information professionnelle suisse.</w:t>
            </w:r>
          </w:p>
          <w:p>
            <w:pPr>
              <w:spacing w:after="0"/>
            </w:pPr>
            <w:r>
              <w:rPr>
                <w:b/>
                <w:color w:val="145A32"/>
                <w:sz w:val="17"/>
                <w:szCs w:val="17"/>
              </w:rPr>
              <w:t xml:space="preserve">→ Vérifier les rubriques « Mises en garde » de Jardiance® et Forxiga® sur compendium.ch et citer leur formulation exacte.</w:t>
            </w:r>
          </w:p>
        </w:tc>
        <w:tc>
          <w:tcPr>
            <w:tcW w:w="1800" w:type="dxa"/>
            <w:vAlign w:val="top"/>
          </w:tcPr>
          <w:p>
            <w:pPr>
              <w:spacing w:after="0"/>
            </w:pPr>
            <w:r>
              <w:rPr>
                <w:sz w:val="17"/>
                <w:szCs w:val="17"/>
              </w:rPr>
              <w:t xml:space="preserve">donnée non trouvée dans les sources consultées (information professionnelle suisse non lue) ; PROMPT MAÎTRE V6 — PROFILES, règles citées (prompt de base du lot) : § 3.2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L3-L38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D3.7 › point 11 › B › traitement curatif de l'HPP</w:t>
            </w:r>
          </w:p>
        </w:tc>
        <w:tc>
          <w:tcPr>
            <w:tcW w:w="2600" w:type="dxa"/>
            <w:vAlign w:val="top"/>
          </w:tcPr>
          <w:p>
            <w:pPr>
              <w:spacing w:after="0"/>
            </w:pPr>
            <w:r>
              <w:rPr>
                <w:i/>
                <w:sz w:val="17"/>
                <w:szCs w:val="17"/>
              </w:rPr>
              <w:t xml:space="preserve">« Calciurie &gt; 10 mmol/24h ou lithiase »</w:t>
            </w:r>
          </w:p>
        </w:tc>
        <w:tc>
          <w:tcPr>
            <w:tcW w:w="3000" w:type="dxa"/>
            <w:vAlign w:val="top"/>
          </w:tcPr>
          <w:p>
            <w:pPr>
              <w:spacing w:after="40"/>
            </w:pPr>
            <w:r>
              <w:rPr>
                <w:sz w:val="17"/>
                <w:szCs w:val="17"/>
              </w:rPr>
              <w:t xml:space="preserve">Le seuil de 10 mmol/24 h (400 mg/j) est périmé : le 5e atelier international de 2022 retient une calciurie &gt; 250 mg/24 h chez la femme et &gt; 300 mg/24 h chez l'homme (≈ 6,25 et 7,5 mmol/24 h).</w:t>
            </w:r>
          </w:p>
          <w:p>
            <w:pPr>
              <w:spacing w:after="0"/>
            </w:pPr>
            <w:r>
              <w:rPr>
                <w:b/>
                <w:color w:val="145A32"/>
                <w:sz w:val="17"/>
                <w:szCs w:val="17"/>
              </w:rPr>
              <w:t xml:space="preserve">→ Écrire : « calciurie &gt; 6,25 mmol/24 h chez la femme ou &gt; 7,5 mmol/24 h chez l'homme (calcul dérivé de 250 et 300 mg/24 h) [Sn] ».</w:t>
            </w:r>
          </w:p>
        </w:tc>
        <w:tc>
          <w:tcPr>
            <w:tcW w:w="1800" w:type="dxa"/>
            <w:vAlign w:val="top"/>
          </w:tcPr>
          <w:p>
            <w:pPr>
              <w:spacing w:after="0"/>
            </w:pPr>
            <w:r>
              <w:rPr>
                <w:sz w:val="17"/>
                <w:szCs w:val="17"/>
              </w:rPr>
              <w:t xml:space="preserve">Bilezikian JP et al. Evaluation and management of primary hyperparathyroidism: summary statement of the Fifth International Workshop — J Bone Miner Res 2022;37:2293–2314 (synthèse Mayo Clinic lue)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L3-L39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D3.7 › point 11 › B › traitement de fond anti-ostéoclastique</w:t>
            </w:r>
          </w:p>
        </w:tc>
        <w:tc>
          <w:tcPr>
            <w:tcW w:w="2600" w:type="dxa"/>
            <w:vAlign w:val="top"/>
          </w:tcPr>
          <w:p>
            <w:pPr>
              <w:spacing w:after="0"/>
            </w:pPr>
            <w:r>
              <w:rPr>
                <w:i/>
                <w:sz w:val="17"/>
                <w:szCs w:val="17"/>
              </w:rPr>
              <w:t xml:space="preserve">« Dénosumab (Xgeva® 60 à 120 mg en injection sous-cutanée »</w:t>
            </w:r>
          </w:p>
        </w:tc>
        <w:tc>
          <w:tcPr>
            <w:tcW w:w="3000" w:type="dxa"/>
            <w:vAlign w:val="top"/>
          </w:tcPr>
          <w:p>
            <w:pPr>
              <w:spacing w:after="40"/>
            </w:pPr>
            <w:r>
              <w:rPr>
                <w:sz w:val="17"/>
                <w:szCs w:val="17"/>
              </w:rPr>
              <w:t xml:space="preserve">Xgeva® se dose à 120 mg ; 60 mg correspond à Prolia®, et l'indication « hypercalcémie réfractaire » n'est pas vérifiée dans l'information professionnelle suisse.</w:t>
            </w:r>
          </w:p>
          <w:p>
            <w:pPr>
              <w:spacing w:after="0"/>
            </w:pPr>
            <w:r>
              <w:rPr>
                <w:b/>
                <w:color w:val="145A32"/>
                <w:sz w:val="17"/>
                <w:szCs w:val="17"/>
              </w:rPr>
              <w:t xml:space="preserve">→ Écrire « dénosumab (Xgeva® 120 mg SC) » et préciser l'indication ou l'usage hors étiquette selon compendium.ch.</w:t>
            </w:r>
          </w:p>
        </w:tc>
        <w:tc>
          <w:tcPr>
            <w:tcW w:w="1800" w:type="dxa"/>
            <w:vAlign w:val="top"/>
          </w:tcPr>
          <w:p>
            <w:pPr>
              <w:spacing w:after="0"/>
            </w:pPr>
            <w:r>
              <w:rPr>
                <w:sz w:val="17"/>
                <w:szCs w:val="17"/>
              </w:rPr>
              <w:t xml:space="preserve">donnée non trouvée dans les sources consultées (information professionnelle Xgeva® non lue)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L3-L40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D3.9 › point 11 › D- Pronostic et Recherche 2026</w:t>
            </w:r>
          </w:p>
        </w:tc>
        <w:tc>
          <w:tcPr>
            <w:tcW w:w="2600" w:type="dxa"/>
            <w:vAlign w:val="top"/>
          </w:tcPr>
          <w:p>
            <w:pPr>
              <w:spacing w:after="0"/>
            </w:pPr>
            <w:r>
              <w:rPr>
                <w:i/>
                <w:sz w:val="17"/>
                <w:szCs w:val="17"/>
              </w:rPr>
              <w:t xml:space="preserve">« En 2026, le groupe de recherche suisse de l'Hôpital Universitaire de Bâle (Prof. M. Christ-Crain) a démontré »</w:t>
            </w:r>
          </w:p>
        </w:tc>
        <w:tc>
          <w:tcPr>
            <w:tcW w:w="3000" w:type="dxa"/>
            <w:vAlign w:val="top"/>
          </w:tcPr>
          <w:p>
            <w:pPr>
              <w:spacing w:after="40"/>
            </w:pPr>
            <w:r>
              <w:rPr>
                <w:sz w:val="17"/>
                <w:szCs w:val="17"/>
              </w:rPr>
              <w:t xml:space="preserve">La démonstration du déficit en ocytocine date de 2023 (Lancet Diabetes Endocrinol) et non de 2026, et aucun numéro NCT n'est donné.</w:t>
            </w:r>
          </w:p>
          <w:p>
            <w:pPr>
              <w:spacing w:after="0"/>
            </w:pPr>
            <w:r>
              <w:rPr>
                <w:b/>
                <w:color w:val="145A32"/>
                <w:sz w:val="17"/>
                <w:szCs w:val="17"/>
              </w:rPr>
              <w:t xml:space="preserve">→ Écrire : « En 2023, l'équipe bâloise a montré, par un test de provocation à la MDMA, un déficit en ocytocine dans l'AVP-D (NCT04648137) [Sn]. »</w:t>
            </w:r>
          </w:p>
        </w:tc>
        <w:tc>
          <w:tcPr>
            <w:tcW w:w="1800" w:type="dxa"/>
            <w:vAlign w:val="top"/>
          </w:tcPr>
          <w:p>
            <w:pPr>
              <w:spacing w:after="0"/>
            </w:pPr>
            <w:r>
              <w:rPr>
                <w:sz w:val="17"/>
                <w:szCs w:val="17"/>
              </w:rPr>
              <w:t xml:space="preserve">Atila C et al. Oxytocin in response to MDMA provocation test in patients with arginine vasopressin deficiency — Lancet Diabetes Endocrinol 2023;11:454–464 — https://clinicaltrials.gov/study/NCT04648137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L3-L41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D3.9 › fenêtre 9.1 › tableau › ligne 1</w:t>
            </w:r>
          </w:p>
        </w:tc>
        <w:tc>
          <w:tcPr>
            <w:tcW w:w="2600" w:type="dxa"/>
            <w:vAlign w:val="top"/>
          </w:tcPr>
          <w:p>
            <w:pPr>
              <w:spacing w:after="0"/>
            </w:pPr>
            <w:r>
              <w:rPr>
                <w:i/>
                <w:sz w:val="17"/>
                <w:szCs w:val="17"/>
              </w:rPr>
              <w:t xml:space="preserve">« Patient déjà en Hypernatrémie spontanée (PNa ≥ 147 mmol/L) avec polyurie hypotonique »</w:t>
            </w:r>
          </w:p>
        </w:tc>
        <w:tc>
          <w:tcPr>
            <w:tcW w:w="3000" w:type="dxa"/>
            <w:vAlign w:val="top"/>
          </w:tcPr>
          <w:p>
            <w:pPr>
              <w:spacing w:after="40"/>
            </w:pPr>
            <w:r>
              <w:rPr>
                <w:sz w:val="17"/>
                <w:szCs w:val="17"/>
              </w:rPr>
              <w:t xml:space="preserve">La distinction AVP-D complet (&lt; 2,6 pmol/L) et partiel (2,6–4,9 pmol/L) avec « spécificité 100 % » n'est rattachée à aucune source.</w:t>
            </w:r>
          </w:p>
          <w:p>
            <w:pPr>
              <w:spacing w:after="0"/>
            </w:pPr>
            <w:r>
              <w:rPr>
                <w:b/>
                <w:color w:val="145A32"/>
                <w:sz w:val="17"/>
                <w:szCs w:val="17"/>
              </w:rPr>
              <w:t xml:space="preserve">→ Sourcer ces seuils [Sn] ou les supprimer ; envoyer la question dans le HELP.</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L3-L42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D3.3 › point 11 › B › atteintes systémiques</w:t>
            </w:r>
          </w:p>
        </w:tc>
        <w:tc>
          <w:tcPr>
            <w:tcW w:w="2600" w:type="dxa"/>
            <w:vAlign w:val="top"/>
          </w:tcPr>
          <w:p>
            <w:pPr>
              <w:spacing w:after="0"/>
            </w:pPr>
            <w:r>
              <w:rPr>
                <w:i/>
                <w:sz w:val="17"/>
                <w:szCs w:val="17"/>
              </w:rPr>
              <w:t xml:space="preserve">« Rituximab (MabThera® 1000 mg IV J1 et J15) »</w:t>
            </w:r>
          </w:p>
        </w:tc>
        <w:tc>
          <w:tcPr>
            <w:tcW w:w="3000" w:type="dxa"/>
            <w:vAlign w:val="top"/>
          </w:tcPr>
          <w:p>
            <w:pPr>
              <w:spacing w:after="40"/>
            </w:pPr>
            <w:r>
              <w:rPr>
                <w:sz w:val="17"/>
                <w:szCs w:val="17"/>
              </w:rPr>
              <w:t xml:space="preserve">Le rituximab est prescrit dans le Sjögren sans mention de son statut hors étiquette en Suisse.</w:t>
            </w:r>
          </w:p>
          <w:p>
            <w:pPr>
              <w:spacing w:after="0"/>
            </w:pPr>
            <w:r>
              <w:rPr>
                <w:b/>
                <w:color w:val="145A32"/>
                <w:sz w:val="17"/>
                <w:szCs w:val="17"/>
              </w:rPr>
              <w:t xml:space="preserve">→ Ajouter : « usage hors étiquette en Suisse, soumis à garantie de prise en charge (OAMal art. 71a) » après vérification sur compendium.ch.</w:t>
            </w:r>
          </w:p>
        </w:tc>
        <w:tc>
          <w:tcPr>
            <w:tcW w:w="1800" w:type="dxa"/>
            <w:vAlign w:val="top"/>
          </w:tcPr>
          <w:p>
            <w:pPr>
              <w:spacing w:after="0"/>
            </w:pPr>
            <w:r>
              <w:rPr>
                <w:sz w:val="17"/>
                <w:szCs w:val="17"/>
              </w:rPr>
              <w:t xml:space="preserve">donnée non trouvée dans les sources consultées (information professionnelle MabThera® non lue)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L3-L43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D3.3 › point 7.1 (même défaut : D3.6 › 7.2, D3.8 › 7.2, D3.9 › 6 et 7.2, D3.10 › 6 et 7.2, D3.4 › 7.2)</w:t>
            </w:r>
          </w:p>
        </w:tc>
        <w:tc>
          <w:tcPr>
            <w:tcW w:w="2600" w:type="dxa"/>
            <w:vAlign w:val="top"/>
          </w:tcPr>
          <w:p>
            <w:pPr>
              <w:spacing w:after="0"/>
            </w:pPr>
            <w:r>
              <w:rPr>
                <w:i/>
                <w:sz w:val="17"/>
                <w:szCs w:val="17"/>
              </w:rPr>
              <w:t xml:space="preserve">« Triade associant xérostomie, xérophtalmie et polyarthralgies non érosives avec asthénie. »</w:t>
            </w:r>
          </w:p>
        </w:tc>
        <w:tc>
          <w:tcPr>
            <w:tcW w:w="3000" w:type="dxa"/>
            <w:vAlign w:val="top"/>
          </w:tcPr>
          <w:p>
            <w:pPr>
              <w:spacing w:after="40"/>
            </w:pPr>
            <w:r>
              <w:rPr>
                <w:sz w:val="17"/>
                <w:szCs w:val="17"/>
              </w:rPr>
              <w:t xml:space="preserve">Plusieurs descriptions syndromiques et d'examen physique sont des phrases nominales (« Triade associant… », « Combinaison des signes… », « Débâcle polyurique… », « Examen neuro-ophtalmologique systématique… »).</w:t>
            </w:r>
          </w:p>
          <w:p>
            <w:pPr>
              <w:spacing w:after="0"/>
            </w:pPr>
            <w:r>
              <w:rPr>
                <w:b/>
                <w:color w:val="145A32"/>
                <w:sz w:val="17"/>
                <w:szCs w:val="17"/>
              </w:rPr>
              <w:t xml:space="preserve">→ Réécrire avec un verbe conjugué : « Ce syndrome associe une xérostomie, une xérophtalmie et des polyarthralgies non érosives. »</w:t>
            </w:r>
          </w:p>
        </w:tc>
        <w:tc>
          <w:tcPr>
            <w:tcW w:w="1800" w:type="dxa"/>
            <w:vAlign w:val="top"/>
          </w:tcPr>
          <w:p>
            <w:pPr>
              <w:spacing w:after="0"/>
            </w:pPr>
            <w:r>
              <w:rPr>
                <w:sz w:val="17"/>
                <w:szCs w:val="17"/>
              </w:rPr>
              <w:t xml:space="preserve">PROMPT MAÎTRE V6 — PROFILES, règles citées (prompt de base du lot) :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L3-L44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LOT_3_Appel_B_V5_Ultra_Pedagogique_Partie_1_D3.1_a_D3.2__export_GoogleDoc.html</w:t>
            </w:r>
          </w:p>
        </w:tc>
        <w:tc>
          <w:tcPr>
            <w:tcW w:w="2350" w:type="dxa"/>
            <w:vAlign w:val="top"/>
          </w:tcPr>
          <w:p>
            <w:pPr>
              <w:spacing w:after="0"/>
            </w:pPr>
            <w:r>
              <w:rPr>
                <w:sz w:val="17"/>
                <w:szCs w:val="17"/>
              </w:rPr>
              <w:t xml:space="preserve">D3.2 › point 12</w:t>
            </w:r>
          </w:p>
        </w:tc>
        <w:tc>
          <w:tcPr>
            <w:tcW w:w="2600" w:type="dxa"/>
            <w:vAlign w:val="top"/>
          </w:tcPr>
          <w:p>
            <w:pPr>
              <w:spacing w:after="0"/>
            </w:pPr>
            <w:r>
              <w:rPr>
                <w:i/>
                <w:sz w:val="17"/>
                <w:szCs w:val="17"/>
              </w:rPr>
              <w:t xml:space="preserve">« Plans canicule gériatriques en EMS et à domicile en Suisse : hydratation programmée (1,5 L/j minimum) »</w:t>
            </w:r>
          </w:p>
        </w:tc>
        <w:tc>
          <w:tcPr>
            <w:tcW w:w="3000" w:type="dxa"/>
            <w:vAlign w:val="top"/>
          </w:tcPr>
          <w:p>
            <w:pPr>
              <w:spacing w:after="40"/>
            </w:pPr>
            <w:r>
              <w:rPr>
                <w:sz w:val="17"/>
                <w:szCs w:val="17"/>
              </w:rPr>
              <w:t xml:space="preserve">Le point 12 est une phrase nominale sans verbe conjugué.</w:t>
            </w:r>
          </w:p>
          <w:p>
            <w:pPr>
              <w:spacing w:after="0"/>
            </w:pPr>
            <w:r>
              <w:rPr>
                <w:b/>
                <w:color w:val="145A32"/>
                <w:sz w:val="17"/>
                <w:szCs w:val="17"/>
              </w:rPr>
              <w:t xml:space="preserve">→ Écrire : « En période de canicule, l'équipe programme des boissons d'au moins 1,5 L/j en EMS et à domicile, sans attendre la soif [Sn]. »</w:t>
            </w:r>
          </w:p>
        </w:tc>
        <w:tc>
          <w:tcPr>
            <w:tcW w:w="1800" w:type="dxa"/>
            <w:vAlign w:val="top"/>
          </w:tcPr>
          <w:p>
            <w:pPr>
              <w:spacing w:after="0"/>
            </w:pPr>
            <w:r>
              <w:rPr>
                <w:sz w:val="17"/>
                <w:szCs w:val="17"/>
              </w:rPr>
              <w:t xml:space="preserve">PROMPT MAÎTRE V6 — PROFILES, règles citées (prompt de base du lot) :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L3-L48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D3.7 › fenêtre 9.1 › tableau étiologique › en-tête</w:t>
            </w:r>
          </w:p>
        </w:tc>
        <w:tc>
          <w:tcPr>
            <w:tcW w:w="2600" w:type="dxa"/>
            <w:vAlign w:val="top"/>
          </w:tcPr>
          <w:p>
            <w:pPr>
              <w:spacing w:after="0"/>
            </w:pPr>
            <w:r>
              <w:rPr>
                <w:i/>
                <w:sz w:val="17"/>
                <w:szCs w:val="17"/>
              </w:rPr>
              <w:t xml:space="preserve">« PTH Intacte (Normale : 15–65 pg/mL) »</w:t>
            </w:r>
          </w:p>
        </w:tc>
        <w:tc>
          <w:tcPr>
            <w:tcW w:w="3000" w:type="dxa"/>
            <w:vAlign w:val="top"/>
          </w:tcPr>
          <w:p>
            <w:pPr>
              <w:spacing w:after="40"/>
            </w:pPr>
            <w:r>
              <w:rPr>
                <w:sz w:val="17"/>
                <w:szCs w:val="17"/>
              </w:rPr>
              <w:t xml:space="preserve">La PTH est exprimée en pg/mL, unité non SI, alors que le prompt exige les unités SI suisses.</w:t>
            </w:r>
          </w:p>
          <w:p>
            <w:pPr>
              <w:spacing w:after="0"/>
            </w:pPr>
            <w:r>
              <w:rPr>
                <w:b/>
                <w:color w:val="145A32"/>
                <w:sz w:val="17"/>
                <w:szCs w:val="17"/>
              </w:rPr>
              <w:t xml:space="preserve">→ Écrire la PTH en pmol/L (≈ 1,6–6,9 pmol/L, calcul dérivé avec 1 pg/mL ≈ 0,106 pmol/L) en conservant la valeur du laboratoire de référence [Sn].</w:t>
            </w:r>
          </w:p>
        </w:tc>
        <w:tc>
          <w:tcPr>
            <w:tcW w:w="1800" w:type="dxa"/>
            <w:vAlign w:val="top"/>
          </w:tcPr>
          <w:p>
            <w:pPr>
              <w:spacing w:after="0"/>
            </w:pPr>
            <w:r>
              <w:rPr>
                <w:sz w:val="17"/>
                <w:szCs w:val="17"/>
              </w:rPr>
              <w:t xml:space="preserve">PROMPT MAÎTRE V6 — PROFILES, règles citées (prompt de base du lot) : § 6.8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L3-L63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G3 › point 9 › « Gold standard / référence » (même répétition dans les 11 monographies, et points 13 recopiés dans les 11)</w:t>
            </w:r>
          </w:p>
        </w:tc>
        <w:tc>
          <w:tcPr>
            <w:tcW w:w="2600" w:type="dxa"/>
            <w:vAlign w:val="top"/>
          </w:tcPr>
          <w:p>
            <w:pPr>
              <w:spacing w:after="0"/>
            </w:pPr>
            <w:r>
              <w:rPr>
                <w:i/>
                <w:sz w:val="17"/>
                <w:szCs w:val="17"/>
              </w:rPr>
              <w:t xml:space="preserve">« Gold standard / référence : le test confirme une question précise La mesure du volume urinaire »</w:t>
            </w:r>
          </w:p>
        </w:tc>
        <w:tc>
          <w:tcPr>
            <w:tcW w:w="3000" w:type="dxa"/>
            <w:vAlign w:val="top"/>
          </w:tcPr>
          <w:p>
            <w:pPr>
              <w:spacing w:after="40"/>
            </w:pPr>
            <w:r>
              <w:rPr>
                <w:sz w:val="17"/>
                <w:szCs w:val="17"/>
              </w:rPr>
              <w:t xml:space="preserve">Le bloc « Gold standard » recopie mot pour mot le point 9, et les points clés recopient les points 8, 11.B et 11.C : ces répétitions n'apportent aucune information.</w:t>
            </w:r>
          </w:p>
          <w:p>
            <w:pPr>
              <w:spacing w:after="0"/>
            </w:pPr>
            <w:r>
              <w:rPr>
                <w:b/>
                <w:color w:val="145A32"/>
                <w:sz w:val="17"/>
                <w:szCs w:val="17"/>
              </w:rPr>
              <w:t xml:space="preserve">→ Nommer le gold standard avec Se, Sp et seuil ; écrire des points clés originaux, chiffrés et sourcés.</w:t>
            </w:r>
          </w:p>
        </w:tc>
        <w:tc>
          <w:tcPr>
            <w:tcW w:w="1800" w:type="dxa"/>
            <w:vAlign w:val="top"/>
          </w:tcPr>
          <w:p>
            <w:pPr>
              <w:spacing w:after="0"/>
            </w:pPr>
            <w:r>
              <w:rPr>
                <w:sz w:val="17"/>
                <w:szCs w:val="17"/>
              </w:rPr>
              <w:t xml:space="preserve">PROMPT MAÎTRE V6 — PROFILES, règles citées (prompt de base du lot) :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L3-L64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G3 › point 8</w:t>
            </w:r>
          </w:p>
        </w:tc>
        <w:tc>
          <w:tcPr>
            <w:tcW w:w="2600" w:type="dxa"/>
            <w:vAlign w:val="top"/>
          </w:tcPr>
          <w:p>
            <w:pPr>
              <w:spacing w:after="0"/>
            </w:pPr>
            <w:r>
              <w:rPr>
                <w:i/>
                <w:sz w:val="17"/>
                <w:szCs w:val="17"/>
              </w:rPr>
              <w:t xml:space="preserve">« Le médecin confirme séparément une polyurie, souvent au-delà de 3 L par jour chez l'adulte »</w:t>
            </w:r>
          </w:p>
        </w:tc>
        <w:tc>
          <w:tcPr>
            <w:tcW w:w="3000" w:type="dxa"/>
            <w:vAlign w:val="top"/>
          </w:tcPr>
          <w:p>
            <w:pPr>
              <w:spacing w:after="40"/>
            </w:pPr>
            <w:r>
              <w:rPr>
                <w:sz w:val="17"/>
                <w:szCs w:val="17"/>
              </w:rPr>
              <w:t xml:space="preserve">L'adverbe « souvent » rend le seuil vague ; la définition de référence est une diurèse &gt; 50 mL/kg/24 h.</w:t>
            </w:r>
          </w:p>
          <w:p>
            <w:pPr>
              <w:spacing w:after="0"/>
            </w:pPr>
            <w:r>
              <w:rPr>
                <w:b/>
                <w:color w:val="145A32"/>
                <w:sz w:val="17"/>
                <w:szCs w:val="17"/>
              </w:rPr>
              <w:t xml:space="preserve">→ Écrire : « Le médecin confirme une polyurie, définie chez l'adulte par une diurèse &gt; 50 mL/kg/24 h [Sn]. »</w:t>
            </w:r>
          </w:p>
        </w:tc>
        <w:tc>
          <w:tcPr>
            <w:tcW w:w="1800" w:type="dxa"/>
            <w:vAlign w:val="top"/>
          </w:tcPr>
          <w:p>
            <w:pPr>
              <w:spacing w:after="0"/>
            </w:pPr>
            <w:r>
              <w:rPr>
                <w:sz w:val="17"/>
                <w:szCs w:val="17"/>
              </w:rPr>
              <w:t xml:space="preserve">Fenske W et al. A copeptin-based approach in the diagnosis of diabetes insipidus — N Engl J Med 2018;379:428–439 (étude multicentrique Bâle) — https://www.nejm.org/doi/full/10.1056/NEJMoa1803760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L3-L67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Ensemble du fichier › 11 encadrés « Vérifier la portée de l'actualisation 2026 » (premier : G3 › 11.D)</w:t>
            </w:r>
          </w:p>
        </w:tc>
        <w:tc>
          <w:tcPr>
            <w:tcW w:w="2600" w:type="dxa"/>
            <w:vAlign w:val="top"/>
          </w:tcPr>
          <w:p>
            <w:pPr>
              <w:spacing w:after="0"/>
            </w:pPr>
            <w:r>
              <w:rPr>
                <w:i/>
                <w:sz w:val="17"/>
                <w:szCs w:val="17"/>
              </w:rPr>
              <w:t xml:space="preserve">« Une nouveauté de recherche spécifique à 2026 reste « donnée non trouvée » dans les éléments vérifiés pour cette monographie.Consulter la question HELP Q90 »</w:t>
            </w:r>
          </w:p>
        </w:tc>
        <w:tc>
          <w:tcPr>
            <w:tcW w:w="3000" w:type="dxa"/>
            <w:vAlign w:val="top"/>
          </w:tcPr>
          <w:p>
            <w:pPr>
              <w:spacing w:after="40"/>
            </w:pPr>
            <w:r>
              <w:rPr>
                <w:sz w:val="17"/>
                <w:szCs w:val="17"/>
              </w:rPr>
              <w:t xml:space="preserve">Les points 11.D ne contiennent aucun essai 2026 ni numéro NCT, alors que la V5 citait des pistes réelles (FINEARTS-HF, FLOW, ianalumab) qui auraient pu être vérifiées ; le texte de l'encadré est collé au lien sans espace.</w:t>
            </w:r>
          </w:p>
          <w:p>
            <w:pPr>
              <w:spacing w:after="0"/>
            </w:pPr>
            <w:r>
              <w:rPr>
                <w:b/>
                <w:color w:val="145A32"/>
                <w:sz w:val="17"/>
                <w:szCs w:val="17"/>
              </w:rPr>
              <w:t xml:space="preserve">→ Vérifier et réintégrer les essais sourcés avec leur numéro NCT ; séparer le lien HELP du texte par une espace.</w:t>
            </w:r>
          </w:p>
        </w:tc>
        <w:tc>
          <w:tcPr>
            <w:tcW w:w="1800" w:type="dxa"/>
            <w:vAlign w:val="top"/>
          </w:tcPr>
          <w:p>
            <w:pPr>
              <w:spacing w:after="0"/>
            </w:pPr>
            <w:r>
              <w:rPr>
                <w:sz w:val="17"/>
                <w:szCs w:val="17"/>
              </w:rPr>
              <w:t xml:space="preserve">PROMPT MAÎTRE V6 — PROFILES, règles citées (prompt de base du lot) : § 5 point 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L3-M03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LOT_3_Appel_B_V5_Ultra_Pedagogique_Partie_1_D3.1_a_D3.2__export_GoogleDoc.html</w:t>
            </w:r>
          </w:p>
        </w:tc>
        <w:tc>
          <w:tcPr>
            <w:tcW w:w="2350" w:type="dxa"/>
            <w:vAlign w:val="top"/>
          </w:tcPr>
          <w:p>
            <w:pPr>
              <w:spacing w:after="0"/>
            </w:pPr>
            <w:r>
              <w:rPr>
                <w:sz w:val="17"/>
                <w:szCs w:val="17"/>
              </w:rPr>
              <w:t xml:space="preserve">Fichier entier (Appel B Partie 1 V5)</w:t>
            </w:r>
          </w:p>
        </w:tc>
        <w:tc>
          <w:tcPr>
            <w:tcW w:w="2600" w:type="dxa"/>
            <w:vAlign w:val="top"/>
          </w:tcPr>
          <w:p>
            <w:pPr>
              <w:spacing w:after="0"/>
            </w:pPr>
            <w:r>
              <w:rPr>
                <w:i/>
                <w:sz w:val="17"/>
                <w:szCs w:val="17"/>
              </w:rPr>
              <w:t xml:space="preserve">« Appel B - Partie 1/4 (D3.1 à D3.2) »</w:t>
            </w:r>
          </w:p>
        </w:tc>
        <w:tc>
          <w:tcPr>
            <w:tcW w:w="3000" w:type="dxa"/>
            <w:vAlign w:val="top"/>
          </w:tcPr>
          <w:p>
            <w:pPr>
              <w:spacing w:after="40"/>
            </w:pPr>
            <w:r>
              <w:rPr>
                <w:sz w:val="17"/>
                <w:szCs w:val="17"/>
              </w:rPr>
              <w:t xml:space="preserve">La Partie 1 V5 est une version périmée (Google Doc exporté) remplacée par le fichier V6 ; sa présence crée un doublon dans le dossier du lot.</w:t>
            </w:r>
          </w:p>
          <w:p>
            <w:pPr>
              <w:spacing w:after="0"/>
            </w:pPr>
            <w:r>
              <w:rPr>
                <w:b/>
                <w:color w:val="145A32"/>
                <w:sz w:val="17"/>
                <w:szCs w:val="17"/>
              </w:rPr>
              <w:t xml:space="preserve">→ Déplacer ce Google Doc dans CORBEILLE_DOUBLONS_OBSOLETES avec le suffixe _OBSOLETE_ après vérification de la version V6 ; ne pas l'auditer davantage, mais récupérer ses données chiffrées sourcées lors de la régénération de la Partie 1.</w:t>
            </w:r>
          </w:p>
        </w:tc>
        <w:tc>
          <w:tcPr>
            <w:tcW w:w="1800" w:type="dxa"/>
            <w:vAlign w:val="top"/>
          </w:tcPr>
          <w:p>
            <w:pPr>
              <w:spacing w:after="0"/>
            </w:pPr>
            <w:r>
              <w:rPr>
                <w:sz w:val="17"/>
                <w:szCs w:val="17"/>
              </w:rPr>
              <w:t xml:space="preserve">PROMPT V6 du projet (PROMPT_V6.md), sections citées : § 12 (aucun doublon).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L3-M09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SSP G3 › 8. Critères</w:t>
            </w:r>
          </w:p>
        </w:tc>
        <w:tc>
          <w:tcPr>
            <w:tcW w:w="2600" w:type="dxa"/>
            <w:vAlign w:val="top"/>
          </w:tcPr>
          <w:p>
            <w:pPr>
              <w:spacing w:after="0"/>
            </w:pPr>
            <w:r>
              <w:rPr>
                <w:i/>
                <w:sz w:val="17"/>
                <w:szCs w:val="17"/>
              </w:rPr>
              <w:t xml:space="preserve">« Le médecin confirme séparément une polyurie, souvent au-delà de 3 L par jour chez l'adulte »</w:t>
            </w:r>
          </w:p>
        </w:tc>
        <w:tc>
          <w:tcPr>
            <w:tcW w:w="3000" w:type="dxa"/>
            <w:vAlign w:val="top"/>
          </w:tcPr>
          <w:p>
            <w:pPr>
              <w:spacing w:after="40"/>
            </w:pPr>
            <w:r>
              <w:rPr>
                <w:sz w:val="17"/>
                <w:szCs w:val="17"/>
              </w:rPr>
              <w:t xml:space="preserve">Le seuil de polyurie est vague (« souvent ») : la définition opérationnelle retenue par les études européennes de référence est une diurèse &gt; 50 mL/kg/24 h, avec osmolalité urinaire basse pour la polyurie hypotonique.</w:t>
            </w:r>
          </w:p>
          <w:p>
            <w:pPr>
              <w:spacing w:after="0"/>
            </w:pPr>
            <w:r>
              <w:rPr>
                <w:b/>
                <w:color w:val="145A32"/>
                <w:sz w:val="17"/>
                <w:szCs w:val="17"/>
              </w:rPr>
              <w:t xml:space="preserve">→ Écrire : « Le médecin confirme une polyurie, définie chez l'adulte par une diurèse supérieure à 50 mL/kg par 24 heures (environ 3,5 L pour 70 kg), puis il mesure l'osmolalité urinaire pour distinguer diurèse aqueuse et diurèse osmotique. »</w:t>
            </w:r>
          </w:p>
        </w:tc>
        <w:tc>
          <w:tcPr>
            <w:tcW w:w="1800" w:type="dxa"/>
            <w:vAlign w:val="top"/>
          </w:tcPr>
          <w:p>
            <w:pPr>
              <w:spacing w:after="0"/>
            </w:pPr>
            <w:r>
              <w:rPr>
                <w:sz w:val="17"/>
                <w:szCs w:val="17"/>
              </w:rPr>
              <w:t xml:space="preserve">Fenske W. et al. A Copeptin-Based Approach in the Diagnosis of Diabetes Insipidus. N Engl J Med 2018;379:428-439 (étude multicentrique conduite notamment à Bâle) — https://doi.org/10.1056/NEJMoa1803760 (critère d'inclusion : polyurie hypotonique &gt; 50 mL/kg/24 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L3-M17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D3.8 › 2. Épidémiologie</w:t>
            </w:r>
          </w:p>
        </w:tc>
        <w:tc>
          <w:tcPr>
            <w:tcW w:w="2600" w:type="dxa"/>
            <w:vAlign w:val="top"/>
          </w:tcPr>
          <w:p>
            <w:pPr>
              <w:spacing w:after="0"/>
            </w:pPr>
            <w:r>
              <w:rPr>
                <w:i/>
                <w:sz w:val="17"/>
                <w:szCs w:val="17"/>
              </w:rPr>
              <w:t xml:space="preserve">« La fatigue dépend aussi de l'anémie, des comorbidités et des traitements. »</w:t>
            </w:r>
          </w:p>
        </w:tc>
        <w:tc>
          <w:tcPr>
            <w:tcW w:w="3000" w:type="dxa"/>
            <w:vAlign w:val="top"/>
          </w:tcPr>
          <w:p>
            <w:pPr>
              <w:spacing w:after="40"/>
            </w:pPr>
            <w:r>
              <w:rPr>
                <w:sz w:val="17"/>
                <w:szCs w:val="17"/>
              </w:rPr>
              <w:t xml:space="preserve">La phrase traite de la fatigue, hors sujet dans un SSP « soif excessive » : elle provient d'un autre lot.</w:t>
            </w:r>
          </w:p>
          <w:p>
            <w:pPr>
              <w:spacing w:after="0"/>
            </w:pPr>
            <w:r>
              <w:rPr>
                <w:b/>
                <w:color w:val="145A32"/>
                <w:sz w:val="17"/>
                <w:szCs w:val="17"/>
              </w:rPr>
              <w:t xml:space="preserve">→ Remplacer par : « La maladie rénale chronique touche environ un adulte sur dix en Europe ; le défaut de concentration urinaire apparaît avec la fibrose tubulo-interstitielle et la polykystose. » avec sa source [Sn].</w:t>
            </w:r>
          </w:p>
        </w:tc>
        <w:tc>
          <w:tcPr>
            <w:tcW w:w="1800" w:type="dxa"/>
            <w:vAlign w:val="top"/>
          </w:tcPr>
          <w:p>
            <w:pPr>
              <w:spacing w:after="0"/>
            </w:pPr>
            <w:r>
              <w:rPr>
                <w:sz w:val="17"/>
                <w:szCs w:val="17"/>
              </w:rPr>
              <w:t xml:space="preserve">KDIGO 2024 Clinical Practice Guideline for CKD — https://kdigo.org/wp-content/uploads/2024/03/KDIGO-2024-CKD-Guideline.pdf (chiffre suisse à sourcer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L3-M18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D3.5 › 2. Épidémiologie (et 5. Anamnèse, 6. Examen physique)</w:t>
            </w:r>
          </w:p>
        </w:tc>
        <w:tc>
          <w:tcPr>
            <w:tcW w:w="2600" w:type="dxa"/>
            <w:vAlign w:val="top"/>
          </w:tcPr>
          <w:p>
            <w:pPr>
              <w:spacing w:after="0"/>
            </w:pPr>
            <w:r>
              <w:rPr>
                <w:i/>
                <w:sz w:val="17"/>
                <w:szCs w:val="17"/>
              </w:rPr>
              <w:t xml:space="preserve">« Le sevrage peut aussi provoquer un malaise, notamment après l'arrêt brutal de certaines substances. »</w:t>
            </w:r>
          </w:p>
        </w:tc>
        <w:tc>
          <w:tcPr>
            <w:tcW w:w="3000" w:type="dxa"/>
            <w:vAlign w:val="top"/>
          </w:tcPr>
          <w:p>
            <w:pPr>
              <w:spacing w:after="40"/>
            </w:pPr>
            <w:r>
              <w:rPr>
                <w:sz w:val="17"/>
                <w:szCs w:val="17"/>
              </w:rPr>
              <w:t xml:space="preserve">Les points 2, 5 et 6 de D3.5 parlent de malaise, de sevrage, de rigidité et de toxidrome, notions copiées d'un autre lot et sans lien avec la polyurie iatrogène.</w:t>
            </w:r>
          </w:p>
          <w:p>
            <w:pPr>
              <w:spacing w:after="0"/>
            </w:pPr>
            <w:r>
              <w:rPr>
                <w:b/>
                <w:color w:val="145A32"/>
                <w:sz w:val="17"/>
                <w:szCs w:val="17"/>
              </w:rPr>
              <w:t xml:space="preserve">→ Réécrire autour des gliflozines, diurétiques, mannitol, corticoïdes et vaptans : glycosurie, hypotension orthostatique, cétonémie sous gliflozine, hypernatrémie sous tolvaptan.</w:t>
            </w:r>
          </w:p>
        </w:tc>
        <w:tc>
          <w:tcPr>
            <w:tcW w:w="1800" w:type="dxa"/>
            <w:vAlign w:val="top"/>
          </w:tcPr>
          <w:p>
            <w:pPr>
              <w:spacing w:after="0"/>
            </w:pPr>
            <w:r>
              <w:rPr>
                <w:sz w:val="17"/>
                <w:szCs w:val="17"/>
              </w:rPr>
              <w:t xml:space="preserve">PROMPT V6 du projet (PROMPT_V6.md), sections citées : § 5 (plan monographique) ; contenu technique de la Partie 2 V5 à resourcer.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L3-M19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D3.10 › 11. Prise en charge › 11.B. Moyens</w:t>
            </w:r>
          </w:p>
        </w:tc>
        <w:tc>
          <w:tcPr>
            <w:tcW w:w="2600" w:type="dxa"/>
            <w:vAlign w:val="top"/>
          </w:tcPr>
          <w:p>
            <w:pPr>
              <w:spacing w:after="0"/>
            </w:pPr>
            <w:r>
              <w:rPr>
                <w:i/>
                <w:sz w:val="17"/>
                <w:szCs w:val="17"/>
              </w:rPr>
              <w:t xml:space="preserve">« l'amiloride ou d'autres stratégies relèvent d'une décision surveillée »</w:t>
            </w:r>
          </w:p>
        </w:tc>
        <w:tc>
          <w:tcPr>
            <w:tcW w:w="3000" w:type="dxa"/>
            <w:vAlign w:val="top"/>
          </w:tcPr>
          <w:p>
            <w:pPr>
              <w:spacing w:after="40"/>
            </w:pPr>
            <w:r>
              <w:rPr>
                <w:sz w:val="17"/>
                <w:szCs w:val="17"/>
              </w:rPr>
              <w:t xml:space="preserve">L'amiloride n'est assorti d'aucune dose et la monographie ne signale pas que le régime hyposodé et les thiazidiques élèvent la lithiémie.</w:t>
            </w:r>
          </w:p>
          <w:p>
            <w:pPr>
              <w:spacing w:after="0"/>
            </w:pPr>
            <w:r>
              <w:rPr>
                <w:b/>
                <w:color w:val="145A32"/>
                <w:sz w:val="17"/>
                <w:szCs w:val="17"/>
              </w:rPr>
              <w:t xml:space="preserve">→ Préciser la DCI, la spécialité suisse vérifiée et la dose de l'amiloride ; ajouter : « Le médecin évite le régime hyposodé et les thiazidiques chez le patient sous lithium, car la déplétion sodée augmente la réabsorption du lithium ; toute modification impose une lithiémie de contrôle à J5. »</w:t>
            </w:r>
          </w:p>
        </w:tc>
        <w:tc>
          <w:tcPr>
            <w:tcW w:w="1800" w:type="dxa"/>
            <w:vAlign w:val="top"/>
          </w:tcPr>
          <w:p>
            <w:pPr>
              <w:spacing w:after="0"/>
            </w:pPr>
            <w:r>
              <w:rPr>
                <w:sz w:val="17"/>
                <w:szCs w:val="17"/>
              </w:rPr>
              <w:t xml:space="preserve">Information professionnelle Quilonorm® retard (lithium), AIPS / swissmedicinfo.ch : le lithium ne doit en général pas être administré en cas d'apport réduit en sel de cuisine (risque accru d'intoxication) ; patients invités à maintenir un apport suffisant en liquide et en sel — https://swissmedicinfo-pro.ch/showText.aspx?textType=FI&amp;lang=DE&amp;authNr=35960&amp;supportMultipleResults=1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L3-M20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D3.9 › 2. Épidémiologie › renvoi HELP Q107 (même renvoi « donnée non trouvée » dans les 11 monographies)</w:t>
            </w:r>
          </w:p>
        </w:tc>
        <w:tc>
          <w:tcPr>
            <w:tcW w:w="2600" w:type="dxa"/>
            <w:vAlign w:val="top"/>
          </w:tcPr>
          <w:p>
            <w:pPr>
              <w:spacing w:after="0"/>
            </w:pPr>
            <w:r>
              <w:rPr>
                <w:i/>
                <w:sz w:val="17"/>
                <w:szCs w:val="17"/>
              </w:rPr>
              <w:t xml:space="preserve">« Il peut aussi rester d'origine indéterminée après exploration. Une estimation quantitative »</w:t>
            </w:r>
          </w:p>
        </w:tc>
        <w:tc>
          <w:tcPr>
            <w:tcW w:w="3000" w:type="dxa"/>
            <w:vAlign w:val="top"/>
          </w:tcPr>
          <w:p>
            <w:pPr>
              <w:spacing w:after="40"/>
            </w:pPr>
            <w:r>
              <w:rPr>
                <w:sz w:val="17"/>
                <w:szCs w:val="17"/>
              </w:rPr>
              <w:t xml:space="preserve">Le fichier déclare « donnée non trouvée » pour toutes les épidémiologies, alors que des chiffres sourcés existent (prévalence du déficit en AVP d'environ 1/25 000).</w:t>
            </w:r>
          </w:p>
          <w:p>
            <w:pPr>
              <w:spacing w:after="0"/>
            </w:pPr>
            <w:r>
              <w:rPr>
                <w:b/>
                <w:color w:val="145A32"/>
                <w:sz w:val="17"/>
                <w:szCs w:val="17"/>
              </w:rPr>
              <w:t xml:space="preserve">→ Réintégrer les données épidémiologiques sourcées (prévalence du déficit en AVP environ 1 sur 25 000 ; prévalence suisse du diabète selon l'Obsan) et ne garder « donnée non trouvée » que pour les chiffres réellement introuvables.</w:t>
            </w:r>
          </w:p>
        </w:tc>
        <w:tc>
          <w:tcPr>
            <w:tcW w:w="1800" w:type="dxa"/>
            <w:vAlign w:val="top"/>
          </w:tcPr>
          <w:p>
            <w:pPr>
              <w:spacing w:after="0"/>
            </w:pPr>
            <w:r>
              <w:rPr>
                <w:sz w:val="17"/>
                <w:szCs w:val="17"/>
              </w:rPr>
              <w:t xml:space="preserve">Christ-Crain M. et al. Diabetes insipidus. Nat Rev Dis Primers 2019;5:54 ; Obsan, indicateur « Diabète sucré » (obsan.admin.ch).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L3-M21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D3.6 › 11. Prise en charge › 11.B. Moyens</w:t>
            </w:r>
          </w:p>
        </w:tc>
        <w:tc>
          <w:tcPr>
            <w:tcW w:w="2600" w:type="dxa"/>
            <w:vAlign w:val="top"/>
          </w:tcPr>
          <w:p>
            <w:pPr>
              <w:spacing w:after="0"/>
            </w:pPr>
            <w:r>
              <w:rPr>
                <w:i/>
                <w:sz w:val="17"/>
                <w:szCs w:val="17"/>
              </w:rPr>
              <w:t xml:space="preserve">« Une restriction hydrique n'est pas universelle ; elle se discute notamment en cas d'hyponatrémie »</w:t>
            </w:r>
          </w:p>
        </w:tc>
        <w:tc>
          <w:tcPr>
            <w:tcW w:w="3000" w:type="dxa"/>
            <w:vAlign w:val="top"/>
          </w:tcPr>
          <w:p>
            <w:pPr>
              <w:spacing w:after="40"/>
            </w:pPr>
            <w:r>
              <w:rPr>
                <w:sz w:val="17"/>
                <w:szCs w:val="17"/>
              </w:rPr>
              <w:t xml:space="preserve">Le point 11.B ne cite aucun médicament (traitement de l'insuffisance cardiaque, diurétiques de l'ascite), aucune dose et aucun seuil de natrémie justifiant une restriction hydrique.</w:t>
            </w:r>
          </w:p>
          <w:p>
            <w:pPr>
              <w:spacing w:after="0"/>
            </w:pPr>
            <w:r>
              <w:rPr>
                <w:b/>
                <w:color w:val="145A32"/>
                <w:sz w:val="17"/>
                <w:szCs w:val="17"/>
              </w:rPr>
              <w:t xml:space="preserve">→ Reprendre les traitements sourcés : quadrithérapie de l'insuffisance cardiaque à FEVG réduite (ESC 2021/2023) ; ascite : spironolactone 100–400 mg/j ± furosémide 40–160 mg/j ; restriction hydrique à 1–1,5 L/j si natrémie &lt; 125 mmol/L (EASL 2018), avec spécialités suisses vérifiées.</w:t>
            </w:r>
          </w:p>
        </w:tc>
        <w:tc>
          <w:tcPr>
            <w:tcW w:w="1800" w:type="dxa"/>
            <w:vAlign w:val="top"/>
          </w:tcPr>
          <w:p>
            <w:pPr>
              <w:spacing w:after="0"/>
            </w:pPr>
            <w:r>
              <w:rPr>
                <w:sz w:val="17"/>
                <w:szCs w:val="17"/>
              </w:rPr>
              <w:t xml:space="preserve">ESC Guidelines for heart failure 2021 et mise à jour 2023 ; EASL Clinical Practice Guidelines for decompensated cirrhosis, J Hepatol 2018;69:406-460.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L3-M28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9. Examens complémentaires › Gold standard</w:t>
            </w:r>
          </w:p>
        </w:tc>
        <w:tc>
          <w:tcPr>
            <w:tcW w:w="2600" w:type="dxa"/>
            <w:vAlign w:val="top"/>
          </w:tcPr>
          <w:p>
            <w:pPr>
              <w:spacing w:after="0"/>
            </w:pPr>
            <w:r>
              <w:rPr>
                <w:i/>
                <w:sz w:val="17"/>
                <w:szCs w:val="17"/>
              </w:rPr>
              <w:t xml:space="preserve">« Gold Standard diagnostique (pour les polyuries hypotoniques) : Le Dosage de la Copeptine plasmatique »</w:t>
            </w:r>
          </w:p>
        </w:tc>
        <w:tc>
          <w:tcPr>
            <w:tcW w:w="3000" w:type="dxa"/>
            <w:vAlign w:val="top"/>
          </w:tcPr>
          <w:p>
            <w:pPr>
              <w:spacing w:after="40"/>
            </w:pPr>
            <w:r>
              <w:rPr>
                <w:sz w:val="17"/>
                <w:szCs w:val="17"/>
              </w:rPr>
              <w:t xml:space="preserve">Le dosage isolé de la copeptine n'est pas l'examen de référence : seule la copeptine stimulée par NaCl 3 % (natrémie ≥ 150 mmol/L) distingue le déficit en AVP de la polydipsie primaire ; la copeptine basale ne tranche que la résistance à l'AVP.</w:t>
            </w:r>
          </w:p>
          <w:p>
            <w:pPr>
              <w:spacing w:after="0"/>
            </w:pPr>
            <w:r>
              <w:rPr>
                <w:b/>
                <w:color w:val="145A32"/>
                <w:sz w:val="17"/>
                <w:szCs w:val="17"/>
              </w:rPr>
              <w:t xml:space="preserve">→ Écrire : « Gold standard : copeptine stimulée par perfusion de NaCl 3 %, prélevée à natrémie ≥ 150 mmol/L (seuil 4,9 pmol/L, précision 96,5 %) ; la copeptine basale ≥ 21,4 pmol/L identifie la résistance à l'AVP. »</w:t>
            </w:r>
          </w:p>
        </w:tc>
        <w:tc>
          <w:tcPr>
            <w:tcW w:w="1800" w:type="dxa"/>
            <w:vAlign w:val="top"/>
          </w:tcPr>
          <w:p>
            <w:pPr>
              <w:spacing w:after="0"/>
            </w:pPr>
            <w:r>
              <w:rPr>
                <w:sz w:val="17"/>
                <w:szCs w:val="17"/>
              </w:rPr>
              <w:t xml:space="preserve">Fenske W. et al. A Copeptin-Based Approach in the Diagnosis of Diabetes Insipidus. N Engl J Med 2018;379:428-439 (étude multicentrique conduite notamment à Bâle) — https://doi.org/10.1056/NEJMoa1803760 ; Refardt J. et al. (CARGOx). Arginine or Hypertonic Saline–Stimulated Copeptin to Diagnose AVP Deficiency. N Engl J Med 2023;389:1877-1887 (Université de Bâle) — https://dkf.unibas.ch/en/news/details/arginine-or-hypertonic-saline-stimulated-copeptin-to-diagnose-avp-deficiency</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L3-M30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9. Fenêtre 9.1 › point 1 (formules) ; parenthèses vidées aussi dans les Parties 2, 3 et 4 V5 (plus de 30 occurrences)</w:t>
            </w:r>
          </w:p>
        </w:tc>
        <w:tc>
          <w:tcPr>
            <w:tcW w:w="2600" w:type="dxa"/>
            <w:vAlign w:val="top"/>
          </w:tcPr>
          <w:p>
            <w:pPr>
              <w:spacing w:after="0"/>
            </w:pPr>
            <w:r>
              <w:rPr>
                <w:i/>
                <w:sz w:val="17"/>
                <w:szCs w:val="17"/>
              </w:rPr>
              <w:t xml:space="preserve">« Si ( ) : Le rein excrète de l'eau pure sans électrolytes »</w:t>
            </w:r>
          </w:p>
        </w:tc>
        <w:tc>
          <w:tcPr>
            <w:tcW w:w="3000" w:type="dxa"/>
            <w:vAlign w:val="top"/>
          </w:tcPr>
          <w:p>
            <w:pPr>
              <w:spacing w:after="40"/>
            </w:pPr>
            <w:r>
              <w:rPr>
                <w:sz w:val="17"/>
                <w:szCs w:val="17"/>
              </w:rPr>
              <w:t xml:space="preserve">La conversion en Google Doc a supprimé les expressions mathématiques (CH₂O &gt; 0, Uosm, Na⁺…) : les conditions d'interprétation deviennent incompréhensibles.</w:t>
            </w:r>
          </w:p>
          <w:p>
            <w:pPr>
              <w:spacing w:after="0"/>
            </w:pPr>
            <w:r>
              <w:rPr>
                <w:b/>
                <w:color w:val="145A32"/>
                <w:sz w:val="17"/>
                <w:szCs w:val="17"/>
              </w:rPr>
              <w:t xml:space="preserve">→ Rétablir les expressions : « Si CH₂O &gt; 0 : le rein excrète de l'eau libre (polyurie hypotonique) » ; « Si Cosm &gt; 3 L/24 h ou charge osmolaire &gt; 1 000 mOsm/24 h : polyurie osmotique » ; vérifier toutes les parenthèses vides des Parties 2 à 4.</w:t>
            </w:r>
          </w:p>
        </w:tc>
        <w:tc>
          <w:tcPr>
            <w:tcW w:w="1800" w:type="dxa"/>
            <w:vAlign w:val="top"/>
          </w:tcPr>
          <w:p>
            <w:pPr>
              <w:spacing w:after="0"/>
            </w:pPr>
            <w:r>
              <w:rPr>
                <w:sz w:val="17"/>
                <w:szCs w:val="17"/>
              </w:rPr>
              <w:t xml:space="preserve">PROMPT V6 du projet (PROMPT_V6.md), sections citées : § 7 (fenêtres bio-mathématiques).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L3-M31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11. Prise en charge › C- Surveillance</w:t>
            </w:r>
          </w:p>
        </w:tc>
        <w:tc>
          <w:tcPr>
            <w:tcW w:w="2600" w:type="dxa"/>
            <w:vAlign w:val="top"/>
          </w:tcPr>
          <w:p>
            <w:pPr>
              <w:spacing w:after="0"/>
            </w:pPr>
            <w:r>
              <w:rPr>
                <w:i/>
                <w:sz w:val="17"/>
                <w:szCs w:val="17"/>
              </w:rPr>
              <w:t xml:space="preserve">« vitesse maximale de correction absolue : ≤ 8 à 10 mmol/L par 24 heures »</w:t>
            </w:r>
          </w:p>
        </w:tc>
        <w:tc>
          <w:tcPr>
            <w:tcW w:w="3000" w:type="dxa"/>
            <w:vAlign w:val="top"/>
          </w:tcPr>
          <w:p>
            <w:pPr>
              <w:spacing w:after="40"/>
            </w:pPr>
            <w:r>
              <w:rPr>
                <w:sz w:val="17"/>
                <w:szCs w:val="17"/>
              </w:rPr>
              <w:t xml:space="preserve">Le fichier fusionne en une seule limite la correction de l'hyponatrémie et celle de l'hypernatrémie, alors que les règles diffèrent selon le sens et la durée du trouble.</w:t>
            </w:r>
          </w:p>
          <w:p>
            <w:pPr>
              <w:spacing w:after="0"/>
            </w:pPr>
            <w:r>
              <w:rPr>
                <w:b/>
                <w:color w:val="145A32"/>
                <w:sz w:val="17"/>
                <w:szCs w:val="17"/>
              </w:rPr>
              <w:t xml:space="preserve">→ Écrire : « Hyponatrémie : hausse ≤ 10 mmol/L les 24 premières heures puis ≤ 8 mmol/L par 24 heures suivantes ; hypernatrémie chronique : baisse d'environ 10 mmol/L par 24 heures au plus. »</w:t>
            </w:r>
          </w:p>
        </w:tc>
        <w:tc>
          <w:tcPr>
            <w:tcW w:w="1800" w:type="dxa"/>
            <w:vAlign w:val="top"/>
          </w:tcPr>
          <w:p>
            <w:pPr>
              <w:spacing w:after="0"/>
            </w:pPr>
            <w:r>
              <w:rPr>
                <w:sz w:val="17"/>
                <w:szCs w:val="17"/>
              </w:rPr>
              <w:t xml:space="preserve">Spasovski G. et al. Clinical practice guideline on diagnosis and treatment of hyponatraemia (ESE / ESICM / ERBP). Eur J Endocrinol 2014;170:G1-G47 — https://pubmed.ncbi.nlm.nih.gov/24569496/ ; Revue Médicale Suisse 2023;19(851):2189.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L3-M32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2 › D3.9</w:t>
            </w:r>
          </w:p>
        </w:tc>
        <w:tc>
          <w:tcPr>
            <w:tcW w:w="2600" w:type="dxa"/>
            <w:vAlign w:val="top"/>
          </w:tcPr>
          <w:p>
            <w:pPr>
              <w:spacing w:after="0"/>
            </w:pPr>
            <w:r>
              <w:rPr>
                <w:i/>
                <w:sz w:val="17"/>
                <w:szCs w:val="17"/>
              </w:rPr>
              <w:t xml:space="preserve">« D3.9 — Déficit en Arginine-Vasopressine (AVP-D / Diabète insipide central) [0,8 %] »</w:t>
            </w:r>
          </w:p>
        </w:tc>
        <w:tc>
          <w:tcPr>
            <w:tcW w:w="3000" w:type="dxa"/>
            <w:vAlign w:val="top"/>
          </w:tcPr>
          <w:p>
            <w:pPr>
              <w:spacing w:after="40"/>
            </w:pPr>
            <w:r>
              <w:rPr>
                <w:sz w:val="17"/>
                <w:szCs w:val="17"/>
              </w:rPr>
              <w:t xml:space="preserve">La liste ne fait apparaître ni la polyurie de la grossesse par vasopressinase placentaire ni la soif de l'enfant (diabète de type 1 inaugural), deux situations à ne pas manquer.</w:t>
            </w:r>
          </w:p>
          <w:p>
            <w:pPr>
              <w:spacing w:after="0"/>
            </w:pPr>
            <w:r>
              <w:rPr>
                <w:b/>
                <w:color w:val="145A32"/>
                <w:sz w:val="17"/>
                <w:szCs w:val="17"/>
              </w:rPr>
              <w:t xml:space="preserve">→ Mentionner dans D3.9 la forme gestationnelle (dégradation de l'AVP par la vasopressinase placentaire, traitée par desmopressine) et, dans D3.1, le diabète de type 1 inaugural de l'enfant avec risque d'acidocétose.</w:t>
            </w:r>
          </w:p>
        </w:tc>
        <w:tc>
          <w:tcPr>
            <w:tcW w:w="1800" w:type="dxa"/>
            <w:vAlign w:val="top"/>
          </w:tcPr>
          <w:p>
            <w:pPr>
              <w:spacing w:after="0"/>
            </w:pPr>
            <w:r>
              <w:rPr>
                <w:sz w:val="17"/>
                <w:szCs w:val="17"/>
              </w:rPr>
              <w:t xml:space="preserve">Christ-Crain M. et al. Diabetes insipidus. Nat Rev Dis Primers 2019;5:54.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L3-M37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9. Fenêtre 9.1 › tableau › ligne 1 (test au NaCl 3 %)</w:t>
            </w:r>
          </w:p>
        </w:tc>
        <w:tc>
          <w:tcPr>
            <w:tcW w:w="2600" w:type="dxa"/>
            <w:vAlign w:val="top"/>
          </w:tcPr>
          <w:p>
            <w:pPr>
              <w:spacing w:after="0"/>
            </w:pPr>
            <w:r>
              <w:rPr>
                <w:i/>
                <w:sz w:val="17"/>
                <w:szCs w:val="17"/>
              </w:rPr>
              <w:t xml:space="preserve">« (Sensibilité 93 %, Spécificité 96 %) »</w:t>
            </w:r>
          </w:p>
        </w:tc>
        <w:tc>
          <w:tcPr>
            <w:tcW w:w="3000" w:type="dxa"/>
            <w:vAlign w:val="top"/>
          </w:tcPr>
          <w:p>
            <w:pPr>
              <w:spacing w:after="40"/>
            </w:pPr>
            <w:r>
              <w:rPr>
                <w:sz w:val="17"/>
                <w:szCs w:val="17"/>
              </w:rPr>
              <w:t xml:space="preserve">L'étude de référence rapporte une précision diagnostique globale de 96,5 % ; les valeurs de sensibilité et de spécificité citées ne sont pas retrouvées.</w:t>
            </w:r>
          </w:p>
          <w:p>
            <w:pPr>
              <w:spacing w:after="0"/>
            </w:pPr>
            <w:r>
              <w:rPr>
                <w:b/>
                <w:color w:val="145A32"/>
                <w:sz w:val="17"/>
                <w:szCs w:val="17"/>
              </w:rPr>
              <w:t xml:space="preserve">→ Écrire « (précision diagnostique globale 96,5 % ; 95,2 % pour distinguer polydipsie primaire et déficit partiel) ».</w:t>
            </w:r>
          </w:p>
        </w:tc>
        <w:tc>
          <w:tcPr>
            <w:tcW w:w="1800" w:type="dxa"/>
            <w:vAlign w:val="top"/>
          </w:tcPr>
          <w:p>
            <w:pPr>
              <w:spacing w:after="0"/>
            </w:pPr>
            <w:r>
              <w:rPr>
                <w:sz w:val="17"/>
                <w:szCs w:val="17"/>
              </w:rPr>
              <w:t xml:space="preserve">Fenske W. et al. A Copeptin-Based Approach in the Diagnosis of Diabetes Insipidus. N Engl J Med 2018;379:428-439 (étude multicentrique conduite notamment à Bâle) — https://doi.org/10.1056/NEJMoa1803760 ; sensibilité et spécificité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L3-M38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11. Prise en charge › B- Moyens pharmacologiques</w:t>
            </w:r>
          </w:p>
        </w:tc>
        <w:tc>
          <w:tcPr>
            <w:tcW w:w="2600" w:type="dxa"/>
            <w:vAlign w:val="top"/>
          </w:tcPr>
          <w:p>
            <w:pPr>
              <w:spacing w:after="0"/>
            </w:pPr>
            <w:r>
              <w:rPr>
                <w:i/>
                <w:sz w:val="17"/>
                <w:szCs w:val="17"/>
              </w:rPr>
              <w:t xml:space="preserve">« est le seul antipsychotique ayant démontré une réduction significative des comportements de polydipsie compulsive »</w:t>
            </w:r>
          </w:p>
        </w:tc>
        <w:tc>
          <w:tcPr>
            <w:tcW w:w="3000" w:type="dxa"/>
            <w:vAlign w:val="top"/>
          </w:tcPr>
          <w:p>
            <w:pPr>
              <w:spacing w:after="40"/>
            </w:pPr>
            <w:r>
              <w:rPr>
                <w:sz w:val="17"/>
                <w:szCs w:val="17"/>
              </w:rPr>
              <w:t xml:space="preserve">L'affirmation d'exclusivité de la clozapine n'est rattachée à aucune source ; les données publiées reposent surtout sur des séries de cas.</w:t>
            </w:r>
          </w:p>
          <w:p>
            <w:pPr>
              <w:spacing w:after="0"/>
            </w:pPr>
            <w:r>
              <w:rPr>
                <w:b/>
                <w:color w:val="145A32"/>
                <w:sz w:val="17"/>
                <w:szCs w:val="17"/>
              </w:rPr>
              <w:t xml:space="preserve">→ Écrire : « La clozapine (Leponex®) a réduit la polydipsie dans des séries de cas chez des patients schizophrènes ; son usage relève du psychiatre, avec contrôle des neutrophiles selon l'information professionnelle. »</w:t>
            </w:r>
          </w:p>
        </w:tc>
        <w:tc>
          <w:tcPr>
            <w:tcW w:w="1800" w:type="dxa"/>
            <w:vAlign w:val="top"/>
          </w:tcPr>
          <w:p>
            <w:pPr>
              <w:spacing w:after="0"/>
            </w:pPr>
            <w:r>
              <w:rPr>
                <w:sz w:val="17"/>
                <w:szCs w:val="17"/>
              </w:rPr>
              <w:t xml:space="preserve">Donnée non trouvée dans les sources consultées ; information professionnelle Leponex® (swissmedicinfo.ch) pour la surveillance hématologique.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L3-M39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13. Points clés à retenir</w:t>
            </w:r>
          </w:p>
        </w:tc>
        <w:tc>
          <w:tcPr>
            <w:tcW w:w="2600" w:type="dxa"/>
            <w:vAlign w:val="top"/>
          </w:tcPr>
          <w:p>
            <w:pPr>
              <w:spacing w:after="0"/>
            </w:pPr>
            <w:r>
              <w:rPr>
                <w:i/>
                <w:sz w:val="17"/>
                <w:szCs w:val="17"/>
              </w:rPr>
              <w:t xml:space="preserve">« alors qu'une natrémie haute (&gt; 143 mmol/L) oriente vers un diabète insipide »</w:t>
            </w:r>
          </w:p>
        </w:tc>
        <w:tc>
          <w:tcPr>
            <w:tcW w:w="3000" w:type="dxa"/>
            <w:vAlign w:val="top"/>
          </w:tcPr>
          <w:p>
            <w:pPr>
              <w:spacing w:after="40"/>
            </w:pPr>
            <w:r>
              <w:rPr>
                <w:sz w:val="17"/>
                <w:szCs w:val="17"/>
              </w:rPr>
              <w:t xml:space="preserve">Les seuils de natrémie basale sont présentés comme discriminants alors que les valeurs se chevauchent entre polydipsie primaire et déficit en AVP ; seuls les tests de copeptine tranchent.</w:t>
            </w:r>
          </w:p>
          <w:p>
            <w:pPr>
              <w:spacing w:after="0"/>
            </w:pPr>
            <w:r>
              <w:rPr>
                <w:b/>
                <w:color w:val="145A32"/>
                <w:sz w:val="17"/>
                <w:szCs w:val="17"/>
              </w:rPr>
              <w:t xml:space="preserve">→ Écrire : « Une natrémie basale basse oriente vers une polydipsie primaire et une natrémie haute vers un trouble de l'AVP, mais les valeurs se chevauchent : le diagnostic repose sur la copeptine stimulée. »</w:t>
            </w:r>
          </w:p>
        </w:tc>
        <w:tc>
          <w:tcPr>
            <w:tcW w:w="1800" w:type="dxa"/>
            <w:vAlign w:val="top"/>
          </w:tcPr>
          <w:p>
            <w:pPr>
              <w:spacing w:after="0"/>
            </w:pPr>
            <w:r>
              <w:rPr>
                <w:sz w:val="17"/>
                <w:szCs w:val="17"/>
              </w:rPr>
              <w:t xml:space="preserve">Fenske W. et al. A Copeptin-Based Approach in the Diagnosis of Diabetes Insipidus. N Engl J Med 2018;379:428-439 (étude multicentrique conduite notamment à Bâle) — https://doi.org/10.1056/NEJMoa1803760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L3-M42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D3.3 › 11. Prise en charge › B- Moyens (atteintes systémiques)</w:t>
            </w:r>
          </w:p>
        </w:tc>
        <w:tc>
          <w:tcPr>
            <w:tcW w:w="2600" w:type="dxa"/>
            <w:vAlign w:val="top"/>
          </w:tcPr>
          <w:p>
            <w:pPr>
              <w:spacing w:after="0"/>
            </w:pPr>
            <w:r>
              <w:rPr>
                <w:i/>
                <w:sz w:val="17"/>
                <w:szCs w:val="17"/>
              </w:rPr>
              <w:t xml:space="preserve">« Rituximab (MabThera® 1000 mg IV J1 et J15) »</w:t>
            </w:r>
          </w:p>
        </w:tc>
        <w:tc>
          <w:tcPr>
            <w:tcW w:w="3000" w:type="dxa"/>
            <w:vAlign w:val="top"/>
          </w:tcPr>
          <w:p>
            <w:pPr>
              <w:spacing w:after="40"/>
            </w:pPr>
            <w:r>
              <w:rPr>
                <w:sz w:val="17"/>
                <w:szCs w:val="17"/>
              </w:rPr>
              <w:t xml:space="preserve">Le rituximab est présenté comme un traitement du Sjögren sans signaler qu'il est hors indication en Suisse et réservé aux atteintes systémiques sévères réfractaires.</w:t>
            </w:r>
          </w:p>
          <w:p>
            <w:pPr>
              <w:spacing w:after="0"/>
            </w:pPr>
            <w:r>
              <w:rPr>
                <w:b/>
                <w:color w:val="145A32"/>
                <w:sz w:val="17"/>
                <w:szCs w:val="17"/>
              </w:rPr>
              <w:t xml:space="preserve">→ Ajouter : « usage hors indication, réservé aux atteintes systémiques sévères ou réfractaires après avis spécialisé ».</w:t>
            </w:r>
          </w:p>
        </w:tc>
        <w:tc>
          <w:tcPr>
            <w:tcW w:w="1800" w:type="dxa"/>
            <w:vAlign w:val="top"/>
          </w:tcPr>
          <w:p>
            <w:pPr>
              <w:spacing w:after="0"/>
            </w:pPr>
            <w:r>
              <w:rPr>
                <w:sz w:val="17"/>
                <w:szCs w:val="17"/>
              </w:rPr>
              <w:t xml:space="preserve">Ramos-Casals M. et al. EULAR recommendations for the management of Sjögren's syndrome. Ann Rheum Dis 2020;79:3-18 ; information professionnelle MabThera® (indications autorisées), swissmedicinfo.ch.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L3-M43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D3.3 › 11. Prise en charge › D- Pronostic et Recherche 2026</w:t>
            </w:r>
          </w:p>
        </w:tc>
        <w:tc>
          <w:tcPr>
            <w:tcW w:w="2600" w:type="dxa"/>
            <w:vAlign w:val="top"/>
          </w:tcPr>
          <w:p>
            <w:pPr>
              <w:spacing w:after="0"/>
            </w:pPr>
            <w:r>
              <w:rPr>
                <w:i/>
                <w:sz w:val="17"/>
                <w:szCs w:val="17"/>
              </w:rPr>
              <w:t xml:space="preserve">« mais les essais de phase III valident de nouvelles biothérapies »</w:t>
            </w:r>
          </w:p>
        </w:tc>
        <w:tc>
          <w:tcPr>
            <w:tcW w:w="3000" w:type="dxa"/>
            <w:vAlign w:val="top"/>
          </w:tcPr>
          <w:p>
            <w:pPr>
              <w:spacing w:after="40"/>
            </w:pPr>
            <w:r>
              <w:rPr>
                <w:sz w:val="17"/>
                <w:szCs w:val="17"/>
              </w:rPr>
              <w:t xml:space="preserve">Le verbe « valident » surestime le stade de recherche et aucun numéro NCT n'est donné pour l'ianalumab, le dazodalibep et le nipocalimab.</w:t>
            </w:r>
          </w:p>
          <w:p>
            <w:pPr>
              <w:spacing w:after="0"/>
            </w:pPr>
            <w:r>
              <w:rPr>
                <w:b/>
                <w:color w:val="145A32"/>
                <w:sz w:val="17"/>
                <w:szCs w:val="17"/>
              </w:rPr>
              <w:t xml:space="preserve">→ Écrire « des essais de phase III évaluent » et donner le numéro NCT et le résultat publié de chaque essai, ou « donnée non trouvée dans les sources consultées ».</w:t>
            </w:r>
          </w:p>
        </w:tc>
        <w:tc>
          <w:tcPr>
            <w:tcW w:w="1800" w:type="dxa"/>
            <w:vAlign w:val="top"/>
          </w:tcPr>
          <w:p>
            <w:pPr>
              <w:spacing w:after="0"/>
            </w:pPr>
            <w:r>
              <w:rPr>
                <w:sz w:val="17"/>
                <w:szCs w:val="17"/>
              </w:rPr>
              <w:t xml:space="preserve">PROMPT V6 du projet (PROMPT_V6.md), sections citées : § 5 point 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L3-M46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D3.7 › 11. Prise en charge › B- Moyens › 2. Calcitonine</w:t>
            </w:r>
          </w:p>
        </w:tc>
        <w:tc>
          <w:tcPr>
            <w:tcW w:w="2600" w:type="dxa"/>
            <w:vAlign w:val="top"/>
          </w:tcPr>
          <w:p>
            <w:pPr>
              <w:spacing w:after="0"/>
            </w:pPr>
            <w:r>
              <w:rPr>
                <w:i/>
                <w:sz w:val="17"/>
                <w:szCs w:val="17"/>
              </w:rPr>
              <w:t xml:space="preserve">« 4 UI/kg SC ou IM toutes les 12 heures pendant 48 heures maximum »</w:t>
            </w:r>
          </w:p>
        </w:tc>
        <w:tc>
          <w:tcPr>
            <w:tcW w:w="3000" w:type="dxa"/>
            <w:vAlign w:val="top"/>
          </w:tcPr>
          <w:p>
            <w:pPr>
              <w:spacing w:after="40"/>
            </w:pPr>
            <w:r>
              <w:rPr>
                <w:sz w:val="17"/>
                <w:szCs w:val="17"/>
              </w:rPr>
              <w:t xml:space="preserve">Cette posologie reproduit la notice américaine ; ni la disponibilité suisse de Miacalcic® injectable ni sa posologie suisse ne sont vérifiées.</w:t>
            </w:r>
          </w:p>
          <w:p>
            <w:pPr>
              <w:spacing w:after="0"/>
            </w:pPr>
            <w:r>
              <w:rPr>
                <w:b/>
                <w:color w:val="145A32"/>
                <w:sz w:val="17"/>
                <w:szCs w:val="17"/>
              </w:rPr>
              <w:t xml:space="preserve">→ Vérifier sur swissmedicinfo.ch l'autorisation et la posologie de la calcitonine injectable ; sinon signaler le produit comme non disponible en Suisse.</w:t>
            </w:r>
          </w:p>
        </w:tc>
        <w:tc>
          <w:tcPr>
            <w:tcW w:w="1800" w:type="dxa"/>
            <w:vAlign w:val="top"/>
          </w:tcPr>
          <w:p>
            <w:pPr>
              <w:spacing w:after="0"/>
            </w:pPr>
            <w:r>
              <w:rPr>
                <w:sz w:val="17"/>
                <w:szCs w:val="17"/>
              </w:rPr>
              <w:t xml:space="preserve">Donnée non trouvée dans les sources consultées ; PROMPT V6 du projet (PROMPT_V6.md), sections citées :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L3-M48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D3.6 › 11. Prise en charge › D- Pronostic et Recherche 2026</w:t>
            </w:r>
          </w:p>
        </w:tc>
        <w:tc>
          <w:tcPr>
            <w:tcW w:w="2600" w:type="dxa"/>
            <w:vAlign w:val="top"/>
          </w:tcPr>
          <w:p>
            <w:pPr>
              <w:spacing w:after="0"/>
            </w:pPr>
            <w:r>
              <w:rPr>
                <w:i/>
                <w:sz w:val="17"/>
                <w:szCs w:val="17"/>
              </w:rPr>
              <w:t xml:space="preserve">« L'optimisation des 4 piliers de l'HFrEF réduit la mortalité de plus de 60 %. »</w:t>
            </w:r>
          </w:p>
        </w:tc>
        <w:tc>
          <w:tcPr>
            <w:tcW w:w="3000" w:type="dxa"/>
            <w:vAlign w:val="top"/>
          </w:tcPr>
          <w:p>
            <w:pPr>
              <w:spacing w:after="40"/>
            </w:pPr>
            <w:r>
              <w:rPr>
                <w:sz w:val="17"/>
                <w:szCs w:val="17"/>
              </w:rPr>
              <w:t xml:space="preserve">L'analyse de référence estime une baisse de la mortalité toutes causes d'environ 47 % (HR 0,53) ; la réduction d'environ 62 % concerne le critère composite.</w:t>
            </w:r>
          </w:p>
          <w:p>
            <w:pPr>
              <w:spacing w:after="0"/>
            </w:pPr>
            <w:r>
              <w:rPr>
                <w:b/>
                <w:color w:val="145A32"/>
                <w:sz w:val="17"/>
                <w:szCs w:val="17"/>
              </w:rPr>
              <w:t xml:space="preserve">→ Écrire : « La quadrithérapie réduirait la mortalité toutes causes d'environ 47 % par rapport au traitement conventionnel (estimation indirecte). »</w:t>
            </w:r>
          </w:p>
        </w:tc>
        <w:tc>
          <w:tcPr>
            <w:tcW w:w="1800" w:type="dxa"/>
            <w:vAlign w:val="top"/>
          </w:tcPr>
          <w:p>
            <w:pPr>
              <w:spacing w:after="0"/>
            </w:pPr>
            <w:r>
              <w:rPr>
                <w:sz w:val="17"/>
                <w:szCs w:val="17"/>
              </w:rPr>
              <w:t xml:space="preserve">Vaduganathan M. et al. Estimating lifetime benefits of comprehensive disease-modifying pharmacological therapies in HFrEF. Lancet 2020;396:121-128.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L3-M49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D3.6 › 11. Prise en charge › B- Moyens non médicamenteux</w:t>
            </w:r>
          </w:p>
        </w:tc>
        <w:tc>
          <w:tcPr>
            <w:tcW w:w="2600" w:type="dxa"/>
            <w:vAlign w:val="top"/>
          </w:tcPr>
          <w:p>
            <w:pPr>
              <w:spacing w:after="0"/>
            </w:pPr>
            <w:r>
              <w:rPr>
                <w:i/>
                <w:sz w:val="17"/>
                <w:szCs w:val="17"/>
              </w:rPr>
              <w:t xml:space="preserve">« &lt; 5 g/j dans la cirrhose ascitique »</w:t>
            </w:r>
          </w:p>
        </w:tc>
        <w:tc>
          <w:tcPr>
            <w:tcW w:w="3000" w:type="dxa"/>
            <w:vAlign w:val="top"/>
          </w:tcPr>
          <w:p>
            <w:pPr>
              <w:spacing w:after="40"/>
            </w:pPr>
            <w:r>
              <w:rPr>
                <w:sz w:val="17"/>
                <w:szCs w:val="17"/>
              </w:rPr>
              <w:t xml:space="preserve">La recommandation européenne prévoit une restriction sodée modérée de 80 à 120 mmol/j (4,6 à 6,9 g de sel) et met en garde contre une restriction plus stricte, source de dénutrition.</w:t>
            </w:r>
          </w:p>
          <w:p>
            <w:pPr>
              <w:spacing w:after="0"/>
            </w:pPr>
            <w:r>
              <w:rPr>
                <w:b/>
                <w:color w:val="145A32"/>
                <w:sz w:val="17"/>
                <w:szCs w:val="17"/>
              </w:rPr>
              <w:t xml:space="preserve">→ Écrire « restriction sodée modérée de 80 à 120 mmol de sodium par jour (4,6 à 6,9 g de sel) dans la cirrhose ascitique ».</w:t>
            </w:r>
          </w:p>
        </w:tc>
        <w:tc>
          <w:tcPr>
            <w:tcW w:w="1800" w:type="dxa"/>
            <w:vAlign w:val="top"/>
          </w:tcPr>
          <w:p>
            <w:pPr>
              <w:spacing w:after="0"/>
            </w:pPr>
            <w:r>
              <w:rPr>
                <w:sz w:val="17"/>
                <w:szCs w:val="17"/>
              </w:rPr>
              <w:t xml:space="preserve">EASL Clinical Practice Guidelines for the management of patients with decompensated cirrhosis. J Hepatol 2018;69:406-460.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L3-M50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D3.6 › 14. Pièges et questions fréquentes</w:t>
            </w:r>
          </w:p>
        </w:tc>
        <w:tc>
          <w:tcPr>
            <w:tcW w:w="2600" w:type="dxa"/>
            <w:vAlign w:val="top"/>
          </w:tcPr>
          <w:p>
            <w:pPr>
              <w:spacing w:after="0"/>
            </w:pPr>
            <w:r>
              <w:rPr>
                <w:i/>
                <w:sz w:val="17"/>
                <w:szCs w:val="17"/>
              </w:rPr>
              <w:t xml:space="preserve">« Il est formellement contre-indiqué d'utiliser l'aquarétique Tolvaptan (Samsca®) »</w:t>
            </w:r>
          </w:p>
        </w:tc>
        <w:tc>
          <w:tcPr>
            <w:tcW w:w="3000" w:type="dxa"/>
            <w:vAlign w:val="top"/>
          </w:tcPr>
          <w:p>
            <w:pPr>
              <w:spacing w:after="40"/>
            </w:pPr>
            <w:r>
              <w:rPr>
                <w:sz w:val="17"/>
                <w:szCs w:val="17"/>
              </w:rPr>
              <w:t xml:space="preserve">La formulation « formellement contre-indiqué » reproduit la mise en garde américaine ; la recommandation européenne admet un usage prudent, hospitalier et de courte durée dans l'hyponatrémie hypervolémique sévère.</w:t>
            </w:r>
          </w:p>
          <w:p>
            <w:pPr>
              <w:spacing w:after="0"/>
            </w:pPr>
            <w:r>
              <w:rPr>
                <w:b/>
                <w:color w:val="145A32"/>
                <w:sz w:val="17"/>
                <w:szCs w:val="17"/>
              </w:rPr>
              <w:t xml:space="preserve">→ Écrire : « Le tolvaptan n'est utilisé dans la cirrhose qu'exceptionnellement, à l'hôpital et brièvement, en raison du risque hépatique ; il ne corrige pas le pronostic. »</w:t>
            </w:r>
          </w:p>
        </w:tc>
        <w:tc>
          <w:tcPr>
            <w:tcW w:w="1800" w:type="dxa"/>
            <w:vAlign w:val="top"/>
          </w:tcPr>
          <w:p>
            <w:pPr>
              <w:spacing w:after="0"/>
            </w:pPr>
            <w:r>
              <w:rPr>
                <w:sz w:val="17"/>
                <w:szCs w:val="17"/>
              </w:rPr>
              <w:t xml:space="preserve">EASL Clinical Practice Guidelines for decompensated cirrhosis. J Hepatol 2018;69:406-460 ; information professionnelle Samsca®/Jinarc® (mises en garde hépatiques).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L3-M51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D3.7 › 13. Points clés à retenir</w:t>
            </w:r>
          </w:p>
        </w:tc>
        <w:tc>
          <w:tcPr>
            <w:tcW w:w="2600" w:type="dxa"/>
            <w:vAlign w:val="top"/>
          </w:tcPr>
          <w:p>
            <w:pPr>
              <w:spacing w:after="0"/>
            </w:pPr>
            <w:r>
              <w:rPr>
                <w:i/>
                <w:sz w:val="17"/>
                <w:szCs w:val="17"/>
              </w:rPr>
              <w:t xml:space="preserve">« face à une hypercalcémie signe une Hyperparathyroïdie primaire. »</w:t>
            </w:r>
          </w:p>
        </w:tc>
        <w:tc>
          <w:tcPr>
            <w:tcW w:w="3000" w:type="dxa"/>
            <w:vAlign w:val="top"/>
          </w:tcPr>
          <w:p>
            <w:pPr>
              <w:spacing w:after="40"/>
            </w:pPr>
            <w:r>
              <w:rPr>
                <w:sz w:val="17"/>
                <w:szCs w:val="17"/>
              </w:rPr>
              <w:t xml:space="preserve">La règle omet l'hypercalcémie hypocalciurique familiale et l'hypercalcémie sous lithium, qui donnent aussi une PTH non freinée.</w:t>
            </w:r>
          </w:p>
          <w:p>
            <w:pPr>
              <w:spacing w:after="0"/>
            </w:pPr>
            <w:r>
              <w:rPr>
                <w:b/>
                <w:color w:val="145A32"/>
                <w:sz w:val="17"/>
                <w:szCs w:val="17"/>
              </w:rPr>
              <w:t xml:space="preserve">→ Ajouter : « …oriente vers une cause PTH-dépendante : hyperparathyroïdie primaire, hypercalcémie hypocalciurique familiale (rapport de clairance Ca/créatinine &lt; 0,01) ou hypercalcémie sous lithium. »</w:t>
            </w:r>
          </w:p>
        </w:tc>
        <w:tc>
          <w:tcPr>
            <w:tcW w:w="1800" w:type="dxa"/>
            <w:vAlign w:val="top"/>
          </w:tcPr>
          <w:p>
            <w:pPr>
              <w:spacing w:after="0"/>
            </w:pPr>
            <w:r>
              <w:rPr>
                <w:sz w:val="17"/>
                <w:szCs w:val="17"/>
              </w:rPr>
              <w:t xml:space="preserve">Bilezikian J.P. et al. Evaluation and Management of Primary Hyperparathyroidism: Summary Statement of the Fifth International Workshop. J Bone Miner Res 2022;37:2293-2314.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L3-M52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D3.6 › 11. Prise en charge › B- Moyens pharmacologiques › 4. Inhibiteur SGLT2</w:t>
            </w:r>
          </w:p>
        </w:tc>
        <w:tc>
          <w:tcPr>
            <w:tcW w:w="2600" w:type="dxa"/>
            <w:vAlign w:val="top"/>
          </w:tcPr>
          <w:p>
            <w:pPr>
              <w:spacing w:after="0"/>
            </w:pPr>
            <w:r>
              <w:rPr>
                <w:i/>
                <w:sz w:val="17"/>
                <w:szCs w:val="17"/>
              </w:rPr>
              <w:t xml:space="preserve">« corrige l'hyponatrémie de l'IC »</w:t>
            </w:r>
          </w:p>
        </w:tc>
        <w:tc>
          <w:tcPr>
            <w:tcW w:w="3000" w:type="dxa"/>
            <w:vAlign w:val="top"/>
          </w:tcPr>
          <w:p>
            <w:pPr>
              <w:spacing w:after="40"/>
            </w:pPr>
            <w:r>
              <w:rPr>
                <w:sz w:val="17"/>
                <w:szCs w:val="17"/>
              </w:rPr>
              <w:t xml:space="preserve">L'effet correcteur des gliflozines sur l'hyponatrémie de l'insuffisance cardiaque est affirmé sans source et n'est pas une indication reconnue.</w:t>
            </w:r>
          </w:p>
          <w:p>
            <w:pPr>
              <w:spacing w:after="0"/>
            </w:pPr>
            <w:r>
              <w:rPr>
                <w:b/>
                <w:color w:val="145A32"/>
                <w:sz w:val="17"/>
                <w:szCs w:val="17"/>
              </w:rPr>
              <w:t xml:space="preserve">→ Supprimer l'affirmation ou citer une étude lue en précisant son niveau de preuve.</w:t>
            </w:r>
          </w:p>
        </w:tc>
        <w:tc>
          <w:tcPr>
            <w:tcW w:w="1800" w:type="dxa"/>
            <w:vAlign w:val="top"/>
          </w:tcPr>
          <w:p>
            <w:pPr>
              <w:spacing w:after="0"/>
            </w:pPr>
            <w:r>
              <w:rPr>
                <w:sz w:val="17"/>
                <w:szCs w:val="17"/>
              </w:rPr>
              <w:t xml:space="preserve">Donnée non trouvée dans les sources consultées ; ESC Heart Failure Guidelines 2021/2023 (indication des gliflozines : morbi-mortalité).</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L3-M53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D3.7 › 11. Prise en charge › B- Moyens › insuffisance rénale sévère</w:t>
            </w:r>
          </w:p>
        </w:tc>
        <w:tc>
          <w:tcPr>
            <w:tcW w:w="2600" w:type="dxa"/>
            <w:vAlign w:val="top"/>
          </w:tcPr>
          <w:p>
            <w:pPr>
              <w:spacing w:after="0"/>
            </w:pPr>
            <w:r>
              <w:rPr>
                <w:i/>
                <w:sz w:val="17"/>
                <w:szCs w:val="17"/>
              </w:rPr>
              <w:t xml:space="preserve">« où les bisphosphonates sont contre-indiqués car néphrotoxiques »</w:t>
            </w:r>
          </w:p>
        </w:tc>
        <w:tc>
          <w:tcPr>
            <w:tcW w:w="3000" w:type="dxa"/>
            <w:vAlign w:val="top"/>
          </w:tcPr>
          <w:p>
            <w:pPr>
              <w:spacing w:after="40"/>
            </w:pPr>
            <w:r>
              <w:rPr>
                <w:sz w:val="17"/>
                <w:szCs w:val="17"/>
              </w:rPr>
              <w:t xml:space="preserve">La contre-indication sous 35 mL/min appartient à l'acide zolédronique 5 mg de l'ostéoporose ; pour l'hypercalcémie maligne, l'information professionnelle de Zometa® demande une évaluation du rapport bénéfice-risque et une adaptation.</w:t>
            </w:r>
          </w:p>
          <w:p>
            <w:pPr>
              <w:spacing w:after="0"/>
            </w:pPr>
            <w:r>
              <w:rPr>
                <w:b/>
                <w:color w:val="145A32"/>
                <w:sz w:val="17"/>
                <w:szCs w:val="17"/>
              </w:rPr>
              <w:t xml:space="preserve">→ Écrire : « En cas d'insuffisance rénale sévère, le médecin évalue le rapport bénéfice-risque de l'acide zolédronique selon l'information professionnelle de Zometa® et surveille la créatinine. »</w:t>
            </w:r>
          </w:p>
        </w:tc>
        <w:tc>
          <w:tcPr>
            <w:tcW w:w="1800" w:type="dxa"/>
            <w:vAlign w:val="top"/>
          </w:tcPr>
          <w:p>
            <w:pPr>
              <w:spacing w:after="0"/>
            </w:pPr>
            <w:r>
              <w:rPr>
                <w:sz w:val="17"/>
                <w:szCs w:val="17"/>
              </w:rPr>
              <w:t xml:space="preserve">Informations professionnelles Zometa® et Aclasta® (acide zolédronique), swissmedicinfo.ch.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L3-M57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D3.9 › 11. Prise en charge › D- Pronostic et Recherche 2026</w:t>
            </w:r>
          </w:p>
        </w:tc>
        <w:tc>
          <w:tcPr>
            <w:tcW w:w="2600" w:type="dxa"/>
            <w:vAlign w:val="top"/>
          </w:tcPr>
          <w:p>
            <w:pPr>
              <w:spacing w:after="0"/>
            </w:pPr>
            <w:r>
              <w:rPr>
                <w:i/>
                <w:sz w:val="17"/>
                <w:szCs w:val="17"/>
              </w:rPr>
              <w:t xml:space="preserve">« En 2026, le groupe de recherche suisse de l'Hôpital Universitaire de Bâle (Prof. M. Christ-Crain) a démontré »</w:t>
            </w:r>
          </w:p>
        </w:tc>
        <w:tc>
          <w:tcPr>
            <w:tcW w:w="3000" w:type="dxa"/>
            <w:vAlign w:val="top"/>
          </w:tcPr>
          <w:p>
            <w:pPr>
              <w:spacing w:after="40"/>
            </w:pPr>
            <w:r>
              <w:rPr>
                <w:sz w:val="17"/>
                <w:szCs w:val="17"/>
              </w:rPr>
              <w:t xml:space="preserve">La démonstration du déficit en ocytocine date de 2023 (Lancet Diabetes Endocrinol) et l'essai de substitution par ocytocine n'était alors qu'en projet ; la date et l'état des essais sont faux.</w:t>
            </w:r>
          </w:p>
          <w:p>
            <w:pPr>
              <w:spacing w:after="0"/>
            </w:pPr>
            <w:r>
              <w:rPr>
                <w:b/>
                <w:color w:val="145A32"/>
                <w:sz w:val="17"/>
                <w:szCs w:val="17"/>
              </w:rPr>
              <w:t xml:space="preserve">→ Écrire : « En 2023, l'équipe bâloise a montré, par un test de provocation à la MDMA, un déficit en ocytocine chez les patients avec déficit en AVP ; un essai de substitution par ocytocine était alors planifié (numéro NCT à vérifier). »</w:t>
            </w:r>
          </w:p>
        </w:tc>
        <w:tc>
          <w:tcPr>
            <w:tcW w:w="1800" w:type="dxa"/>
            <w:vAlign w:val="top"/>
          </w:tcPr>
          <w:p>
            <w:pPr>
              <w:spacing w:after="0"/>
            </w:pPr>
            <w:r>
              <w:rPr>
                <w:sz w:val="17"/>
                <w:szCs w:val="17"/>
              </w:rPr>
              <w:t xml:space="preserve">Atila C. et al. Oxytocin in response to MDMA provocation test in patients with arginine vasopressin deficiency. Lancet Diabetes Endocrinol 2023 (doi 10.1016/S2213-8587(23)00120-1) — https://unibas.ch/en/News-Events/News/Uni-Research/Clinically-relevant-deficiency-of-oxytocin.html</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L3-M58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D3.8 › 11. Prise en charge › D- Pronostic et Recherche 2026</w:t>
            </w:r>
          </w:p>
        </w:tc>
        <w:tc>
          <w:tcPr>
            <w:tcW w:w="2600" w:type="dxa"/>
            <w:vAlign w:val="top"/>
          </w:tcPr>
          <w:p>
            <w:pPr>
              <w:spacing w:after="0"/>
            </w:pPr>
            <w:r>
              <w:rPr>
                <w:i/>
                <w:sz w:val="17"/>
                <w:szCs w:val="17"/>
              </w:rPr>
              <w:t xml:space="preserve">« l'arsenal néphroprotecteur 2026 combine les 4 piliers »</w:t>
            </w:r>
          </w:p>
        </w:tc>
        <w:tc>
          <w:tcPr>
            <w:tcW w:w="3000" w:type="dxa"/>
            <w:vAlign w:val="top"/>
          </w:tcPr>
          <w:p>
            <w:pPr>
              <w:spacing w:after="40"/>
            </w:pPr>
            <w:r>
              <w:rPr>
                <w:sz w:val="17"/>
                <w:szCs w:val="17"/>
              </w:rPr>
              <w:t xml:space="preserve">La finérénone et le sémaglutide sont présentés comme des piliers de toute MRC, alors que leurs essais (FIDELIO/FIGARO, FLOW) portent sur la MRC du diabète de type 2.</w:t>
            </w:r>
          </w:p>
          <w:p>
            <w:pPr>
              <w:spacing w:after="0"/>
            </w:pPr>
            <w:r>
              <w:rPr>
                <w:b/>
                <w:color w:val="145A32"/>
                <w:sz w:val="17"/>
                <w:szCs w:val="17"/>
              </w:rPr>
              <w:t xml:space="preserve">→ Préciser : « Chez le patient avec diabète de type 2 et MRC albuminurique, KDIGO 2024 ajoute la finérénone et un agoniste du GLP-1 (essai FLOW) au bloqueur du SRAA et à la gliflozine. »</w:t>
            </w:r>
          </w:p>
        </w:tc>
        <w:tc>
          <w:tcPr>
            <w:tcW w:w="1800" w:type="dxa"/>
            <w:vAlign w:val="top"/>
          </w:tcPr>
          <w:p>
            <w:pPr>
              <w:spacing w:after="0"/>
            </w:pPr>
            <w:r>
              <w:rPr>
                <w:sz w:val="17"/>
                <w:szCs w:val="17"/>
              </w:rPr>
              <w:t xml:space="preserve">KDIGO 2024 Clinical Practice Guideline for CKD — https://kdigo.org/wp-content/uploads/2024/03/KDIGO-2024-CKD-Guideline.pdf ; Perkovic V. et al. (FLOW), N Engl J Med 2024;391:109-121.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L3-M59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D3.9 › 9. Fenêtre 9.1 › tableau › ligne 1 (hypernatrémie spontanée)</w:t>
            </w:r>
          </w:p>
        </w:tc>
        <w:tc>
          <w:tcPr>
            <w:tcW w:w="2600" w:type="dxa"/>
            <w:vAlign w:val="top"/>
          </w:tcPr>
          <w:p>
            <w:pPr>
              <w:spacing w:after="0"/>
            </w:pPr>
            <w:r>
              <w:rPr>
                <w:i/>
                <w:sz w:val="17"/>
                <w:szCs w:val="17"/>
              </w:rPr>
              <w:t xml:space="preserve">« Copeptine &lt; 2,6 pmol/L »</w:t>
            </w:r>
          </w:p>
        </w:tc>
        <w:tc>
          <w:tcPr>
            <w:tcW w:w="3000" w:type="dxa"/>
            <w:vAlign w:val="top"/>
          </w:tcPr>
          <w:p>
            <w:pPr>
              <w:spacing w:after="40"/>
            </w:pPr>
            <w:r>
              <w:rPr>
                <w:sz w:val="17"/>
                <w:szCs w:val="17"/>
              </w:rPr>
              <w:t xml:space="preserve">Les seuils 2,6 et 2,6–4,9 pmol/L pour distinguer déficit complet et partiel, avec « spécificité 100 % », ne sont rattachés à aucune source lue.</w:t>
            </w:r>
          </w:p>
          <w:p>
            <w:pPr>
              <w:spacing w:after="0"/>
            </w:pPr>
            <w:r>
              <w:rPr>
                <w:b/>
                <w:color w:val="145A32"/>
                <w:sz w:val="17"/>
                <w:szCs w:val="17"/>
              </w:rPr>
              <w:t xml:space="preserve">→ Citer la source primaire de ces seuils avec ses conditions de prélèvement, ou les retirer et écrire « donnée non trouvée dans les sources consultées ».</w:t>
            </w:r>
          </w:p>
        </w:tc>
        <w:tc>
          <w:tcPr>
            <w:tcW w:w="1800" w:type="dxa"/>
            <w:vAlign w:val="top"/>
          </w:tcPr>
          <w:p>
            <w:pPr>
              <w:spacing w:after="0"/>
            </w:pPr>
            <w:r>
              <w:rPr>
                <w:sz w:val="17"/>
                <w:szCs w:val="17"/>
              </w:rPr>
              <w:t xml:space="preserve">Donnée non trouvée dans les sources consultées ; Fenske W. et al. A Copeptin-Based Approach in the Diagnosis of Diabetes Insipidus. N Engl J Med 2018;379:428-439 (étude multicentrique conduite notamment à Bâle) — https://doi.org/10.1056/NEJMoa1803760 (seuil validé : 4,9 pmol/L après NaCl 3 %).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L3-M60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D3.6 › 9. Examens complémentaires (9.c et 9.d absents) ; même absence en D3.3, D3.4, D3.5, D3.7, D3.8, D3.9 et D3.10 des Parties 2 à 4</w:t>
            </w:r>
          </w:p>
        </w:tc>
        <w:tc>
          <w:tcPr>
            <w:tcW w:w="2600" w:type="dxa"/>
            <w:vAlign w:val="top"/>
          </w:tcPr>
          <w:p>
            <w:pPr>
              <w:spacing w:after="0"/>
            </w:pPr>
            <w:r>
              <w:rPr>
                <w:i/>
                <w:sz w:val="17"/>
                <w:szCs w:val="17"/>
              </w:rPr>
              <w:t xml:space="preserve">« Bilan hépatique complet (Bilirubine totale, Albumine, INR permettant de calculer les scores de Child-Pugh et MELD-Na) »</w:t>
            </w:r>
          </w:p>
        </w:tc>
        <w:tc>
          <w:tcPr>
            <w:tcW w:w="3000" w:type="dxa"/>
            <w:vAlign w:val="top"/>
          </w:tcPr>
          <w:p>
            <w:pPr>
              <w:spacing w:after="40"/>
            </w:pPr>
            <w:r>
              <w:rPr>
                <w:sz w:val="17"/>
                <w:szCs w:val="17"/>
              </w:rPr>
              <w:t xml:space="preserve">Les points 9 des Parties V5 omettent souvent les alternatives (9.c : grossesse, enfant, DFGe &lt; 30 mL/min, allergie au contraste, IRM impossible) et parfois la 2e intention (9.d).</w:t>
            </w:r>
          </w:p>
          <w:p>
            <w:pPr>
              <w:spacing w:after="0"/>
            </w:pPr>
            <w:r>
              <w:rPr>
                <w:b/>
                <w:color w:val="145A32"/>
                <w:sz w:val="17"/>
                <w:szCs w:val="17"/>
              </w:rPr>
              <w:t xml:space="preserve">→ Ajouter dans chaque monographie les sous-parties 9.c et 9.d avec le critère de passage et la cible recherchée.</w:t>
            </w:r>
          </w:p>
        </w:tc>
        <w:tc>
          <w:tcPr>
            <w:tcW w:w="1800" w:type="dxa"/>
            <w:vAlign w:val="top"/>
          </w:tcPr>
          <w:p>
            <w:pPr>
              <w:spacing w:after="0"/>
            </w:pPr>
            <w:r>
              <w:rPr>
                <w:sz w:val="17"/>
                <w:szCs w:val="17"/>
              </w:rPr>
              <w:t xml:space="preserve">PROMPT V6 du projet (PROMPT_V6.md), sections citées : § 5 point 9.</w:t>
            </w:r>
          </w:p>
        </w:tc>
      </w:tr>
    </w:tbl>
    <w:p>
      <w:pPr>
        <w:spacing w:after="120"/>
      </w:pPr>
    </w:p>
    <w:p>
      <w:pPr>
        <w:pStyle w:val="Titre1"/>
        <w:keepNext/>
      </w:pPr>
      <w:r>
        <w:rPr>
          <w:b/>
          <w:color w:val="1F618D"/>
          <w:sz w:val="26"/>
          <w:szCs w:val="26"/>
        </w:rPr>
        <w:t xml:space="preserve">Léger — 13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1F618D"/>
            <w:vAlign w:val="top"/>
          </w:tcPr>
          <w:p>
            <w:pPr>
              <w:spacing w:after="0"/>
            </w:pPr>
            <w:r>
              <w:rPr>
                <w:b/>
                <w:color w:val="FFFFFF"/>
                <w:sz w:val="17"/>
                <w:szCs w:val="17"/>
              </w:rPr>
              <w:t xml:space="preserve">Fait</w:t>
            </w:r>
          </w:p>
        </w:tc>
        <w:tc>
          <w:tcPr>
            <w:tcW w:w="900" w:type="dxa"/>
            <w:shd w:val="clear" w:color="auto" w:fill="1F618D"/>
            <w:vAlign w:val="top"/>
          </w:tcPr>
          <w:p>
            <w:pPr>
              <w:spacing w:after="0"/>
            </w:pPr>
            <w:r>
              <w:rPr>
                <w:b/>
                <w:color w:val="FFFFFF"/>
                <w:sz w:val="17"/>
                <w:szCs w:val="17"/>
              </w:rPr>
              <w:t xml:space="preserve">N°</w:t>
            </w:r>
          </w:p>
        </w:tc>
        <w:tc>
          <w:tcPr>
            <w:tcW w:w="1250" w:type="dxa"/>
            <w:shd w:val="clear" w:color="auto" w:fill="1F618D"/>
            <w:vAlign w:val="top"/>
          </w:tcPr>
          <w:p>
            <w:pPr>
              <w:spacing w:after="0"/>
            </w:pPr>
            <w:r>
              <w:rPr>
                <w:b/>
                <w:color w:val="FFFFFF"/>
                <w:sz w:val="17"/>
                <w:szCs w:val="17"/>
              </w:rPr>
              <w:t xml:space="preserve">Domaine</w:t>
            </w:r>
          </w:p>
        </w:tc>
        <w:tc>
          <w:tcPr>
            <w:tcW w:w="1900" w:type="dxa"/>
            <w:shd w:val="clear" w:color="auto" w:fill="1F618D"/>
            <w:vAlign w:val="top"/>
          </w:tcPr>
          <w:p>
            <w:pPr>
              <w:spacing w:after="0"/>
            </w:pPr>
            <w:r>
              <w:rPr>
                <w:b/>
                <w:color w:val="FFFFFF"/>
                <w:sz w:val="17"/>
                <w:szCs w:val="17"/>
              </w:rPr>
              <w:t xml:space="preserve">Fichier</w:t>
            </w:r>
          </w:p>
        </w:tc>
        <w:tc>
          <w:tcPr>
            <w:tcW w:w="2350" w:type="dxa"/>
            <w:shd w:val="clear" w:color="auto" w:fill="1F618D"/>
            <w:vAlign w:val="top"/>
          </w:tcPr>
          <w:p>
            <w:pPr>
              <w:spacing w:after="0"/>
            </w:pPr>
            <w:r>
              <w:rPr>
                <w:b/>
                <w:color w:val="FFFFFF"/>
                <w:sz w:val="17"/>
                <w:szCs w:val="17"/>
              </w:rPr>
              <w:t xml:space="preserve">Emplacement</w:t>
            </w:r>
          </w:p>
        </w:tc>
        <w:tc>
          <w:tcPr>
            <w:tcW w:w="2600" w:type="dxa"/>
            <w:shd w:val="clear" w:color="auto" w:fill="1F618D"/>
            <w:vAlign w:val="top"/>
          </w:tcPr>
          <w:p>
            <w:pPr>
              <w:spacing w:after="0"/>
            </w:pPr>
            <w:r>
              <w:rPr>
                <w:b/>
                <w:color w:val="FFFFFF"/>
                <w:sz w:val="17"/>
                <w:szCs w:val="17"/>
              </w:rPr>
              <w:t xml:space="preserve">Extrait exact</w:t>
            </w:r>
          </w:p>
        </w:tc>
        <w:tc>
          <w:tcPr>
            <w:tcW w:w="3000" w:type="dxa"/>
            <w:shd w:val="clear" w:color="auto" w:fill="1F618D"/>
            <w:vAlign w:val="top"/>
          </w:tcPr>
          <w:p>
            <w:pPr>
              <w:spacing w:after="0"/>
            </w:pPr>
            <w:r>
              <w:rPr>
                <w:b/>
                <w:color w:val="FFFFFF"/>
                <w:sz w:val="17"/>
                <w:szCs w:val="17"/>
              </w:rPr>
              <w:t xml:space="preserve">Problème → correction</w:t>
            </w:r>
          </w:p>
        </w:tc>
        <w:tc>
          <w:tcPr>
            <w:tcW w:w="1800" w:type="dxa"/>
            <w:shd w:val="clear" w:color="auto" w:fill="1F618D"/>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L3-L09</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En-tête › bandeau de titre</w:t>
            </w:r>
          </w:p>
        </w:tc>
        <w:tc>
          <w:tcPr>
            <w:tcW w:w="2600" w:type="dxa"/>
            <w:vAlign w:val="top"/>
          </w:tcPr>
          <w:p>
            <w:pPr>
              <w:spacing w:after="0"/>
            </w:pPr>
            <w:r>
              <w:rPr>
                <w:i/>
                <w:sz w:val="17"/>
                <w:szCs w:val="17"/>
              </w:rPr>
              <w:t xml:space="preserve">« LOT 3 · V6 · ENRICHI ++++++++ »</w:t>
            </w:r>
          </w:p>
        </w:tc>
        <w:tc>
          <w:tcPr>
            <w:tcW w:w="3000" w:type="dxa"/>
            <w:vAlign w:val="top"/>
          </w:tcPr>
          <w:p>
            <w:pPr>
              <w:spacing w:after="40"/>
            </w:pPr>
            <w:r>
              <w:rPr>
                <w:sz w:val="17"/>
                <w:szCs w:val="17"/>
              </w:rPr>
              <w:t xml:space="preserve">Le bandeau « ENRICHI ++++++++ » et le nom « Enrichi_8plus » sont non professionnels et trompeurs, car la V6 contient moins de données chiffrées que la V5.</w:t>
            </w:r>
          </w:p>
          <w:p>
            <w:pPr>
              <w:spacing w:after="0"/>
            </w:pPr>
            <w:r>
              <w:rPr>
                <w:b/>
                <w:color w:val="145A32"/>
                <w:sz w:val="17"/>
                <w:szCs w:val="17"/>
              </w:rPr>
              <w:t xml:space="preserve">→ Remplacer par « LOT 3 : Soif excessive, polydipsie (SSP G3) » selon le gabarit et renommer le fichier selon le § 4.</w:t>
            </w:r>
          </w:p>
        </w:tc>
        <w:tc>
          <w:tcPr>
            <w:tcW w:w="1800" w:type="dxa"/>
            <w:vAlign w:val="top"/>
          </w:tcPr>
          <w:p>
            <w:pPr>
              <w:spacing w:after="0"/>
            </w:pPr>
            <w:r>
              <w:rPr>
                <w:sz w:val="17"/>
                <w:szCs w:val="17"/>
              </w:rPr>
              <w:t xml:space="preserve">PROMPT MAÎTRE V6 — PROFILES, règles citées (prompt de base du lot) : § 2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L3-L28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LOT_3_Appel_B_V5_Ultra_Pedagogique_Partie_1_D3.1_a_D3.2__export_GoogleDoc.html</w:t>
            </w:r>
          </w:p>
        </w:tc>
        <w:tc>
          <w:tcPr>
            <w:tcW w:w="2350" w:type="dxa"/>
            <w:vAlign w:val="top"/>
          </w:tcPr>
          <w:p>
            <w:pPr>
              <w:spacing w:after="0"/>
            </w:pPr>
            <w:r>
              <w:rPr>
                <w:sz w:val="17"/>
                <w:szCs w:val="17"/>
              </w:rPr>
              <w:t xml:space="preserve">D3.1 › point 9 › fenêtre 9.1 › formule 2</w:t>
            </w:r>
          </w:p>
        </w:tc>
        <w:tc>
          <w:tcPr>
            <w:tcW w:w="2600" w:type="dxa"/>
            <w:vAlign w:val="top"/>
          </w:tcPr>
          <w:p>
            <w:pPr>
              <w:spacing w:after="0"/>
            </w:pPr>
            <w:r>
              <w:rPr>
                <w:i/>
                <w:sz w:val="17"/>
                <w:szCs w:val="17"/>
              </w:rPr>
              <w:t xml:space="preserve">« Natrémie Corrigée pour l'Hyperglycémie (Formule de Katz / Hillier) »</w:t>
            </w:r>
          </w:p>
        </w:tc>
        <w:tc>
          <w:tcPr>
            <w:tcW w:w="3000" w:type="dxa"/>
            <w:vAlign w:val="top"/>
          </w:tcPr>
          <w:p>
            <w:pPr>
              <w:spacing w:after="40"/>
            </w:pPr>
            <w:r>
              <w:rPr>
                <w:sz w:val="17"/>
                <w:szCs w:val="17"/>
              </w:rPr>
              <w:t xml:space="preserve">Le titre associe Katz et Hillier alors que le coefficient 0,3 par mmol/L correspond à Katz (1,6 mmol/L pour 5,55 mmol/L) ; Hillier emploie 2,4 pour 100 mg/dL, soit environ 0,43 par mmol/L.</w:t>
            </w:r>
          </w:p>
          <w:p>
            <w:pPr>
              <w:spacing w:after="0"/>
            </w:pPr>
            <w:r>
              <w:rPr>
                <w:b/>
                <w:color w:val="145A32"/>
                <w:sz w:val="17"/>
                <w:szCs w:val="17"/>
              </w:rPr>
              <w:t xml:space="preserve">→ Écrire « Formule de Katz » et préciser dans la fenêtre que la correction de Hillier (≈ 0,4 par mmol/L) donne une valeur plus haute au-delà de 22 mmol/L.</w:t>
            </w:r>
          </w:p>
        </w:tc>
        <w:tc>
          <w:tcPr>
            <w:tcW w:w="1800" w:type="dxa"/>
            <w:vAlign w:val="top"/>
          </w:tcPr>
          <w:p>
            <w:pPr>
              <w:spacing w:after="0"/>
            </w:pPr>
            <w:r>
              <w:rPr>
                <w:sz w:val="17"/>
                <w:szCs w:val="17"/>
              </w:rPr>
              <w:t xml:space="preserve">Katz MA. N Engl J Med 1973;289:843–844 ; Hillier TA et al. Am J Med 1999;106:399–403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L3-L45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point 1 (même défaut dans les cinq Google Docs)</w:t>
            </w:r>
          </w:p>
        </w:tc>
        <w:tc>
          <w:tcPr>
            <w:tcW w:w="2600" w:type="dxa"/>
            <w:vAlign w:val="top"/>
          </w:tcPr>
          <w:p>
            <w:pPr>
              <w:spacing w:after="0"/>
            </w:pPr>
            <w:r>
              <w:rPr>
                <w:i/>
                <w:sz w:val="17"/>
                <w:szCs w:val="17"/>
              </w:rPr>
              <w:t xml:space="preserve">« La Polydipsie définit une soif excessive pathologique »</w:t>
            </w:r>
          </w:p>
        </w:tc>
        <w:tc>
          <w:tcPr>
            <w:tcW w:w="3000" w:type="dxa"/>
            <w:vAlign w:val="top"/>
          </w:tcPr>
          <w:p>
            <w:pPr>
              <w:spacing w:after="40"/>
            </w:pPr>
            <w:r>
              <w:rPr>
                <w:sz w:val="17"/>
                <w:szCs w:val="17"/>
              </w:rPr>
              <w:t xml:space="preserve">Le texte met des majuscules à des noms communs (Polydipsie, Polyurie, Xérostomie, Lithium, Copeptine, Metformine, Glucose…), contrairement à l'usage typographique français.</w:t>
            </w:r>
          </w:p>
          <w:p>
            <w:pPr>
              <w:spacing w:after="0"/>
            </w:pPr>
            <w:r>
              <w:rPr>
                <w:b/>
                <w:color w:val="145A32"/>
                <w:sz w:val="17"/>
                <w:szCs w:val="17"/>
              </w:rPr>
              <w:t xml:space="preserve">→ Écrire ces noms en minuscules (« la polydipsie », « le lithium », « la copeptine ») ; garder la majuscule aux seuls noms propres et marques ®.</w:t>
            </w:r>
          </w:p>
        </w:tc>
        <w:tc>
          <w:tcPr>
            <w:tcW w:w="1800" w:type="dxa"/>
            <w:vAlign w:val="top"/>
          </w:tcPr>
          <w:p>
            <w:pPr>
              <w:spacing w:after="0"/>
            </w:pPr>
            <w:r>
              <w:rPr>
                <w:sz w:val="17"/>
                <w:szCs w:val="17"/>
              </w:rPr>
              <w:t xml:space="preserve">Lexique des règles typographiques en usage à l'Imprimerie nationale, 2002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L3-L46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point 3 › fenêtre 3.1 (même défaut dans les cinq Google Docs : Gold Standard, Monitoring, Overlap, Sick Day Rules, Time-In-Range, shrinking neuronal, Free Water Deficit, Medullary Washout, Bright Spot, Thirst Distress, Hungry Bone Syndrome, « Bones, Stones… », ACEi, NSAIDs)</w:t>
            </w:r>
          </w:p>
        </w:tc>
        <w:tc>
          <w:tcPr>
            <w:tcW w:w="2600" w:type="dxa"/>
            <w:vAlign w:val="top"/>
          </w:tcPr>
          <w:p>
            <w:pPr>
              <w:spacing w:after="0"/>
            </w:pPr>
            <w:r>
              <w:rPr>
                <w:i/>
                <w:sz w:val="17"/>
                <w:szCs w:val="17"/>
              </w:rPr>
              <w:t xml:space="preserve">« Trou Osmolaire (Osmolal Gap) = Osmolalité mesurée (cryoscopie) − Osmolalité calculée »</w:t>
            </w:r>
          </w:p>
        </w:tc>
        <w:tc>
          <w:tcPr>
            <w:tcW w:w="3000" w:type="dxa"/>
            <w:vAlign w:val="top"/>
          </w:tcPr>
          <w:p>
            <w:pPr>
              <w:spacing w:after="40"/>
            </w:pPr>
            <w:r>
              <w:rPr>
                <w:sz w:val="17"/>
                <w:szCs w:val="17"/>
              </w:rPr>
              <w:t xml:space="preserve">Le texte multiplie des anglicismes alors que des termes français médicaux existent.</w:t>
            </w:r>
          </w:p>
          <w:p>
            <w:pPr>
              <w:spacing w:after="0"/>
            </w:pPr>
            <w:r>
              <w:rPr>
                <w:b/>
                <w:color w:val="145A32"/>
                <w:sz w:val="17"/>
                <w:szCs w:val="17"/>
              </w:rPr>
              <w:t xml:space="preserve">→ Remplacer par : examen de référence, surveillance, chevauchement, règles des jours de maladie, temps dans la cible, rétraction neuronale, déficit en eau libre, lavage médullaire, hypersignal post-hypophysaire, détresse liée à la soif, syndrome de l'os affamé ; supprimer les parenthèses anglaises.</w:t>
            </w:r>
          </w:p>
        </w:tc>
        <w:tc>
          <w:tcPr>
            <w:tcW w:w="1800" w:type="dxa"/>
            <w:vAlign w:val="top"/>
          </w:tcPr>
          <w:p>
            <w:pPr>
              <w:spacing w:after="0"/>
            </w:pPr>
            <w:r>
              <w:rPr>
                <w:sz w:val="17"/>
                <w:szCs w:val="17"/>
              </w:rPr>
              <w:t xml:space="preserve">PROMPT MAÎTRE V6 — PROFILES, règles citées (prompt de base du lot) :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L3-L47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point 1 (même défaut dans les cinq Google Docs : « 24h », « 8h », « 75g », « 1x/j », « G5% », « 1ère », « 2ème », « bpm », guillemets droits)</w:t>
            </w:r>
          </w:p>
        </w:tc>
        <w:tc>
          <w:tcPr>
            <w:tcW w:w="2600" w:type="dxa"/>
            <w:vAlign w:val="top"/>
          </w:tcPr>
          <w:p>
            <w:pPr>
              <w:spacing w:after="0"/>
            </w:pPr>
            <w:r>
              <w:rPr>
                <w:i/>
                <w:sz w:val="17"/>
                <w:szCs w:val="17"/>
              </w:rPr>
              <w:t xml:space="preserve">« (débit urinaire &gt; 50 mL/kg/24h, soit &gt; 3,5 L/24h pour un adulte de 70 kg) »</w:t>
            </w:r>
          </w:p>
        </w:tc>
        <w:tc>
          <w:tcPr>
            <w:tcW w:w="3000" w:type="dxa"/>
            <w:vAlign w:val="top"/>
          </w:tcPr>
          <w:p>
            <w:pPr>
              <w:spacing w:after="40"/>
            </w:pPr>
            <w:r>
              <w:rPr>
                <w:sz w:val="17"/>
                <w:szCs w:val="17"/>
              </w:rPr>
              <w:t xml:space="preserve">La typographie française n'est pas respectée : espace insécable absente entre nombre et unité, ordinaux fautifs, abréviations non normalisées et guillemets droits.</w:t>
            </w:r>
          </w:p>
          <w:p>
            <w:pPr>
              <w:spacing w:after="0"/>
            </w:pPr>
            <w:r>
              <w:rPr>
                <w:b/>
                <w:color w:val="145A32"/>
                <w:sz w:val="17"/>
                <w:szCs w:val="17"/>
              </w:rPr>
              <w:t xml:space="preserve">→ Écrire « 24 h », « 75 g », « 1 fois par jour », « G5 % », « 1re », « 2e », « battements/min », « « … » » avec espaces insécables.</w:t>
            </w:r>
          </w:p>
        </w:tc>
        <w:tc>
          <w:tcPr>
            <w:tcW w:w="1800" w:type="dxa"/>
            <w:vAlign w:val="top"/>
          </w:tcPr>
          <w:p>
            <w:pPr>
              <w:spacing w:after="0"/>
            </w:pPr>
            <w:r>
              <w:rPr>
                <w:sz w:val="17"/>
                <w:szCs w:val="17"/>
              </w:rPr>
              <w:t xml:space="preserve">Lexique des règles typographiques en usage à l'Imprimerie nationale, 2002 ; PROMPT MAÎTRE V6 — PROFILES, règles citées (prompt de base du lot) :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L3-L49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LOT_3_Appel_B_V5_Ultra_Pedagogique_Partie_3_D3.6_a_D3.7__export_GoogleDoc.html</w:t>
            </w:r>
          </w:p>
        </w:tc>
        <w:tc>
          <w:tcPr>
            <w:tcW w:w="2350" w:type="dxa"/>
            <w:vAlign w:val="top"/>
          </w:tcPr>
          <w:p>
            <w:pPr>
              <w:spacing w:after="0"/>
            </w:pPr>
            <w:r>
              <w:rPr>
                <w:sz w:val="17"/>
                <w:szCs w:val="17"/>
              </w:rPr>
              <w:t xml:space="preserve">D3.7 › point 6</w:t>
            </w:r>
          </w:p>
        </w:tc>
        <w:tc>
          <w:tcPr>
            <w:tcW w:w="2600" w:type="dxa"/>
            <w:vAlign w:val="top"/>
          </w:tcPr>
          <w:p>
            <w:pPr>
              <w:spacing w:after="0"/>
            </w:pPr>
            <w:r>
              <w:rPr>
                <w:i/>
                <w:sz w:val="17"/>
                <w:szCs w:val="17"/>
              </w:rPr>
              <w:t xml:space="preserve">« à cause de la polyurie nephrogénique et des vomissements »</w:t>
            </w:r>
          </w:p>
        </w:tc>
        <w:tc>
          <w:tcPr>
            <w:tcW w:w="3000" w:type="dxa"/>
            <w:vAlign w:val="top"/>
          </w:tcPr>
          <w:p>
            <w:pPr>
              <w:spacing w:after="40"/>
            </w:pPr>
            <w:r>
              <w:rPr>
                <w:sz w:val="17"/>
                <w:szCs w:val="17"/>
              </w:rPr>
              <w:t xml:space="preserve">Le mot « nephrogénique » manque d'accent.</w:t>
            </w:r>
          </w:p>
          <w:p>
            <w:pPr>
              <w:spacing w:after="0"/>
            </w:pPr>
            <w:r>
              <w:rPr>
                <w:b/>
                <w:color w:val="145A32"/>
                <w:sz w:val="17"/>
                <w:szCs w:val="17"/>
              </w:rPr>
              <w:t xml:space="preserve">→ Écrire « néphrogénique ».</w:t>
            </w:r>
          </w:p>
        </w:tc>
        <w:tc>
          <w:tcPr>
            <w:tcW w:w="1800" w:type="dxa"/>
            <w:vAlign w:val="top"/>
          </w:tcPr>
          <w:p>
            <w:pPr>
              <w:spacing w:after="0"/>
            </w:pPr>
            <w:r>
              <w:rPr>
                <w:sz w:val="17"/>
                <w:szCs w:val="17"/>
              </w:rPr>
              <w:t xml:space="preserve">Dictionnaire de l'Académie nationale de médecine (dictionnaire.academie-medecine.fr)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L3-L50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D3.9 › point 11 › B- Moyens non médicamenteux</w:t>
            </w:r>
          </w:p>
        </w:tc>
        <w:tc>
          <w:tcPr>
            <w:tcW w:w="2600" w:type="dxa"/>
            <w:vAlign w:val="top"/>
          </w:tcPr>
          <w:p>
            <w:pPr>
              <w:spacing w:after="0"/>
            </w:pPr>
            <w:r>
              <w:rPr>
                <w:i/>
                <w:sz w:val="17"/>
                <w:szCs w:val="17"/>
              </w:rPr>
              <w:t xml:space="preserve">« retarder d'quelques heures une prise de Desmopressine »</w:t>
            </w:r>
          </w:p>
        </w:tc>
        <w:tc>
          <w:tcPr>
            <w:tcW w:w="3000" w:type="dxa"/>
            <w:vAlign w:val="top"/>
          </w:tcPr>
          <w:p>
            <w:pPr>
              <w:spacing w:after="40"/>
            </w:pPr>
            <w:r>
              <w:rPr>
                <w:sz w:val="17"/>
                <w:szCs w:val="17"/>
              </w:rPr>
              <w:t xml:space="preserve">L'élision « d'quelques » est fautive.</w:t>
            </w:r>
          </w:p>
          <w:p>
            <w:pPr>
              <w:spacing w:after="0"/>
            </w:pPr>
            <w:r>
              <w:rPr>
                <w:b/>
                <w:color w:val="145A32"/>
                <w:sz w:val="17"/>
                <w:szCs w:val="17"/>
              </w:rPr>
              <w:t xml:space="preserve">→ Écrire « retarder de quelques heures une prise de desmopressine ».</w:t>
            </w:r>
          </w:p>
        </w:tc>
        <w:tc>
          <w:tcPr>
            <w:tcW w:w="1800" w:type="dxa"/>
            <w:vAlign w:val="top"/>
          </w:tcPr>
          <w:p>
            <w:pPr>
              <w:spacing w:after="0"/>
            </w:pPr>
            <w:r>
              <w:rPr>
                <w:sz w:val="17"/>
                <w:szCs w:val="17"/>
              </w:rPr>
              <w:t xml:space="preserve">Grevisse, Le Bon Usage, § 44 (élision)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L3-L51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D3.10 › point 11 › D- Pronostic et Recherche 2026</w:t>
            </w:r>
          </w:p>
        </w:tc>
        <w:tc>
          <w:tcPr>
            <w:tcW w:w="2600" w:type="dxa"/>
            <w:vAlign w:val="top"/>
          </w:tcPr>
          <w:p>
            <w:pPr>
              <w:spacing w:after="0"/>
            </w:pPr>
            <w:r>
              <w:rPr>
                <w:i/>
                <w:sz w:val="17"/>
                <w:szCs w:val="17"/>
              </w:rPr>
              <w:t xml:space="preserve">« qui phosphoryle directement AQP2 et l'transporteur d'urée UT-A1 »</w:t>
            </w:r>
          </w:p>
        </w:tc>
        <w:tc>
          <w:tcPr>
            <w:tcW w:w="3000" w:type="dxa"/>
            <w:vAlign w:val="top"/>
          </w:tcPr>
          <w:p>
            <w:pPr>
              <w:spacing w:after="40"/>
            </w:pPr>
            <w:r>
              <w:rPr>
                <w:sz w:val="17"/>
                <w:szCs w:val="17"/>
              </w:rPr>
              <w:t xml:space="preserve">L'élision « l'transporteur » est fautive.</w:t>
            </w:r>
          </w:p>
          <w:p>
            <w:pPr>
              <w:spacing w:after="0"/>
            </w:pPr>
            <w:r>
              <w:rPr>
                <w:b/>
                <w:color w:val="145A32"/>
                <w:sz w:val="17"/>
                <w:szCs w:val="17"/>
              </w:rPr>
              <w:t xml:space="preserve">→ Écrire « l'AQP2 et le transporteur d'urée UT-A1 ».</w:t>
            </w:r>
          </w:p>
        </w:tc>
        <w:tc>
          <w:tcPr>
            <w:tcW w:w="1800" w:type="dxa"/>
            <w:vAlign w:val="top"/>
          </w:tcPr>
          <w:p>
            <w:pPr>
              <w:spacing w:after="0"/>
            </w:pPr>
            <w:r>
              <w:rPr>
                <w:sz w:val="17"/>
                <w:szCs w:val="17"/>
              </w:rPr>
              <w:t xml:space="preserve">Grevisse, Le Bon Usage, § 44 (élision)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L3-L52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LOT_3_Appel_B_V5_Ultra_Pedagogique_Partie_4_D3.8_a_D3.10__export_GoogleDoc.html</w:t>
            </w:r>
          </w:p>
        </w:tc>
        <w:tc>
          <w:tcPr>
            <w:tcW w:w="2350" w:type="dxa"/>
            <w:vAlign w:val="top"/>
          </w:tcPr>
          <w:p>
            <w:pPr>
              <w:spacing w:after="0"/>
            </w:pPr>
            <w:r>
              <w:rPr>
                <w:sz w:val="17"/>
                <w:szCs w:val="17"/>
              </w:rPr>
              <w:t xml:space="preserve">D3.8 › fenêtre 9.1 › ACR</w:t>
            </w:r>
          </w:p>
        </w:tc>
        <w:tc>
          <w:tcPr>
            <w:tcW w:w="2600" w:type="dxa"/>
            <w:vAlign w:val="top"/>
          </w:tcPr>
          <w:p>
            <w:pPr>
              <w:spacing w:after="0"/>
            </w:pPr>
            <w:r>
              <w:rPr>
                <w:i/>
                <w:sz w:val="17"/>
                <w:szCs w:val="17"/>
              </w:rPr>
              <w:t xml:space="preserve">« Microalbuminurie A2 : 3 à 30 mg/mmol ; Macroalbuminurie A3 : &gt; 30 mg/mmol »</w:t>
            </w:r>
          </w:p>
        </w:tc>
        <w:tc>
          <w:tcPr>
            <w:tcW w:w="3000" w:type="dxa"/>
            <w:vAlign w:val="top"/>
          </w:tcPr>
          <w:p>
            <w:pPr>
              <w:spacing w:after="40"/>
            </w:pPr>
            <w:r>
              <w:rPr>
                <w:sz w:val="17"/>
                <w:szCs w:val="17"/>
              </w:rPr>
              <w:t xml:space="preserve">Les termes « microalbuminurie » et « macroalbuminurie » sont abandonnés par KDIGO au profit des catégories A2 et A3.</w:t>
            </w:r>
          </w:p>
          <w:p>
            <w:pPr>
              <w:spacing w:after="0"/>
            </w:pPr>
            <w:r>
              <w:rPr>
                <w:b/>
                <w:color w:val="145A32"/>
                <w:sz w:val="17"/>
                <w:szCs w:val="17"/>
              </w:rPr>
              <w:t xml:space="preserve">→ Écrire « A2 : albuminurie modérément augmentée (3–30 mg/mmol) ; A3 : albuminurie sévèrement augmentée (&gt; 30 mg/mmol) ».</w:t>
            </w:r>
          </w:p>
        </w:tc>
        <w:tc>
          <w:tcPr>
            <w:tcW w:w="1800" w:type="dxa"/>
            <w:vAlign w:val="top"/>
          </w:tcPr>
          <w:p>
            <w:pPr>
              <w:spacing w:after="0"/>
            </w:pPr>
            <w:r>
              <w:rPr>
                <w:sz w:val="17"/>
                <w:szCs w:val="17"/>
              </w:rPr>
              <w:t xml:space="preserve">KDIGO 2024 Clinical Practice Guideline for the Evaluation and Management of CKD — Kidney Int 2024;105(4S):S117–S314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L3-L65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D3.7 › point 5</w:t>
            </w:r>
          </w:p>
        </w:tc>
        <w:tc>
          <w:tcPr>
            <w:tcW w:w="2600" w:type="dxa"/>
            <w:vAlign w:val="top"/>
          </w:tcPr>
          <w:p>
            <w:pPr>
              <w:spacing w:after="0"/>
            </w:pPr>
            <w:r>
              <w:rPr>
                <w:i/>
                <w:sz w:val="17"/>
                <w:szCs w:val="17"/>
              </w:rPr>
              <w:t xml:space="preserve">« Une crise, une confusion ou des palpitations mal tolérées constitue une alarme. »</w:t>
            </w:r>
          </w:p>
        </w:tc>
        <w:tc>
          <w:tcPr>
            <w:tcW w:w="3000" w:type="dxa"/>
            <w:vAlign w:val="top"/>
          </w:tcPr>
          <w:p>
            <w:pPr>
              <w:spacing w:after="40"/>
            </w:pPr>
            <w:r>
              <w:rPr>
                <w:sz w:val="17"/>
                <w:szCs w:val="17"/>
              </w:rPr>
              <w:t xml:space="preserve">Le verbe reste au singulier alors que le sujet coordonné contient un pluriel.</w:t>
            </w:r>
          </w:p>
          <w:p>
            <w:pPr>
              <w:spacing w:after="0"/>
            </w:pPr>
            <w:r>
              <w:rPr>
                <w:b/>
                <w:color w:val="145A32"/>
                <w:sz w:val="17"/>
                <w:szCs w:val="17"/>
              </w:rPr>
              <w:t xml:space="preserve">→ Écrire « … constituent une alarme ».</w:t>
            </w:r>
          </w:p>
        </w:tc>
        <w:tc>
          <w:tcPr>
            <w:tcW w:w="1800" w:type="dxa"/>
            <w:vAlign w:val="top"/>
          </w:tcPr>
          <w:p>
            <w:pPr>
              <w:spacing w:after="0"/>
            </w:pPr>
            <w:r>
              <w:rPr>
                <w:sz w:val="17"/>
                <w:szCs w:val="17"/>
              </w:rPr>
              <w:t xml:space="preserve">Grevisse, Le Bon Usage, § 443 (accord avec des sujets coordonnés)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L3-L66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LOT_3_V6_Enrichi_8plus_Partie_1_Integral.html</w:t>
            </w:r>
          </w:p>
        </w:tc>
        <w:tc>
          <w:tcPr>
            <w:tcW w:w="2350" w:type="dxa"/>
            <w:vAlign w:val="top"/>
          </w:tcPr>
          <w:p>
            <w:pPr>
              <w:spacing w:after="0"/>
            </w:pPr>
            <w:r>
              <w:rPr>
                <w:sz w:val="17"/>
                <w:szCs w:val="17"/>
              </w:rPr>
              <w:t xml:space="preserve">D3.9 › point 5</w:t>
            </w:r>
          </w:p>
        </w:tc>
        <w:tc>
          <w:tcPr>
            <w:tcW w:w="2600" w:type="dxa"/>
            <w:vAlign w:val="top"/>
          </w:tcPr>
          <w:p>
            <w:pPr>
              <w:spacing w:after="0"/>
            </w:pPr>
            <w:r>
              <w:rPr>
                <w:i/>
                <w:sz w:val="17"/>
                <w:szCs w:val="17"/>
              </w:rPr>
              <w:t xml:space="preserve">« Une confusion, une hypernatrémie ou des signes visuels nécessite une évaluation rapide. »</w:t>
            </w:r>
          </w:p>
        </w:tc>
        <w:tc>
          <w:tcPr>
            <w:tcW w:w="3000" w:type="dxa"/>
            <w:vAlign w:val="top"/>
          </w:tcPr>
          <w:p>
            <w:pPr>
              <w:spacing w:after="40"/>
            </w:pPr>
            <w:r>
              <w:rPr>
                <w:sz w:val="17"/>
                <w:szCs w:val="17"/>
              </w:rPr>
              <w:t xml:space="preserve">Le verbe reste au singulier alors que le sujet coordonné contient un pluriel.</w:t>
            </w:r>
          </w:p>
          <w:p>
            <w:pPr>
              <w:spacing w:after="0"/>
            </w:pPr>
            <w:r>
              <w:rPr>
                <w:b/>
                <w:color w:val="145A32"/>
                <w:sz w:val="17"/>
                <w:szCs w:val="17"/>
              </w:rPr>
              <w:t xml:space="preserve">→ Écrire « … nécessitent une évaluation rapide ».</w:t>
            </w:r>
          </w:p>
        </w:tc>
        <w:tc>
          <w:tcPr>
            <w:tcW w:w="1800" w:type="dxa"/>
            <w:vAlign w:val="top"/>
          </w:tcPr>
          <w:p>
            <w:pPr>
              <w:spacing w:after="0"/>
            </w:pPr>
            <w:r>
              <w:rPr>
                <w:sz w:val="17"/>
                <w:szCs w:val="17"/>
              </w:rPr>
              <w:t xml:space="preserve">Grevisse, Le Bon Usage, § 443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L3-M29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LOT_3_Appel_A_V5_Ultra_Pedagogique_Plan_et_Liste__export_GoogleDoc.html</w:t>
            </w:r>
          </w:p>
        </w:tc>
        <w:tc>
          <w:tcPr>
            <w:tcW w:w="2350" w:type="dxa"/>
            <w:vAlign w:val="top"/>
          </w:tcPr>
          <w:p>
            <w:pPr>
              <w:spacing w:after="0"/>
            </w:pPr>
            <w:r>
              <w:rPr>
                <w:sz w:val="17"/>
                <w:szCs w:val="17"/>
              </w:rPr>
              <w:t xml:space="preserve">Bloc 1 › 9. Fenêtre 9.1 › tableau Copeptine › ligne Déficit en AVP</w:t>
            </w:r>
          </w:p>
        </w:tc>
        <w:tc>
          <w:tcPr>
            <w:tcW w:w="2600" w:type="dxa"/>
            <w:vAlign w:val="top"/>
          </w:tcPr>
          <w:p>
            <w:pPr>
              <w:spacing w:after="0"/>
            </w:pPr>
            <w:r>
              <w:rPr>
                <w:i/>
                <w:sz w:val="17"/>
                <w:szCs w:val="17"/>
              </w:rPr>
              <w:t xml:space="preserve">« ≤ 4,9 pmol/L (précision diagnostique : 97 %) »</w:t>
            </w:r>
          </w:p>
        </w:tc>
        <w:tc>
          <w:tcPr>
            <w:tcW w:w="3000" w:type="dxa"/>
            <w:vAlign w:val="top"/>
          </w:tcPr>
          <w:p>
            <w:pPr>
              <w:spacing w:after="40"/>
            </w:pPr>
            <w:r>
              <w:rPr>
                <w:sz w:val="17"/>
                <w:szCs w:val="17"/>
              </w:rPr>
              <w:t xml:space="preserve">La précision publiée du test au NaCl 3 % est 96,5 %, non 97 %.</w:t>
            </w:r>
          </w:p>
          <w:p>
            <w:pPr>
              <w:spacing w:after="0"/>
            </w:pPr>
            <w:r>
              <w:rPr>
                <w:b/>
                <w:color w:val="145A32"/>
                <w:sz w:val="17"/>
                <w:szCs w:val="17"/>
              </w:rPr>
              <w:t xml:space="preserve">→ Écrire « ≤ 4,9 pmol/L (précision diagnostique : 96,5 %) ».</w:t>
            </w:r>
          </w:p>
        </w:tc>
        <w:tc>
          <w:tcPr>
            <w:tcW w:w="1800" w:type="dxa"/>
            <w:vAlign w:val="top"/>
          </w:tcPr>
          <w:p>
            <w:pPr>
              <w:spacing w:after="0"/>
            </w:pPr>
            <w:r>
              <w:rPr>
                <w:sz w:val="17"/>
                <w:szCs w:val="17"/>
              </w:rPr>
              <w:t xml:space="preserve">Fenske W. et al. A Copeptin-Based Approach in the Diagnosis of Diabetes Insipidus. N Engl J Med 2018;379:428-439 (étude multicentrique conduite notamment à Bâle) — https://doi.org/10.1056/NEJMoa1803760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L3-M40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LOT_3_Appel_B_V5_Ultra_Pedagogique_Partie_2_D3.3_a_D3.5__export_GoogleDoc.html</w:t>
            </w:r>
          </w:p>
        </w:tc>
        <w:tc>
          <w:tcPr>
            <w:tcW w:w="2350" w:type="dxa"/>
            <w:vAlign w:val="top"/>
          </w:tcPr>
          <w:p>
            <w:pPr>
              <w:spacing w:after="0"/>
            </w:pPr>
            <w:r>
              <w:rPr>
                <w:sz w:val="17"/>
                <w:szCs w:val="17"/>
              </w:rPr>
              <w:t xml:space="preserve">D3.4 › 9. Examens complémentaires › Gold standard</w:t>
            </w:r>
          </w:p>
        </w:tc>
        <w:tc>
          <w:tcPr>
            <w:tcW w:w="2600" w:type="dxa"/>
            <w:vAlign w:val="top"/>
          </w:tcPr>
          <w:p>
            <w:pPr>
              <w:spacing w:after="0"/>
            </w:pPr>
            <w:r>
              <w:rPr>
                <w:i/>
                <w:sz w:val="17"/>
                <w:szCs w:val="17"/>
              </w:rPr>
              <w:t xml:space="preserve">« dont la précision n'était que de 70 % à cause du lavage médullaire »</w:t>
            </w:r>
          </w:p>
        </w:tc>
        <w:tc>
          <w:tcPr>
            <w:tcW w:w="3000" w:type="dxa"/>
            <w:vAlign w:val="top"/>
          </w:tcPr>
          <w:p>
            <w:pPr>
              <w:spacing w:after="40"/>
            </w:pPr>
            <w:r>
              <w:rPr>
                <w:sz w:val="17"/>
                <w:szCs w:val="17"/>
              </w:rPr>
              <w:t xml:space="preserve">La précision du test de restriction hydrique mesurée dans l'étude de référence est de 76,6 %.</w:t>
            </w:r>
          </w:p>
          <w:p>
            <w:pPr>
              <w:spacing w:after="0"/>
            </w:pPr>
            <w:r>
              <w:rPr>
                <w:b/>
                <w:color w:val="145A32"/>
                <w:sz w:val="17"/>
                <w:szCs w:val="17"/>
              </w:rPr>
              <w:t xml:space="preserve">→ Écrire « dont la précision n'était que de 76,6 % ».</w:t>
            </w:r>
          </w:p>
        </w:tc>
        <w:tc>
          <w:tcPr>
            <w:tcW w:w="1800" w:type="dxa"/>
            <w:vAlign w:val="top"/>
          </w:tcPr>
          <w:p>
            <w:pPr>
              <w:spacing w:after="0"/>
            </w:pPr>
            <w:r>
              <w:rPr>
                <w:sz w:val="17"/>
                <w:szCs w:val="17"/>
              </w:rPr>
              <w:t xml:space="preserve">Fenske W. et al. A Copeptin-Based Approach in the Diagnosis of Diabetes Insipidus. N Engl J Med 2018;379:428-439 (étude multicentrique conduite notamment à Bâle) — https://doi.org/10.1056/NEJMoa1803760</w:t>
            </w:r>
          </w:p>
        </w:tc>
      </w:tr>
    </w:tbl>
    <w:p>
      <w:pPr>
        <w:spacing w:after="120"/>
      </w:pPr>
    </w:p>
    <w:p>
      <w:pPr>
        <w:pStyle w:val="Titre1"/>
        <w:keepNext/>
      </w:pPr>
      <w:r>
        <w:rPr>
          <w:b/>
          <w:color w:val="1A5276"/>
          <w:sz w:val="26"/>
          <w:szCs w:val="26"/>
        </w:rPr>
        <w:t xml:space="preserve">Rapport d'audit médical</w:t>
      </w:r>
    </w:p>
    <w:p>
      <w:pPr>
        <w:spacing w:after="100"/>
        <w:jc w:val="both"/>
      </w:pPr>
      <w:r>
        <w:rPr>
          <w:sz w:val="19"/>
          <w:szCs w:val="19"/>
        </w:rPr>
        <w:t xml:space="preserve">L'audit médical du LOT_3 (SSP G3, soif excessive et polydipsie) a porté sur les six fichiers clonés du Drive. Les versions actives retenues sont l'Appel A V5, le fichier V6 « Partie_1_Integral » pour la Partie 1 et les Parties 2 à 4 V5 ; la Partie 1 V5 est périmée et n'a reçu qu'un constat de structure. Cinq des six fichiers sont des Google Docs exportés, ce qui viole la règle 0, et le fichier V6 regroupe les onze monographies dans un seul document qui double les Parties 2 à 4.</w:t>
      </w:r>
    </w:p>
    <w:p>
      <w:pPr>
        <w:spacing w:after="100"/>
        <w:jc w:val="both"/>
      </w:pPr>
      <w:r>
        <w:rPr>
          <w:sz w:val="19"/>
          <w:szCs w:val="19"/>
        </w:rPr>
        <w:t xml:space="preserve">La méthode a extrait le texte visible de chaque fichier, contrôlé les quatorze points de chaque monographie, puis confronté les seuils, les doses et les spécialités aux sources primaires : NEJM 2018 et 2023 pour la copeptine, recommandation européenne 2014 sur l'hyponatrémie, informations professionnelles suisses (Quilonorm®, Spiricort®, Nocutil®), EASL 2018, KDIGO 2024, FINEARTS-HF et essais bâlois. Chaque extrait a été vérifié par script : il figure une seule fois dans le texte du fichier débarrassé de ses balises.</w:t>
      </w:r>
    </w:p>
    <w:p>
      <w:pPr>
        <w:spacing w:after="100"/>
        <w:jc w:val="both"/>
      </w:pPr>
      <w:r>
        <w:rPr>
          <w:sz w:val="19"/>
          <w:szCs w:val="19"/>
        </w:rPr>
        <w:t xml:space="preserve">Les Parties V5 ont de vraies forces. Leur physiopathologie est riche, les tableaux de copeptine, de calcémie et de levée d'obstacle sont pédagogiques, et de nombreuses posologies concordent avec les recommandations européennes : ascite selon l'EASL, quadrithérapie de l'insuffisance cardiaque, critères ACR/EULAR du Sjögren. Le fichier V6 a le mérite de supprimer les pourcentages non sourcés et de renvoyer honnêtement les lacunes vers le HELP.</w:t>
      </w:r>
    </w:p>
    <w:p>
      <w:pPr>
        <w:spacing w:after="100"/>
        <w:jc w:val="both"/>
      </w:pPr>
      <w:r>
        <w:rPr>
          <w:sz w:val="19"/>
          <w:szCs w:val="19"/>
        </w:rPr>
        <w:t xml:space="preserve">La faiblesse majeure est double. Les fichiers V5 n'ont aucune section Sources, ils reposent en partie sur des références américaines (ADA, Endocrine Society, posologie américaine de la calcitonine) et ils contiennent des chiffres ou des essais inventés ou mal datés (essai GLP-1 « 2026 », ocytocine « 2026 », facteur « divise par trois »). Le fichier V6, lui, a retiré toutes les valeurs chiffrées, tous les tableaux et tous les médicaments ; il ne contient ni dose, ni spécialité, ni seuil de copeptine, et il recopie des paragraphes d'autres monographies ou d'autres lots (D3.10 copié de D3.9, fatigue en D3.8, sevrage en D3.5).</w:t>
      </w:r>
    </w:p>
    <w:p>
      <w:pPr>
        <w:spacing w:after="100"/>
        <w:jc w:val="both"/>
      </w:pPr>
      <w:r>
        <w:rPr>
          <w:sz w:val="19"/>
          <w:szCs w:val="19"/>
        </w:rPr>
        <w:t xml:space="preserve">Quatre constats peuvent nuire directement à un patient. Le premier est la restriction sodée prescrite sous lithium, que l'information professionnelle suisse déconseille. Le deuxième est l'association amiloride-hydrochlorothiazide 50 mg en première intention sous lithium, qui élève la lithiémie. Le troisième est le régime hyposodé avec thiazidique recommandé sans réserve dans l'Appel A. Le quatrième est le dénosumab proposé précisément dans l'insuffisance rénale sévère, où il provoque des hypocalcémies sévères. S'y ajoutent des schémas d'urgence incomplets : NaCl 3 % répété une seule fois, absence du seuil de kaliémie avant l'insuline, absence de limite chiffrée de correction de l'hypernatrémie.</w:t>
      </w:r>
    </w:p>
    <w:p>
      <w:pPr>
        <w:spacing w:after="100"/>
        <w:jc w:val="both"/>
      </w:pPr>
      <w:r>
        <w:rPr>
          <w:sz w:val="19"/>
          <w:szCs w:val="19"/>
        </w:rPr>
        <w:t xml:space="preserve">Pour l'étudiant, le risque principal tient à l'arbre diagnostique des polyuries hypotoniques. Le test à l'arginine y est présenté comme équivalent au NaCl 3 %, alors que l'essai CARGOx 2023 l'a montré inférieur. La copeptine basale est présentée comme gold standard, et la natrémie basale comme discriminante. La DCI Spiricort® est fausse à deux reprises : la spécialité contient de la prednisolone, non de la prednisone.</w:t>
      </w:r>
    </w:p>
    <w:p>
      <w:pPr>
        <w:spacing w:after="100"/>
        <w:jc w:val="both"/>
      </w:pPr>
      <w:r>
        <w:rPr>
          <w:sz w:val="19"/>
          <w:szCs w:val="19"/>
        </w:rPr>
        <w:t xml:space="preserve">La priorité de correction suit trois étapes. D'abord, corriger les quatre constats Critiques des Parties 3 et 4 et de l'Appel A. Ensuite, reconstruire un lot de cinq fichiers HTML qui fusionne la richesse chiffrée des Parties V5 et la prudence du V6, avec une section Sources [S1]…[Sn], des tableaux d'interprétation, des posologies suisses vérifiées et sans attribut title=. Enfin, actualiser les seuils de copeptine (Fenske 2018, CARGOx 2023), remplacer les badges non sourcés par des rangs et purger les copies hors sujet.</w:t>
      </w:r>
    </w:p>
    <w:p>
      <w:pPr>
        <w:pStyle w:val="Titre1"/>
        <w:keepNext/>
      </w:pPr>
      <w:r>
        <w:rPr>
          <w:b/>
          <w:color w:val="1A5276"/>
          <w:sz w:val="26"/>
          <w:szCs w:val="26"/>
        </w:rPr>
        <w:t xml:space="preserve">Rapport d'audit linguistique</w:t>
      </w:r>
    </w:p>
    <w:p>
      <w:pPr>
        <w:spacing w:after="100"/>
        <w:jc w:val="both"/>
      </w:pPr>
      <w:r>
        <w:rPr>
          <w:sz w:val="19"/>
          <w:szCs w:val="19"/>
        </w:rPr>
        <w:t xml:space="preserve">L'audit porte sur les sept fichiers du LOT_3 (SSP G3, soif excessive et polydipsie) : les cinq Google Docs exportés de la version V5 (Appel A et Parties 1 à 4) et le fichier HTML « V6_Enrichi_8plus_Partie_1_Integral ». Le manifeste ne recense aucun document vide, mais il révèle deux versions concurrentes du même lot. La V5 contient l'essentiel du fond, et la V6 constitue la seule sortie au format .html.</w:t>
      </w:r>
    </w:p>
    <w:p>
      <w:pPr>
        <w:spacing w:after="100"/>
        <w:jc w:val="both"/>
      </w:pPr>
      <w:r>
        <w:rPr>
          <w:sz w:val="19"/>
          <w:szCs w:val="19"/>
        </w:rPr>
        <w:t xml:space="preserve">L'auditeur a lu le prompt de base V6 en entier, puis le texte visible de chaque fichier sans balises. Il a compté les balises &lt;details&gt;, &lt;table&gt; et title= et vérifié la fin des fichiers. Il a contrôlé les affirmations contestées dans le consensus international 2024 sur les crises hyperglycémiques, la recommandation européenne 2014 sur l'hyponatrémie, l'information professionnelle de Spiricort® et les essais bâlois publiés. Un script python a vérifié chaque extrait : il apparaît une seule fois dans le texte normalisé de son fichier.</w:t>
      </w:r>
    </w:p>
    <w:p>
      <w:pPr>
        <w:spacing w:after="100"/>
        <w:jc w:val="both"/>
      </w:pPr>
      <w:r>
        <w:rPr>
          <w:sz w:val="19"/>
          <w:szCs w:val="19"/>
        </w:rPr>
        <w:t xml:space="preserve">La V5 a de réelles qualités pédagogiques. Les phrases du texte principal sont le plus souvent verbales, les 14 points sont présents pour chaque DX, et les fenêtres bio-mathématiques (osmolalités, Katz, Winter, Adrogué-Madias, SAAG, Payne, copeptine) progressent du mécanisme au calcul. La V6 a corrigé plusieurs erreurs : elle retire les pourcentages non sourcés, applique les critères 2024 de l'ACD et de l'EHH et écrit « donnée non trouvée » au lieu d'inventer.</w:t>
      </w:r>
    </w:p>
    <w:p>
      <w:pPr>
        <w:spacing w:after="100"/>
        <w:jc w:val="both"/>
      </w:pPr>
      <w:r>
        <w:rPr>
          <w:sz w:val="19"/>
          <w:szCs w:val="19"/>
        </w:rPr>
        <w:t xml:space="preserve">Les faiblesses majeures sont structurelles. Les cinq fichiers V5 sont des Google Docs : la conversion a détruit toutes les fenêtres et effacé des seuils et des formules, et ces fichiers n'ont ni sources numérotées, ni mention de non-validation, ni balise FIN_FICHIER. La V6 regroupe tout le lot dans un fichier mal nommé, utilise 34 attributs title= interdits et ne contient aucun tableau. Son texte est devenu générique, sans chiffre, sans dose et sans spécialité, et des phrases d'autres SSP (sevrage, fatigue, toxidrome) y ont été collées.</w:t>
      </w:r>
    </w:p>
    <w:p>
      <w:pPr>
        <w:spacing w:after="100"/>
        <w:jc w:val="both"/>
      </w:pPr>
      <w:r>
        <w:rPr>
          <w:sz w:val="19"/>
          <w:szCs w:val="19"/>
        </w:rPr>
        <w:t xml:space="preserve">Le principal risque pour le patient se trouve dans la Partie 1 : la conversion a effacé le seuil de kaliémie, et le débit de KCl proposé (20 à 40 mmol/h) dépasse les 10 mmol/h du consensus 2024. D'autres erreurs exposent l'étudiant à des réponses fausses : prednisone au lieu de prednisolone pour Spiricort®, bolus de NaCl 3 % limité à une répétition, seuil de calciurie périmé dans l'hyperparathyroïdie, essai sur le dulaglutide daté de 2026 au lieu de 2021 et références américaines (ADA, FDA).</w:t>
      </w:r>
    </w:p>
    <w:p>
      <w:pPr>
        <w:spacing w:after="100"/>
        <w:jc w:val="both"/>
      </w:pPr>
      <w:r>
        <w:rPr>
          <w:sz w:val="19"/>
          <w:szCs w:val="19"/>
        </w:rPr>
        <w:t xml:space="preserve">La correction doit suivre cet ordre. Il faut d'abord corriger la ligne potassium de l'ACD, puis régénérer les cinq fichiers en HTML natif à partir du fond V5 corrigé, en y intégrant les apports vérifiés de la V6. Viennent ensuite les sources [Sn], les fenêtres &lt;details&gt;, le Bloc 2 de l'Appel A (tableau comparatif et algorithme), puis la réécriture des listes nominales. La langue et la typographie (majuscules, anglicismes, espaces insécables) viennent en dernier. Les anciennes versions passent ensuite dans CORBEILLE_DOUBLONS_OBSOLETES.</w:t>
      </w:r>
    </w:p>
    <w:p>
      <w:pPr/>
      <w:r>
        <w:rPr>
          <w:i/>
          <w:color w:val="5D6D7E"/>
          <w:sz w:val="16"/>
          <w:szCs w:val="16"/>
        </w:rPr>
        <w:t xml:space="preserve">Audit produit par IA à partir des sources citées ; il ne remplace pas une validation clinique par un médecin.</w:t>
      </w: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eastAsia="Calibri" w:cs="Calibri"/>
        <w:sz w:val="20"/>
        <w:lang w:val="fr-CH"/>
      </w:rPr>
    </w:rPrDefault>
    <w:pPrDefault>
      <w:pPr>
        <w:spacing w:after="80" w:line="264" w:lineRule="auto"/>
      </w:pPr>
    </w:pPrDefault>
  </w:docDefaults>
  <w:style w:type="paragraph" w:default="1" w:styleId="Normal">
    <w:name w:val="Normal"/>
  </w:style>
  <w:style w:type="paragraph" w:styleId="Titre1">
    <w:name w:val="heading 1"/>
    <w:basedOn w:val="Normal"/>
    <w:pPr>
      <w:keepNext/>
      <w:spacing w:before="240" w:after="100"/>
      <w:pBdr>
        <w:bottom w:val="single" w:sz="8" w:space="2" w:color="2980B9"/>
      </w:pBdr>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