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spacing w:after="60"/>
      </w:pPr>
      <w:r>
        <w:rPr>
          <w:b/>
          <w:color w:val="1A5276"/>
          <w:sz w:val="40"/>
          <w:szCs w:val="40"/>
        </w:rPr>
        <w:t xml:space="preserve">LOT 6 — Fièvre (SSP G6)</w:t>
      </w:r>
    </w:p>
    <w:p>
      <w:pPr>
        <w:spacing w:after="60"/>
      </w:pPr>
      <w:r>
        <w:rPr>
          <w:i/>
          <w:color w:val="5D6D7E"/>
          <w:sz w:val="24"/>
          <w:szCs w:val="24"/>
        </w:rPr>
        <w:t xml:space="preserve">Liste des problèmes à corriger — audit médical, linguistique et conformité au prompt de base</w:t>
      </w:r>
    </w:p>
    <w:p>
      <w:pPr>
        <w:spacing w:after="200"/>
      </w:pPr>
      <w:r>
        <w:rPr>
          <w:color w:val="5D6D7E"/>
          <w:sz w:val="18"/>
          <w:szCs w:val="18"/>
        </w:rPr>
        <w:t xml:space="preserve">Audit du 2026-10-22 · Claude — audits médical et linguistique indépendants</w:t>
      </w:r>
    </w:p>
    <w:p>
      <w:pPr>
        <w:pStyle w:val="Titre1"/>
        <w:keepNext/>
      </w:pPr>
      <w:r>
        <w:rPr>
          <w:b/>
          <w:color w:val="1A5276"/>
          <w:sz w:val="26"/>
          <w:szCs w:val="26"/>
        </w:rPr>
        <w:t xml:space="preserve">Mode d'emploi</w:t>
      </w:r>
    </w:p>
    <w:p>
      <w:pPr>
        <w:spacing w:after="40"/>
      </w:pPr>
      <w:r>
        <w:rPr>
          <w:sz w:val="19"/>
          <w:szCs w:val="19"/>
        </w:rPr>
        <w:t xml:space="preserve">• Chaque ligne décrit un problème et son emplacement exact. Le correcteur n'a pas besoin de relire le lot entier.</w:t>
      </w:r>
    </w:p>
    <w:p>
      <w:pPr>
        <w:spacing w:after="40"/>
      </w:pPr>
      <w:r>
        <w:rPr>
          <w:sz w:val="19"/>
          <w:szCs w:val="19"/>
        </w:rPr>
        <w:t xml:space="preserve">• L'emplacement suit le chemin Fichier › Bloc › point › fenêtre. L'extrait cite le texte fautif mot pour mot : une recherche Ctrl+F le retrouve.</w:t>
      </w:r>
    </w:p>
    <w:p>
      <w:pPr>
        <w:spacing w:after="40"/>
      </w:pPr>
      <w:r>
        <w:rPr>
          <w:sz w:val="19"/>
          <w:szCs w:val="19"/>
        </w:rPr>
        <w:t xml:space="preserve">• Le correcteur applique la correction, puis il clique sur la case : elle se coche en rouge (☒).</w:t>
      </w:r>
    </w:p>
    <w:p>
      <w:pPr>
        <w:spacing w:after="40"/>
      </w:pPr>
      <w:r>
        <w:rPr>
          <w:sz w:val="19"/>
          <w:szCs w:val="19"/>
        </w:rPr>
        <w:t xml:space="preserve">• L'auditeur suivant contrôle chaque case cochée avant de valider le lot.</w:t>
      </w:r>
    </w:p>
    <w:p>
      <w:pPr>
        <w:pStyle w:val="Titre1"/>
        <w:keepNext/>
      </w:pPr>
      <w:r>
        <w:rPr>
          <w:b/>
          <w:color w:val="1A5276"/>
          <w:sz w:val="26"/>
          <w:szCs w:val="26"/>
        </w:rPr>
        <w:t xml:space="preserve">Synthèse</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1800"/>
        <w:gridCol w:w="1100"/>
        <w:gridCol w:w="11500"/>
      </w:tblGrid>
      <w:tr>
        <w:trPr>
          <w:tblHeader/>
          <w:cantSplit/>
        </w:trPr>
        <w:tc>
          <w:tcPr>
            <w:tcW w:w="1800" w:type="dxa"/>
            <w:shd w:val="clear" w:color="auto" w:fill="1A5276"/>
            <w:vAlign w:val="top"/>
          </w:tcPr>
          <w:p>
            <w:pPr>
              <w:spacing w:after="0"/>
            </w:pPr>
            <w:r>
              <w:rPr>
                <w:b/>
                <w:color w:val="FFFFFF"/>
                <w:sz w:val="17"/>
                <w:szCs w:val="17"/>
              </w:rPr>
              <w:t xml:space="preserve">Gravité</w:t>
            </w:r>
          </w:p>
        </w:tc>
        <w:tc>
          <w:tcPr>
            <w:tcW w:w="1100" w:type="dxa"/>
            <w:shd w:val="clear" w:color="auto" w:fill="1A5276"/>
            <w:vAlign w:val="top"/>
          </w:tcPr>
          <w:p>
            <w:pPr>
              <w:spacing w:after="0"/>
            </w:pPr>
            <w:r>
              <w:rPr>
                <w:b/>
                <w:color w:val="FFFFFF"/>
                <w:sz w:val="17"/>
                <w:szCs w:val="17"/>
              </w:rPr>
              <w:t xml:space="preserve">Nombre</w:t>
            </w:r>
          </w:p>
        </w:tc>
        <w:tc>
          <w:tcPr>
            <w:tcW w:w="11500" w:type="dxa"/>
            <w:shd w:val="clear" w:color="auto" w:fill="1A5276"/>
            <w:vAlign w:val="top"/>
          </w:tcPr>
          <w:p>
            <w:pPr>
              <w:spacing w:after="0"/>
            </w:pPr>
            <w:r>
              <w:rPr>
                <w:b/>
                <w:color w:val="FFFFFF"/>
                <w:sz w:val="17"/>
                <w:szCs w:val="17"/>
              </w:rPr>
              <w:t xml:space="preserve">Définition</w:t>
            </w:r>
          </w:p>
        </w:tc>
      </w:tr>
      <w:tr>
        <w:trPr>
          <w:cantSplit/>
        </w:trPr>
        <w:tc>
          <w:tcPr>
            <w:tcW w:w="1800" w:type="dxa"/>
            <w:shd w:val="clear" w:color="auto" w:fill="FADBD8"/>
            <w:vAlign w:val="top"/>
          </w:tcPr>
          <w:p>
            <w:pPr>
              <w:spacing w:after="0"/>
            </w:pPr>
            <w:r>
              <w:rPr>
                <w:sz w:val="17"/>
                <w:szCs w:val="17"/>
              </w:rPr>
              <w:t xml:space="preserve">Critique</w:t>
            </w:r>
          </w:p>
        </w:tc>
        <w:tc>
          <w:tcPr>
            <w:tcW w:w="1100" w:type="dxa"/>
            <w:shd w:val="clear" w:color="auto" w:fill="FADBD8"/>
            <w:vAlign w:val="top"/>
          </w:tcPr>
          <w:p>
            <w:pPr>
              <w:spacing w:after="0"/>
            </w:pPr>
            <w:r>
              <w:rPr>
                <w:sz w:val="17"/>
                <w:szCs w:val="17"/>
              </w:rPr>
              <w:t xml:space="preserve">2</w:t>
            </w:r>
          </w:p>
        </w:tc>
        <w:tc>
          <w:tcPr>
            <w:tcW w:w="11500" w:type="dxa"/>
            <w:shd w:val="clear" w:color="auto" w:fill="FADBD8"/>
            <w:vAlign w:val="top"/>
          </w:tcPr>
          <w:p>
            <w:pPr>
              <w:spacing w:after="0"/>
            </w:pPr>
            <w:r>
              <w:rPr>
                <w:sz w:val="17"/>
                <w:szCs w:val="17"/>
              </w:rPr>
              <w:t xml:space="preserve">L'erreur peut nuire à un patient (dose, contre-indication, conduite dangereuse). Correction immédiate.</w:t>
            </w:r>
          </w:p>
        </w:tc>
      </w:tr>
      <w:tr>
        <w:trPr>
          <w:cantSplit/>
        </w:trPr>
        <w:tc>
          <w:tcPr>
            <w:tcW w:w="1800" w:type="dxa"/>
            <w:shd w:val="clear" w:color="auto" w:fill="FDEBD0"/>
            <w:vAlign w:val="top"/>
          </w:tcPr>
          <w:p>
            <w:pPr>
              <w:spacing w:after="0"/>
            </w:pPr>
            <w:r>
              <w:rPr>
                <w:sz w:val="17"/>
                <w:szCs w:val="17"/>
              </w:rPr>
              <w:t xml:space="preserve">Grave</w:t>
            </w:r>
          </w:p>
        </w:tc>
        <w:tc>
          <w:tcPr>
            <w:tcW w:w="1100" w:type="dxa"/>
            <w:shd w:val="clear" w:color="auto" w:fill="FDEBD0"/>
            <w:vAlign w:val="top"/>
          </w:tcPr>
          <w:p>
            <w:pPr>
              <w:spacing w:after="0"/>
            </w:pPr>
            <w:r>
              <w:rPr>
                <w:sz w:val="17"/>
                <w:szCs w:val="17"/>
              </w:rPr>
              <w:t xml:space="preserve">37</w:t>
            </w:r>
          </w:p>
        </w:tc>
        <w:tc>
          <w:tcPr>
            <w:tcW w:w="11500" w:type="dxa"/>
            <w:shd w:val="clear" w:color="auto" w:fill="FDEBD0"/>
            <w:vAlign w:val="top"/>
          </w:tcPr>
          <w:p>
            <w:pPr>
              <w:spacing w:after="0"/>
            </w:pPr>
            <w:r>
              <w:rPr>
                <w:sz w:val="17"/>
                <w:szCs w:val="17"/>
              </w:rPr>
              <w:t xml:space="preserve">Le contenu est faux, non sourcé ou viole une règle absolue du prompt de base.</w:t>
            </w:r>
          </w:p>
        </w:tc>
      </w:tr>
      <w:tr>
        <w:trPr>
          <w:cantSplit/>
        </w:trPr>
        <w:tc>
          <w:tcPr>
            <w:tcW w:w="1800" w:type="dxa"/>
            <w:shd w:val="clear" w:color="auto" w:fill="FEF9E7"/>
            <w:vAlign w:val="top"/>
          </w:tcPr>
          <w:p>
            <w:pPr>
              <w:spacing w:after="0"/>
            </w:pPr>
            <w:r>
              <w:rPr>
                <w:sz w:val="17"/>
                <w:szCs w:val="17"/>
              </w:rPr>
              <w:t xml:space="preserve">Moyen</w:t>
            </w:r>
          </w:p>
        </w:tc>
        <w:tc>
          <w:tcPr>
            <w:tcW w:w="1100" w:type="dxa"/>
            <w:shd w:val="clear" w:color="auto" w:fill="FEF9E7"/>
            <w:vAlign w:val="top"/>
          </w:tcPr>
          <w:p>
            <w:pPr>
              <w:spacing w:after="0"/>
            </w:pPr>
            <w:r>
              <w:rPr>
                <w:sz w:val="17"/>
                <w:szCs w:val="17"/>
              </w:rPr>
              <w:t xml:space="preserve">18</w:t>
            </w:r>
          </w:p>
        </w:tc>
        <w:tc>
          <w:tcPr>
            <w:tcW w:w="11500" w:type="dxa"/>
            <w:shd w:val="clear" w:color="auto" w:fill="FEF9E7"/>
            <w:vAlign w:val="top"/>
          </w:tcPr>
          <w:p>
            <w:pPr>
              <w:spacing w:after="0"/>
            </w:pPr>
            <w:r>
              <w:rPr>
                <w:sz w:val="17"/>
                <w:szCs w:val="17"/>
              </w:rPr>
              <w:t xml:space="preserve">Le contenu est incomplet, imprécis ou mal structuré ; la pédagogie en souffre.</w:t>
            </w:r>
          </w:p>
        </w:tc>
      </w:tr>
      <w:tr>
        <w:trPr>
          <w:cantSplit/>
        </w:trPr>
        <w:tc>
          <w:tcPr>
            <w:tcW w:w="1800" w:type="dxa"/>
            <w:shd w:val="clear" w:color="auto" w:fill="EBF5FB"/>
            <w:vAlign w:val="top"/>
          </w:tcPr>
          <w:p>
            <w:pPr>
              <w:spacing w:after="0"/>
            </w:pPr>
            <w:r>
              <w:rPr>
                <w:sz w:val="17"/>
                <w:szCs w:val="17"/>
              </w:rPr>
              <w:t xml:space="preserve">Léger</w:t>
            </w:r>
          </w:p>
        </w:tc>
        <w:tc>
          <w:tcPr>
            <w:tcW w:w="1100" w:type="dxa"/>
            <w:shd w:val="clear" w:color="auto" w:fill="EBF5FB"/>
            <w:vAlign w:val="top"/>
          </w:tcPr>
          <w:p>
            <w:pPr>
              <w:spacing w:after="0"/>
            </w:pPr>
            <w:r>
              <w:rPr>
                <w:sz w:val="17"/>
                <w:szCs w:val="17"/>
              </w:rPr>
              <w:t xml:space="preserve">16</w:t>
            </w:r>
          </w:p>
        </w:tc>
        <w:tc>
          <w:tcPr>
            <w:tcW w:w="11500" w:type="dxa"/>
            <w:shd w:val="clear" w:color="auto" w:fill="EBF5FB"/>
            <w:vAlign w:val="top"/>
          </w:tcPr>
          <w:p>
            <w:pPr>
              <w:spacing w:after="0"/>
            </w:pPr>
            <w:r>
              <w:rPr>
                <w:sz w:val="17"/>
                <w:szCs w:val="17"/>
              </w:rPr>
              <w:t xml:space="preserve">Faute de langue, de typographie ou de mise en forme sans conséquence sur le fond.</w:t>
            </w:r>
          </w:p>
        </w:tc>
      </w:tr>
      <w:tr>
        <w:trPr>
          <w:cantSplit/>
        </w:trPr>
        <w:tc>
          <w:tcPr>
            <w:tcW w:w="1800" w:type="dxa"/>
            <w:shd w:val="clear" w:color="auto" w:fill="EAECEE"/>
            <w:vAlign w:val="top"/>
          </w:tcPr>
          <w:p>
            <w:pPr>
              <w:spacing w:after="0"/>
            </w:pPr>
            <w:r>
              <w:rPr>
                <w:sz w:val="17"/>
                <w:szCs w:val="17"/>
              </w:rPr>
              <w:t xml:space="preserve">Total</w:t>
            </w:r>
          </w:p>
        </w:tc>
        <w:tc>
          <w:tcPr>
            <w:tcW w:w="1100" w:type="dxa"/>
            <w:shd w:val="clear" w:color="auto" w:fill="EAECEE"/>
            <w:vAlign w:val="top"/>
          </w:tcPr>
          <w:p>
            <w:pPr>
              <w:spacing w:after="0"/>
            </w:pPr>
            <w:r>
              <w:rPr>
                <w:sz w:val="17"/>
                <w:szCs w:val="17"/>
              </w:rPr>
              <w:t xml:space="preserve">73</w:t>
            </w:r>
          </w:p>
        </w:tc>
        <w:tc>
          <w:tcPr>
            <w:tcW w:w="11500" w:type="dxa"/>
            <w:shd w:val="clear" w:color="auto" w:fill="EAECEE"/>
            <w:vAlign w:val="top"/>
          </w:tcPr>
          <w:p>
            <w:pPr>
              <w:spacing w:after="0"/>
            </w:pPr>
            <w:r>
              <w:rPr>
                <w:sz w:val="17"/>
                <w:szCs w:val="17"/>
              </w:rPr>
              <w:t xml:space="preserve"/>
            </w:r>
          </w:p>
        </w:tc>
      </w:tr>
    </w:tbl>
    <w:p>
      <w:pPr>
        <w:spacing w:after="120"/>
      </w:pPr>
    </w:p>
    <w:p>
      <w:pPr>
        <w:spacing w:after="40"/>
      </w:pPr>
      <w:r>
        <w:rPr>
          <w:sz w:val="17"/>
          <w:szCs w:val="17"/>
        </w:rPr>
        <w:t xml:space="preserve">Le LOT_6 n'est pas publiable : la V6 active est sûre dans ses énoncés mais vidée de toute donnée chiffrée, posologique et sourcée, et les V5 contiennent une erreur critique de posologie de la dexaméthasone.</w:t>
      </w:r>
    </w:p>
    <w:p>
      <w:pPr>
        <w:spacing w:after="40"/>
      </w:pPr>
      <w:r>
        <w:rPr>
          <w:sz w:val="17"/>
          <w:szCs w:val="17"/>
        </w:rPr>
        <w:t xml:space="preserve">Les priorités sont les conduites d'urgence chiffrées, la révision de la liste des DX et la reconstruction en cinq fichiers HTML sourcés.</w:t>
      </w:r>
    </w:p>
    <w:p>
      <w:pPr>
        <w:spacing w:after="40"/>
      </w:pPr>
      <w:r>
        <w:rPr>
          <w:sz w:val="17"/>
          <w:szCs w:val="17"/>
        </w:rPr>
        <w:t xml:space="preserve">Le LOT_6 n'est pas conforme au prompt de base : cinq fichiers sur six sont des Google Docs V5 périmés, et le seul fichier HTML (V6) réunit tout le lot sans tableaux, sans doses, sans fenêtres sémiologiques ni sources numérotées.</w:t>
      </w:r>
    </w:p>
    <w:p>
      <w:pPr>
        <w:spacing w:after="40"/>
      </w:pPr>
      <w:r>
        <w:rPr>
          <w:sz w:val="17"/>
          <w:szCs w:val="17"/>
        </w:rPr>
        <w:t xml:space="preserve">La V5 encore présente dans Drive contient une erreur critique (dexaméthasone sans rythme de 6 heures) et plusieurs erreurs graves de calcul et de conduite, à corriger avant toute réutilisation.</w:t>
      </w:r>
    </w:p>
    <w:p>
      <w:pPr>
        <w:pStyle w:val="Titre1"/>
        <w:keepNext/>
      </w:pPr>
      <w:r>
        <w:rPr>
          <w:b/>
          <w:color w:val="1A5276"/>
          <w:sz w:val="26"/>
          <w:szCs w:val="26"/>
        </w:rPr>
        <w:t xml:space="preserve">Fichiers audités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400"/>
        <w:gridCol w:w="4600"/>
        <w:gridCol w:w="1500"/>
        <w:gridCol w:w="1900"/>
      </w:tblGrid>
      <w:tr>
        <w:trPr>
          <w:tblHeader/>
          <w:cantSplit/>
        </w:trPr>
        <w:tc>
          <w:tcPr>
            <w:tcW w:w="6400" w:type="dxa"/>
            <w:shd w:val="clear" w:color="auto" w:fill="1A5276"/>
            <w:vAlign w:val="top"/>
          </w:tcPr>
          <w:p>
            <w:pPr>
              <w:spacing w:after="0"/>
            </w:pPr>
            <w:r>
              <w:rPr>
                <w:b/>
                <w:color w:val="FFFFFF"/>
                <w:sz w:val="17"/>
                <w:szCs w:val="17"/>
              </w:rPr>
              <w:t xml:space="preserve">Fichier</w:t>
            </w:r>
          </w:p>
        </w:tc>
        <w:tc>
          <w:tcPr>
            <w:tcW w:w="4600" w:type="dxa"/>
            <w:shd w:val="clear" w:color="auto" w:fill="1A5276"/>
            <w:vAlign w:val="top"/>
          </w:tcPr>
          <w:p>
            <w:pPr>
              <w:spacing w:after="0"/>
            </w:pPr>
            <w:r>
              <w:rPr>
                <w:b/>
                <w:color w:val="FFFFFF"/>
                <w:sz w:val="17"/>
                <w:szCs w:val="17"/>
              </w:rPr>
              <w:t xml:space="preserve">Identifiant Drive</w:t>
            </w:r>
          </w:p>
        </w:tc>
        <w:tc>
          <w:tcPr>
            <w:tcW w:w="1500" w:type="dxa"/>
            <w:shd w:val="clear" w:color="auto" w:fill="1A5276"/>
            <w:vAlign w:val="top"/>
          </w:tcPr>
          <w:p>
            <w:pPr>
              <w:spacing w:after="0"/>
            </w:pPr>
            <w:r>
              <w:rPr>
                <w:b/>
                <w:color w:val="FFFFFF"/>
                <w:sz w:val="17"/>
                <w:szCs w:val="17"/>
              </w:rPr>
              <w:t xml:space="preserve">Taille (octets)</w:t>
            </w:r>
          </w:p>
        </w:tc>
        <w:tc>
          <w:tcPr>
            <w:tcW w:w="1900" w:type="dxa"/>
            <w:shd w:val="clear" w:color="auto" w:fill="1A5276"/>
            <w:vAlign w:val="top"/>
          </w:tcPr>
          <w:p>
            <w:pPr>
              <w:spacing w:after="0"/>
            </w:pPr>
            <w:r>
              <w:rPr>
                <w:b/>
                <w:color w:val="FFFFFF"/>
                <w:sz w:val="17"/>
                <w:szCs w:val="17"/>
              </w:rPr>
              <w:t xml:space="preserve">Statut</w:t>
            </w:r>
          </w:p>
        </w:tc>
      </w:tr>
      <w:tr>
        <w:trPr>
          <w:cantSplit/>
        </w:trPr>
        <w:tc>
          <w:tcPr>
            <w:tcW w:w="6400" w:type="dxa"/>
            <w:vAlign w:val="top"/>
          </w:tcPr>
          <w:p>
            <w:pPr>
              <w:spacing w:after="0"/>
            </w:pPr>
            <w:r>
              <w:rPr>
                <w:sz w:val="17"/>
                <w:szCs w:val="17"/>
              </w:rPr>
              <w:t xml:space="preserve">LOT_6_V6_Enrichi_8plus_Partie_1_Integral.html</w:t>
            </w:r>
          </w:p>
        </w:tc>
        <w:tc>
          <w:tcPr>
            <w:tcW w:w="4600" w:type="dxa"/>
            <w:vAlign w:val="top"/>
          </w:tcPr>
          <w:p>
            <w:pPr>
              <w:spacing w:after="0"/>
            </w:pPr>
            <w:r>
              <w:rPr>
                <w:sz w:val="17"/>
                <w:szCs w:val="17"/>
              </w:rPr>
              <w:t xml:space="preserve">1ZUyX3P6fMcojEhxtBrYG53naW0C55sd3</w:t>
            </w:r>
          </w:p>
        </w:tc>
        <w:tc>
          <w:tcPr>
            <w:tcW w:w="1500" w:type="dxa"/>
            <w:vAlign w:val="top"/>
          </w:tcPr>
          <w:p>
            <w:pPr>
              <w:spacing w:after="0"/>
            </w:pPr>
            <w:r>
              <w:rPr>
                <w:sz w:val="17"/>
                <w:szCs w:val="17"/>
              </w:rPr>
              <w:t xml:space="preserve">83940</w:t>
            </w:r>
          </w:p>
        </w:tc>
        <w:tc>
          <w:tcPr>
            <w:tcW w:w="1900" w:type="dxa"/>
            <w:vAlign w:val="top"/>
          </w:tcPr>
          <w:p>
            <w:pPr>
              <w:spacing w:after="0"/>
            </w:pPr>
            <w:r>
              <w:rPr>
                <w:sz w:val="17"/>
                <w:szCs w:val="17"/>
              </w:rPr>
              <w:t xml:space="preserve">HTML</w:t>
            </w:r>
          </w:p>
        </w:tc>
      </w:tr>
      <w:tr>
        <w:trPr>
          <w:cantSplit/>
        </w:trPr>
        <w:tc>
          <w:tcPr>
            <w:tcW w:w="6400" w:type="dxa"/>
            <w:vAlign w:val="top"/>
          </w:tcPr>
          <w:p>
            <w:pPr>
              <w:spacing w:after="0"/>
            </w:pPr>
            <w:r>
              <w:rPr>
                <w:sz w:val="17"/>
                <w:szCs w:val="17"/>
              </w:rPr>
              <w:t xml:space="preserve">LOT_6_Appel_A_V5_Ultra_Pedagogique_Plan_et_Liste__export_GoogleDoc.html</w:t>
            </w:r>
          </w:p>
        </w:tc>
        <w:tc>
          <w:tcPr>
            <w:tcW w:w="4600" w:type="dxa"/>
            <w:vAlign w:val="top"/>
          </w:tcPr>
          <w:p>
            <w:pPr>
              <w:spacing w:after="0"/>
            </w:pPr>
            <w:r>
              <w:rPr>
                <w:sz w:val="17"/>
                <w:szCs w:val="17"/>
              </w:rPr>
              <w:t xml:space="preserve">1P5GMBJMRcC9Gqy2mbVn8k8QJMXEPPAn8EcOM_AvvIUU</w:t>
            </w:r>
          </w:p>
        </w:tc>
        <w:tc>
          <w:tcPr>
            <w:tcW w:w="1500" w:type="dxa"/>
            <w:vAlign w:val="top"/>
          </w:tcPr>
          <w:p>
            <w:pPr>
              <w:spacing w:after="0"/>
            </w:pPr>
            <w:r>
              <w:rPr>
                <w:sz w:val="17"/>
                <w:szCs w:val="17"/>
              </w:rPr>
              <w:t xml:space="preserve">72579</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LOT_6_Appel_B_V5_Ultra_Pedagogique_Partie_2_DX.3_a_DX.4__export_GoogleDoc.html</w:t>
            </w:r>
          </w:p>
        </w:tc>
        <w:tc>
          <w:tcPr>
            <w:tcW w:w="4600" w:type="dxa"/>
            <w:vAlign w:val="top"/>
          </w:tcPr>
          <w:p>
            <w:pPr>
              <w:spacing w:after="0"/>
            </w:pPr>
            <w:r>
              <w:rPr>
                <w:sz w:val="17"/>
                <w:szCs w:val="17"/>
              </w:rPr>
              <w:t xml:space="preserve">1DBvRImnM1PmOPX2rQHFVIenrY5hg1jnf9VzxeS7nrTY</w:t>
            </w:r>
          </w:p>
        </w:tc>
        <w:tc>
          <w:tcPr>
            <w:tcW w:w="1500" w:type="dxa"/>
            <w:vAlign w:val="top"/>
          </w:tcPr>
          <w:p>
            <w:pPr>
              <w:spacing w:after="0"/>
            </w:pPr>
            <w:r>
              <w:rPr>
                <w:sz w:val="17"/>
                <w:szCs w:val="17"/>
              </w:rPr>
              <w:t xml:space="preserve">65850</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LOT_6_Appel_B_V5_Ultra_Pedagogique_Partie_3_DX.5_a_DX.7__export_GoogleDoc.html</w:t>
            </w:r>
          </w:p>
        </w:tc>
        <w:tc>
          <w:tcPr>
            <w:tcW w:w="4600" w:type="dxa"/>
            <w:vAlign w:val="top"/>
          </w:tcPr>
          <w:p>
            <w:pPr>
              <w:spacing w:after="0"/>
            </w:pPr>
            <w:r>
              <w:rPr>
                <w:sz w:val="17"/>
                <w:szCs w:val="17"/>
              </w:rPr>
              <w:t xml:space="preserve">1486j9v6GQD7P5nPTB5l3Hmefi2qMaimWMBrHQ6brgg0</w:t>
            </w:r>
          </w:p>
        </w:tc>
        <w:tc>
          <w:tcPr>
            <w:tcW w:w="1500" w:type="dxa"/>
            <w:vAlign w:val="top"/>
          </w:tcPr>
          <w:p>
            <w:pPr>
              <w:spacing w:after="0"/>
            </w:pPr>
            <w:r>
              <w:rPr>
                <w:sz w:val="17"/>
                <w:szCs w:val="17"/>
              </w:rPr>
              <w:t xml:space="preserve">91960</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LOT_6_Appel_B_V5_Ultra_Pedagogique_Partie_1_DX.1_a_DX.2__export_GoogleDoc.html</w:t>
            </w:r>
          </w:p>
        </w:tc>
        <w:tc>
          <w:tcPr>
            <w:tcW w:w="4600" w:type="dxa"/>
            <w:vAlign w:val="top"/>
          </w:tcPr>
          <w:p>
            <w:pPr>
              <w:spacing w:after="0"/>
            </w:pPr>
            <w:r>
              <w:rPr>
                <w:sz w:val="17"/>
                <w:szCs w:val="17"/>
              </w:rPr>
              <w:t xml:space="preserve">1t11BkKtIro7EoCCx9GiSgbXk4x2YaOniKwFRQJL8nv0</w:t>
            </w:r>
          </w:p>
        </w:tc>
        <w:tc>
          <w:tcPr>
            <w:tcW w:w="1500" w:type="dxa"/>
            <w:vAlign w:val="top"/>
          </w:tcPr>
          <w:p>
            <w:pPr>
              <w:spacing w:after="0"/>
            </w:pPr>
            <w:r>
              <w:rPr>
                <w:sz w:val="17"/>
                <w:szCs w:val="17"/>
              </w:rPr>
              <w:t xml:space="preserve">75135</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LOT_6_Appel_B_V5_Ultra_Pedagogique_Partie_4_DX.8_a_DX.10__export_GoogleDoc.html</w:t>
            </w:r>
          </w:p>
        </w:tc>
        <w:tc>
          <w:tcPr>
            <w:tcW w:w="4600" w:type="dxa"/>
            <w:vAlign w:val="top"/>
          </w:tcPr>
          <w:p>
            <w:pPr>
              <w:spacing w:after="0"/>
            </w:pPr>
            <w:r>
              <w:rPr>
                <w:sz w:val="17"/>
                <w:szCs w:val="17"/>
              </w:rPr>
              <w:t xml:space="preserve">1BmOcaJLQRWyhcqwDnzLO_xfP_DRaAlwE63vMGQVM2ak</w:t>
            </w:r>
          </w:p>
        </w:tc>
        <w:tc>
          <w:tcPr>
            <w:tcW w:w="1500" w:type="dxa"/>
            <w:vAlign w:val="top"/>
          </w:tcPr>
          <w:p>
            <w:pPr>
              <w:spacing w:after="0"/>
            </w:pPr>
            <w:r>
              <w:rPr>
                <w:sz w:val="17"/>
                <w:szCs w:val="17"/>
              </w:rPr>
              <w:t xml:space="preserve">80817</w:t>
            </w:r>
          </w:p>
        </w:tc>
        <w:tc>
          <w:tcPr>
            <w:tcW w:w="1900" w:type="dxa"/>
            <w:vAlign w:val="top"/>
          </w:tcPr>
          <w:p>
            <w:pPr>
              <w:spacing w:after="0"/>
            </w:pPr>
            <w:r>
              <w:rPr>
                <w:sz w:val="17"/>
                <w:szCs w:val="17"/>
              </w:rPr>
              <w:t xml:space="preserve">export Google Doc</w:t>
            </w:r>
          </w:p>
        </w:tc>
      </w:tr>
    </w:tbl>
    <w:p>
      <w:pPr>
        <w:spacing w:after="120"/>
      </w:pPr>
    </w:p>
    <w:p>
      <w:pPr>
        <w:pStyle w:val="Titre1"/>
        <w:keepNext/>
      </w:pPr>
      <w:r>
        <w:rPr>
          <w:b/>
          <w:color w:val="8B0000"/>
          <w:sz w:val="26"/>
          <w:szCs w:val="26"/>
        </w:rPr>
        <w:t xml:space="preserve">Critique — 2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8B0000"/>
            <w:vAlign w:val="top"/>
          </w:tcPr>
          <w:p>
            <w:pPr>
              <w:spacing w:after="0"/>
            </w:pPr>
            <w:r>
              <w:rPr>
                <w:b/>
                <w:color w:val="FFFFFF"/>
                <w:sz w:val="17"/>
                <w:szCs w:val="17"/>
              </w:rPr>
              <w:t xml:space="preserve">Fait</w:t>
            </w:r>
          </w:p>
        </w:tc>
        <w:tc>
          <w:tcPr>
            <w:tcW w:w="900" w:type="dxa"/>
            <w:shd w:val="clear" w:color="auto" w:fill="8B0000"/>
            <w:vAlign w:val="top"/>
          </w:tcPr>
          <w:p>
            <w:pPr>
              <w:spacing w:after="0"/>
            </w:pPr>
            <w:r>
              <w:rPr>
                <w:b/>
                <w:color w:val="FFFFFF"/>
                <w:sz w:val="17"/>
                <w:szCs w:val="17"/>
              </w:rPr>
              <w:t xml:space="preserve">N°</w:t>
            </w:r>
          </w:p>
        </w:tc>
        <w:tc>
          <w:tcPr>
            <w:tcW w:w="1250" w:type="dxa"/>
            <w:shd w:val="clear" w:color="auto" w:fill="8B0000"/>
            <w:vAlign w:val="top"/>
          </w:tcPr>
          <w:p>
            <w:pPr>
              <w:spacing w:after="0"/>
            </w:pPr>
            <w:r>
              <w:rPr>
                <w:b/>
                <w:color w:val="FFFFFF"/>
                <w:sz w:val="17"/>
                <w:szCs w:val="17"/>
              </w:rPr>
              <w:t xml:space="preserve">Domaine</w:t>
            </w:r>
          </w:p>
        </w:tc>
        <w:tc>
          <w:tcPr>
            <w:tcW w:w="1900" w:type="dxa"/>
            <w:shd w:val="clear" w:color="auto" w:fill="8B0000"/>
            <w:vAlign w:val="top"/>
          </w:tcPr>
          <w:p>
            <w:pPr>
              <w:spacing w:after="0"/>
            </w:pPr>
            <w:r>
              <w:rPr>
                <w:b/>
                <w:color w:val="FFFFFF"/>
                <w:sz w:val="17"/>
                <w:szCs w:val="17"/>
              </w:rPr>
              <w:t xml:space="preserve">Fichier</w:t>
            </w:r>
          </w:p>
        </w:tc>
        <w:tc>
          <w:tcPr>
            <w:tcW w:w="2350" w:type="dxa"/>
            <w:shd w:val="clear" w:color="auto" w:fill="8B0000"/>
            <w:vAlign w:val="top"/>
          </w:tcPr>
          <w:p>
            <w:pPr>
              <w:spacing w:after="0"/>
            </w:pPr>
            <w:r>
              <w:rPr>
                <w:b/>
                <w:color w:val="FFFFFF"/>
                <w:sz w:val="17"/>
                <w:szCs w:val="17"/>
              </w:rPr>
              <w:t xml:space="preserve">Emplacement</w:t>
            </w:r>
          </w:p>
        </w:tc>
        <w:tc>
          <w:tcPr>
            <w:tcW w:w="2600" w:type="dxa"/>
            <w:shd w:val="clear" w:color="auto" w:fill="8B0000"/>
            <w:vAlign w:val="top"/>
          </w:tcPr>
          <w:p>
            <w:pPr>
              <w:spacing w:after="0"/>
            </w:pPr>
            <w:r>
              <w:rPr>
                <w:b/>
                <w:color w:val="FFFFFF"/>
                <w:sz w:val="17"/>
                <w:szCs w:val="17"/>
              </w:rPr>
              <w:t xml:space="preserve">Extrait exact</w:t>
            </w:r>
          </w:p>
        </w:tc>
        <w:tc>
          <w:tcPr>
            <w:tcW w:w="3000" w:type="dxa"/>
            <w:shd w:val="clear" w:color="auto" w:fill="8B0000"/>
            <w:vAlign w:val="top"/>
          </w:tcPr>
          <w:p>
            <w:pPr>
              <w:spacing w:after="0"/>
            </w:pPr>
            <w:r>
              <w:rPr>
                <w:b/>
                <w:color w:val="FFFFFF"/>
                <w:sz w:val="17"/>
                <w:szCs w:val="17"/>
              </w:rPr>
              <w:t xml:space="preserve">Problème → correction</w:t>
            </w:r>
          </w:p>
        </w:tc>
        <w:tc>
          <w:tcPr>
            <w:tcW w:w="1800" w:type="dxa"/>
            <w:shd w:val="clear" w:color="auto" w:fill="8B0000"/>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L6-L34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LOT_6_Appel_B_V5_Ultra_Pedagogique_Partie_3_DX.5_a_DX.7__export_GoogleDoc.html</w:t>
            </w:r>
          </w:p>
        </w:tc>
        <w:tc>
          <w:tcPr>
            <w:tcW w:w="2350" w:type="dxa"/>
            <w:vAlign w:val="top"/>
          </w:tcPr>
          <w:p>
            <w:pPr>
              <w:spacing w:after="0"/>
            </w:pPr>
            <w:r>
              <w:rPr>
                <w:sz w:val="17"/>
                <w:szCs w:val="17"/>
              </w:rPr>
              <w:t xml:space="preserve">Appel B V5 Partie 3 › D6.5 › point 11.B › 1. Corticothérapie</w:t>
            </w:r>
          </w:p>
        </w:tc>
        <w:tc>
          <w:tcPr>
            <w:tcW w:w="2600" w:type="dxa"/>
            <w:vAlign w:val="top"/>
          </w:tcPr>
          <w:p>
            <w:pPr>
              <w:spacing w:after="0"/>
            </w:pPr>
            <w:r>
              <w:rPr>
                <w:i/>
                <w:sz w:val="17"/>
                <w:szCs w:val="17"/>
              </w:rPr>
              <w:t xml:space="preserve">« Dexaméthasone (10 mg IV avant ou concomitamment à la 1ère dose d'antibiotique pendant 4 jours) »</w:t>
            </w:r>
          </w:p>
        </w:tc>
        <w:tc>
          <w:tcPr>
            <w:tcW w:w="3000" w:type="dxa"/>
            <w:vAlign w:val="top"/>
          </w:tcPr>
          <w:p>
            <w:pPr>
              <w:spacing w:after="40"/>
            </w:pPr>
            <w:r>
              <w:rPr>
                <w:sz w:val="17"/>
                <w:szCs w:val="17"/>
              </w:rPr>
              <w:t xml:space="preserve">La posologie omet le rythme « toutes les 6 heures » : lue telle quelle, elle conduit à 10 mg par jour, soit quatre fois moins que le schéma validé dans la méningite bactérienne.</w:t>
            </w:r>
          </w:p>
          <w:p>
            <w:pPr>
              <w:spacing w:after="0"/>
            </w:pPr>
            <w:r>
              <w:rPr>
                <w:b/>
                <w:color w:val="145A32"/>
                <w:sz w:val="17"/>
                <w:szCs w:val="17"/>
              </w:rPr>
              <w:t xml:space="preserve">→ Dexaméthasone 10 mg IV toutes les 6 heures pendant 4 jours, la première dose étant donnée juste avant ou avec la première dose d'antibiotique ; arrêt si un germe autre que le pneumocoque ou Haemophilus est identifié.</w:t>
            </w:r>
          </w:p>
        </w:tc>
        <w:tc>
          <w:tcPr>
            <w:tcW w:w="1800" w:type="dxa"/>
            <w:vAlign w:val="top"/>
          </w:tcPr>
          <w:p>
            <w:pPr>
              <w:spacing w:after="0"/>
            </w:pPr>
            <w:r>
              <w:rPr>
                <w:sz w:val="17"/>
                <w:szCs w:val="17"/>
              </w:rPr>
              <w:t xml:space="preserve">ESCMID guideline: diagnosis and treatment of acute bacterial meningitis — van de Beek D. et al., Clin Microbiol Infect 2016;22 Suppl 3:S37–S62 (lu via résumé secondaire, à confirmer sur le texte primaire) ; essai européen de Gans J., van de Beek D., N Engl J Med 2002;347:1549–56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L6-M04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LOT_6_Appel_B_V5_Ultra_Pedagogique_Partie_3_DX.5_a_DX.7__export_GoogleDoc.html</w:t>
            </w:r>
          </w:p>
        </w:tc>
        <w:tc>
          <w:tcPr>
            <w:tcW w:w="2350" w:type="dxa"/>
            <w:vAlign w:val="top"/>
          </w:tcPr>
          <w:p>
            <w:pPr>
              <w:spacing w:after="0"/>
            </w:pPr>
            <w:r>
              <w:rPr>
                <w:sz w:val="17"/>
                <w:szCs w:val="17"/>
              </w:rPr>
              <w:t xml:space="preserve">Appel B V5 Partie 3 › D6.5 › point 11.B › « Corticothérapie préalable anti-inflammatoire »</w:t>
            </w:r>
          </w:p>
        </w:tc>
        <w:tc>
          <w:tcPr>
            <w:tcW w:w="2600" w:type="dxa"/>
            <w:vAlign w:val="top"/>
          </w:tcPr>
          <w:p>
            <w:pPr>
              <w:spacing w:after="0"/>
            </w:pPr>
            <w:r>
              <w:rPr>
                <w:i/>
                <w:sz w:val="17"/>
                <w:szCs w:val="17"/>
              </w:rPr>
              <w:t xml:space="preserve">« Dexaméthasone (10 mg IV avant ou concomitamment à la 1ère dose d'antibiotique pendant 4 jours). »</w:t>
            </w:r>
          </w:p>
        </w:tc>
        <w:tc>
          <w:tcPr>
            <w:tcW w:w="3000" w:type="dxa"/>
            <w:vAlign w:val="top"/>
          </w:tcPr>
          <w:p>
            <w:pPr>
              <w:spacing w:after="40"/>
            </w:pPr>
            <w:r>
              <w:rPr>
                <w:sz w:val="17"/>
                <w:szCs w:val="17"/>
              </w:rPr>
              <w:t xml:space="preserve">Ce fichier est un export de Google Docs périmé (règle 0) sans section Sources ; la dexaméthasone y est donnée sans rythme, ce qui laisse lire 10 mg par jour (sous-dosage de 75 %), la vancomycine n'a pas de dose, et le point 13 propose l'ampicilline intramusculaire devant un purpura fulminans.</w:t>
            </w:r>
          </w:p>
          <w:p>
            <w:pPr>
              <w:spacing w:after="0"/>
            </w:pPr>
            <w:r>
              <w:rPr>
                <w:b/>
                <w:color w:val="145A32"/>
                <w:sz w:val="17"/>
                <w:szCs w:val="17"/>
              </w:rPr>
              <w:t xml:space="preserve">→ Archiver le fichier avec le suffixe _OBSOLETE_ ; toute reprise doit écrire : « Dexaméthasone 10 mg IV toutes les 6 heures pendant 4 jours, première dose juste avant ou avec l'antibiotique ; ceftriaxone 2 g IV toutes les 12 heures ; ampicilline 2 g IV toutes les 4 heures si âge &gt; 50 ans ou immunodépression ; vancomycine ou rifampicine seulement en cas de pneumocoque résistant probable (voyage) ». Purpura fulminans : ceftriaxone IV ou IM immédiate.</w:t>
            </w:r>
          </w:p>
        </w:tc>
        <w:tc>
          <w:tcPr>
            <w:tcW w:w="1800" w:type="dxa"/>
            <w:vAlign w:val="top"/>
          </w:tcPr>
          <w:p>
            <w:pPr>
              <w:spacing w:after="0"/>
            </w:pPr>
            <w:r>
              <w:rPr>
                <w:sz w:val="17"/>
                <w:szCs w:val="17"/>
              </w:rPr>
              <w:t xml:space="preserve">Klein M et al. German guidelines on community-acquired acute bacterial meningitis in adults (DGN/AWMF 030/089). Neurol Res Pract 2023;5:44 — https://pmc.ncbi.nlm.nih.gov/articles/PMC10470134/ — consulté le 22.10.2026.</w:t>
            </w:r>
          </w:p>
        </w:tc>
      </w:tr>
    </w:tbl>
    <w:p>
      <w:pPr>
        <w:spacing w:after="120"/>
      </w:pPr>
    </w:p>
    <w:p>
      <w:pPr>
        <w:pStyle w:val="Titre1"/>
        <w:keepNext/>
      </w:pPr>
      <w:r>
        <w:rPr>
          <w:b/>
          <w:color w:val="C0392B"/>
          <w:sz w:val="26"/>
          <w:szCs w:val="26"/>
        </w:rPr>
        <w:t xml:space="preserve">Grave — 37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C0392B"/>
            <w:vAlign w:val="top"/>
          </w:tcPr>
          <w:p>
            <w:pPr>
              <w:spacing w:after="0"/>
            </w:pPr>
            <w:r>
              <w:rPr>
                <w:b/>
                <w:color w:val="FFFFFF"/>
                <w:sz w:val="17"/>
                <w:szCs w:val="17"/>
              </w:rPr>
              <w:t xml:space="preserve">Fait</w:t>
            </w:r>
          </w:p>
        </w:tc>
        <w:tc>
          <w:tcPr>
            <w:tcW w:w="900" w:type="dxa"/>
            <w:shd w:val="clear" w:color="auto" w:fill="C0392B"/>
            <w:vAlign w:val="top"/>
          </w:tcPr>
          <w:p>
            <w:pPr>
              <w:spacing w:after="0"/>
            </w:pPr>
            <w:r>
              <w:rPr>
                <w:b/>
                <w:color w:val="FFFFFF"/>
                <w:sz w:val="17"/>
                <w:szCs w:val="17"/>
              </w:rPr>
              <w:t xml:space="preserve">N°</w:t>
            </w:r>
          </w:p>
        </w:tc>
        <w:tc>
          <w:tcPr>
            <w:tcW w:w="1250" w:type="dxa"/>
            <w:shd w:val="clear" w:color="auto" w:fill="C0392B"/>
            <w:vAlign w:val="top"/>
          </w:tcPr>
          <w:p>
            <w:pPr>
              <w:spacing w:after="0"/>
            </w:pPr>
            <w:r>
              <w:rPr>
                <w:b/>
                <w:color w:val="FFFFFF"/>
                <w:sz w:val="17"/>
                <w:szCs w:val="17"/>
              </w:rPr>
              <w:t xml:space="preserve">Domaine</w:t>
            </w:r>
          </w:p>
        </w:tc>
        <w:tc>
          <w:tcPr>
            <w:tcW w:w="1900" w:type="dxa"/>
            <w:shd w:val="clear" w:color="auto" w:fill="C0392B"/>
            <w:vAlign w:val="top"/>
          </w:tcPr>
          <w:p>
            <w:pPr>
              <w:spacing w:after="0"/>
            </w:pPr>
            <w:r>
              <w:rPr>
                <w:b/>
                <w:color w:val="FFFFFF"/>
                <w:sz w:val="17"/>
                <w:szCs w:val="17"/>
              </w:rPr>
              <w:t xml:space="preserve">Fichier</w:t>
            </w:r>
          </w:p>
        </w:tc>
        <w:tc>
          <w:tcPr>
            <w:tcW w:w="2350" w:type="dxa"/>
            <w:shd w:val="clear" w:color="auto" w:fill="C0392B"/>
            <w:vAlign w:val="top"/>
          </w:tcPr>
          <w:p>
            <w:pPr>
              <w:spacing w:after="0"/>
            </w:pPr>
            <w:r>
              <w:rPr>
                <w:b/>
                <w:color w:val="FFFFFF"/>
                <w:sz w:val="17"/>
                <w:szCs w:val="17"/>
              </w:rPr>
              <w:t xml:space="preserve">Emplacement</w:t>
            </w:r>
          </w:p>
        </w:tc>
        <w:tc>
          <w:tcPr>
            <w:tcW w:w="2600" w:type="dxa"/>
            <w:shd w:val="clear" w:color="auto" w:fill="C0392B"/>
            <w:vAlign w:val="top"/>
          </w:tcPr>
          <w:p>
            <w:pPr>
              <w:spacing w:after="0"/>
            </w:pPr>
            <w:r>
              <w:rPr>
                <w:b/>
                <w:color w:val="FFFFFF"/>
                <w:sz w:val="17"/>
                <w:szCs w:val="17"/>
              </w:rPr>
              <w:t xml:space="preserve">Extrait exact</w:t>
            </w:r>
          </w:p>
        </w:tc>
        <w:tc>
          <w:tcPr>
            <w:tcW w:w="3000" w:type="dxa"/>
            <w:shd w:val="clear" w:color="auto" w:fill="C0392B"/>
            <w:vAlign w:val="top"/>
          </w:tcPr>
          <w:p>
            <w:pPr>
              <w:spacing w:after="0"/>
            </w:pPr>
            <w:r>
              <w:rPr>
                <w:b/>
                <w:color w:val="FFFFFF"/>
                <w:sz w:val="17"/>
                <w:szCs w:val="17"/>
              </w:rPr>
              <w:t xml:space="preserve">Problème → correction</w:t>
            </w:r>
          </w:p>
        </w:tc>
        <w:tc>
          <w:tcPr>
            <w:tcW w:w="1800" w:type="dxa"/>
            <w:shd w:val="clear" w:color="auto" w:fill="C0392B"/>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L6-L01</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LOT_6_Appel_A_V5_Ultra_Pedagogique_Plan_et_Liste__export_GoogleDoc.html</w:t>
            </w:r>
          </w:p>
        </w:tc>
        <w:tc>
          <w:tcPr>
            <w:tcW w:w="2350" w:type="dxa"/>
            <w:vAlign w:val="top"/>
          </w:tcPr>
          <w:p>
            <w:pPr>
              <w:spacing w:after="0"/>
            </w:pPr>
            <w:r>
              <w:rPr>
                <w:sz w:val="17"/>
                <w:szCs w:val="17"/>
              </w:rPr>
              <w:t xml:space="preserve">Appel A V5 (Google Doc exporté) › document entier</w:t>
            </w:r>
          </w:p>
        </w:tc>
        <w:tc>
          <w:tcPr>
            <w:tcW w:w="2600" w:type="dxa"/>
            <w:vAlign w:val="top"/>
          </w:tcPr>
          <w:p>
            <w:pPr>
              <w:spacing w:after="0"/>
            </w:pPr>
            <w:r>
              <w:rPr>
                <w:i/>
                <w:sz w:val="17"/>
                <w:szCs w:val="17"/>
              </w:rPr>
              <w:t xml:space="preserve">« BLOC 1 : PLAN MONOGRAPHIQUE DU SSP PRINCIPAL (G6 — FIÈVRE) »</w:t>
            </w:r>
          </w:p>
        </w:tc>
        <w:tc>
          <w:tcPr>
            <w:tcW w:w="3000" w:type="dxa"/>
            <w:vAlign w:val="top"/>
          </w:tcPr>
          <w:p>
            <w:pPr>
              <w:spacing w:after="40"/>
            </w:pPr>
            <w:r>
              <w:rPr>
                <w:sz w:val="17"/>
                <w:szCs w:val="17"/>
              </w:rPr>
              <w:t xml:space="preserve">Le fichier existe dans Drive sous forme de Google Doc ; cette conversion viole la règle 0, détruit les fenêtres (0 balise &lt;details&gt;) et supprime la balise FIN_FICHIER.</w:t>
            </w:r>
          </w:p>
          <w:p>
            <w:pPr>
              <w:spacing w:after="0"/>
            </w:pPr>
            <w:r>
              <w:rPr>
                <w:b/>
                <w:color w:val="145A32"/>
                <w:sz w:val="17"/>
                <w:szCs w:val="17"/>
              </w:rPr>
              <w:t xml:space="preserve">→ Déplacer ce Google Doc dans CORBEILLE_DOUBLONS_OBSOLETES avec le suffixe _OBSOLETE_ après dépôt d'un Appel A en .html (type MIME text/html, taille Drive = taille locale).</w:t>
            </w:r>
          </w:p>
        </w:tc>
        <w:tc>
          <w:tcPr>
            <w:tcW w:w="1800" w:type="dxa"/>
            <w:vAlign w:val="top"/>
          </w:tcPr>
          <w:p>
            <w:pPr>
              <w:spacing w:after="0"/>
            </w:pPr>
            <w:r>
              <w:rPr>
                <w:sz w:val="17"/>
                <w:szCs w:val="17"/>
              </w:rPr>
              <w:t xml:space="preserve">PROMPT_V6.md (prompt de base du projet),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L6-L02</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LOT_6_Appel_B_V5_Ultra_Pedagogique_Partie_1_DX.1_a_DX.2__export_GoogleDoc.html</w:t>
            </w:r>
          </w:p>
        </w:tc>
        <w:tc>
          <w:tcPr>
            <w:tcW w:w="2350" w:type="dxa"/>
            <w:vAlign w:val="top"/>
          </w:tcPr>
          <w:p>
            <w:pPr>
              <w:spacing w:after="0"/>
            </w:pPr>
            <w:r>
              <w:rPr>
                <w:sz w:val="17"/>
                <w:szCs w:val="17"/>
              </w:rPr>
              <w:t xml:space="preserve">Appel B V5 Partie 1 (Google Doc exporté) › document entier</w:t>
            </w:r>
          </w:p>
        </w:tc>
        <w:tc>
          <w:tcPr>
            <w:tcW w:w="2600" w:type="dxa"/>
            <w:vAlign w:val="top"/>
          </w:tcPr>
          <w:p>
            <w:pPr>
              <w:spacing w:after="0"/>
            </w:pPr>
            <w:r>
              <w:rPr>
                <w:i/>
                <w:sz w:val="17"/>
                <w:szCs w:val="17"/>
              </w:rPr>
              <w:t xml:space="preserve">« Appel B - Partie 1/4 (D6.1 à D6.2) »</w:t>
            </w:r>
          </w:p>
        </w:tc>
        <w:tc>
          <w:tcPr>
            <w:tcW w:w="3000" w:type="dxa"/>
            <w:vAlign w:val="top"/>
          </w:tcPr>
          <w:p>
            <w:pPr>
              <w:spacing w:after="40"/>
            </w:pPr>
            <w:r>
              <w:rPr>
                <w:sz w:val="17"/>
                <w:szCs w:val="17"/>
              </w:rPr>
              <w:t xml:space="preserve">Cette Partie 1 existe sous forme de Google Doc ; elle viole la règle 0, ne contient aucune fenêtre &lt;details&gt; et ne porte pas la balise FIN_FICHIER.</w:t>
            </w:r>
          </w:p>
          <w:p>
            <w:pPr>
              <w:spacing w:after="0"/>
            </w:pPr>
            <w:r>
              <w:rPr>
                <w:b/>
                <w:color w:val="145A32"/>
                <w:sz w:val="17"/>
                <w:szCs w:val="17"/>
              </w:rPr>
              <w:t xml:space="preserve">→ Archiver ce Google Doc dans CORBEILLE_DOUBLONS_OBSOLETES (suffixe _OBSOLETE_) après dépôt de la Partie 1 au format .html.</w:t>
            </w:r>
          </w:p>
        </w:tc>
        <w:tc>
          <w:tcPr>
            <w:tcW w:w="1800" w:type="dxa"/>
            <w:vAlign w:val="top"/>
          </w:tcPr>
          <w:p>
            <w:pPr>
              <w:spacing w:after="0"/>
            </w:pPr>
            <w:r>
              <w:rPr>
                <w:sz w:val="17"/>
                <w:szCs w:val="17"/>
              </w:rPr>
              <w:t xml:space="preserve">PROMPT_V6.md (prompt de base du projet), § 0, § 10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L6-L03</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LOT_6_Appel_B_V5_Ultra_Pedagogique_Partie_2_DX.3_a_DX.4__export_GoogleDoc.html</w:t>
            </w:r>
          </w:p>
        </w:tc>
        <w:tc>
          <w:tcPr>
            <w:tcW w:w="2350" w:type="dxa"/>
            <w:vAlign w:val="top"/>
          </w:tcPr>
          <w:p>
            <w:pPr>
              <w:spacing w:after="0"/>
            </w:pPr>
            <w:r>
              <w:rPr>
                <w:sz w:val="17"/>
                <w:szCs w:val="17"/>
              </w:rPr>
              <w:t xml:space="preserve">Appel B V5 Partie 2 (Google Doc exporté) › document entier</w:t>
            </w:r>
          </w:p>
        </w:tc>
        <w:tc>
          <w:tcPr>
            <w:tcW w:w="2600" w:type="dxa"/>
            <w:vAlign w:val="top"/>
          </w:tcPr>
          <w:p>
            <w:pPr>
              <w:spacing w:after="0"/>
            </w:pPr>
            <w:r>
              <w:rPr>
                <w:i/>
                <w:sz w:val="17"/>
                <w:szCs w:val="17"/>
              </w:rPr>
              <w:t xml:space="preserve">« Appel B - Partie 2/4 (D6.3 à D6.4) »</w:t>
            </w:r>
          </w:p>
        </w:tc>
        <w:tc>
          <w:tcPr>
            <w:tcW w:w="3000" w:type="dxa"/>
            <w:vAlign w:val="top"/>
          </w:tcPr>
          <w:p>
            <w:pPr>
              <w:spacing w:after="40"/>
            </w:pPr>
            <w:r>
              <w:rPr>
                <w:sz w:val="17"/>
                <w:szCs w:val="17"/>
              </w:rPr>
              <w:t xml:space="preserve">Cette Partie 2 existe sous forme de Google Doc ; elle viole la règle 0, ne contient aucune fenêtre &lt;details&gt; et ne porte pas la balise FIN_FICHIER.</w:t>
            </w:r>
          </w:p>
          <w:p>
            <w:pPr>
              <w:spacing w:after="0"/>
            </w:pPr>
            <w:r>
              <w:rPr>
                <w:b/>
                <w:color w:val="145A32"/>
                <w:sz w:val="17"/>
                <w:szCs w:val="17"/>
              </w:rPr>
              <w:t xml:space="preserve">→ Archiver ce Google Doc dans CORBEILLE_DOUBLONS_OBSOLETES (suffixe _OBSOLETE_) après dépôt de la Partie 2 au format .html.</w:t>
            </w:r>
          </w:p>
        </w:tc>
        <w:tc>
          <w:tcPr>
            <w:tcW w:w="1800" w:type="dxa"/>
            <w:vAlign w:val="top"/>
          </w:tcPr>
          <w:p>
            <w:pPr>
              <w:spacing w:after="0"/>
            </w:pPr>
            <w:r>
              <w:rPr>
                <w:sz w:val="17"/>
                <w:szCs w:val="17"/>
              </w:rPr>
              <w:t xml:space="preserve">PROMPT_V6.md (prompt de base du projet), § 0, § 10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L6-L04</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LOT_6_Appel_B_V5_Ultra_Pedagogique_Partie_3_DX.5_a_DX.7__export_GoogleDoc.html</w:t>
            </w:r>
          </w:p>
        </w:tc>
        <w:tc>
          <w:tcPr>
            <w:tcW w:w="2350" w:type="dxa"/>
            <w:vAlign w:val="top"/>
          </w:tcPr>
          <w:p>
            <w:pPr>
              <w:spacing w:after="0"/>
            </w:pPr>
            <w:r>
              <w:rPr>
                <w:sz w:val="17"/>
                <w:szCs w:val="17"/>
              </w:rPr>
              <w:t xml:space="preserve">Appel B V5 Partie 3 (Google Doc exporté) › document entier</w:t>
            </w:r>
          </w:p>
        </w:tc>
        <w:tc>
          <w:tcPr>
            <w:tcW w:w="2600" w:type="dxa"/>
            <w:vAlign w:val="top"/>
          </w:tcPr>
          <w:p>
            <w:pPr>
              <w:spacing w:after="0"/>
            </w:pPr>
            <w:r>
              <w:rPr>
                <w:i/>
                <w:sz w:val="17"/>
                <w:szCs w:val="17"/>
              </w:rPr>
              <w:t xml:space="preserve">« Appel B - Partie 3/4 (D6.5 à D6.7) »</w:t>
            </w:r>
          </w:p>
        </w:tc>
        <w:tc>
          <w:tcPr>
            <w:tcW w:w="3000" w:type="dxa"/>
            <w:vAlign w:val="top"/>
          </w:tcPr>
          <w:p>
            <w:pPr>
              <w:spacing w:after="40"/>
            </w:pPr>
            <w:r>
              <w:rPr>
                <w:sz w:val="17"/>
                <w:szCs w:val="17"/>
              </w:rPr>
              <w:t xml:space="preserve">Cette Partie 3 existe sous forme de Google Doc ; elle viole la règle 0, ne contient aucune fenêtre &lt;details&gt; et ne porte pas la balise FIN_FICHIER.</w:t>
            </w:r>
          </w:p>
          <w:p>
            <w:pPr>
              <w:spacing w:after="0"/>
            </w:pPr>
            <w:r>
              <w:rPr>
                <w:b/>
                <w:color w:val="145A32"/>
                <w:sz w:val="17"/>
                <w:szCs w:val="17"/>
              </w:rPr>
              <w:t xml:space="preserve">→ Archiver ce Google Doc dans CORBEILLE_DOUBLONS_OBSOLETES (suffixe _OBSOLETE_) après dépôt de la Partie 3 au format .html.</w:t>
            </w:r>
          </w:p>
        </w:tc>
        <w:tc>
          <w:tcPr>
            <w:tcW w:w="1800" w:type="dxa"/>
            <w:vAlign w:val="top"/>
          </w:tcPr>
          <w:p>
            <w:pPr>
              <w:spacing w:after="0"/>
            </w:pPr>
            <w:r>
              <w:rPr>
                <w:sz w:val="17"/>
                <w:szCs w:val="17"/>
              </w:rPr>
              <w:t xml:space="preserve">PROMPT_V6.md (prompt de base du projet), § 0, § 10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L6-L05</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LOT_6_Appel_B_V5_Ultra_Pedagogique_Partie_4_DX.8_a_DX.10__export_GoogleDoc.html</w:t>
            </w:r>
          </w:p>
        </w:tc>
        <w:tc>
          <w:tcPr>
            <w:tcW w:w="2350" w:type="dxa"/>
            <w:vAlign w:val="top"/>
          </w:tcPr>
          <w:p>
            <w:pPr>
              <w:spacing w:after="0"/>
            </w:pPr>
            <w:r>
              <w:rPr>
                <w:sz w:val="17"/>
                <w:szCs w:val="17"/>
              </w:rPr>
              <w:t xml:space="preserve">Appel B V5 Partie 4 (Google Doc exporté) › document entier</w:t>
            </w:r>
          </w:p>
        </w:tc>
        <w:tc>
          <w:tcPr>
            <w:tcW w:w="2600" w:type="dxa"/>
            <w:vAlign w:val="top"/>
          </w:tcPr>
          <w:p>
            <w:pPr>
              <w:spacing w:after="0"/>
            </w:pPr>
            <w:r>
              <w:rPr>
                <w:i/>
                <w:sz w:val="17"/>
                <w:szCs w:val="17"/>
              </w:rPr>
              <w:t xml:space="preserve">« Appel B - Partie 4/4 (D6.8 à D6.10) »</w:t>
            </w:r>
          </w:p>
        </w:tc>
        <w:tc>
          <w:tcPr>
            <w:tcW w:w="3000" w:type="dxa"/>
            <w:vAlign w:val="top"/>
          </w:tcPr>
          <w:p>
            <w:pPr>
              <w:spacing w:after="40"/>
            </w:pPr>
            <w:r>
              <w:rPr>
                <w:sz w:val="17"/>
                <w:szCs w:val="17"/>
              </w:rPr>
              <w:t xml:space="preserve">Cette Partie 4 existe sous forme de Google Doc ; elle viole la règle 0, ne contient aucune fenêtre &lt;details&gt; et ne porte pas la balise FIN_FICHIER.</w:t>
            </w:r>
          </w:p>
          <w:p>
            <w:pPr>
              <w:spacing w:after="0"/>
            </w:pPr>
            <w:r>
              <w:rPr>
                <w:b/>
                <w:color w:val="145A32"/>
                <w:sz w:val="17"/>
                <w:szCs w:val="17"/>
              </w:rPr>
              <w:t xml:space="preserve">→ Archiver ce Google Doc dans CORBEILLE_DOUBLONS_OBSOLETES (suffixe _OBSOLETE_) après dépôt de la Partie 4 au format .html.</w:t>
            </w:r>
          </w:p>
        </w:tc>
        <w:tc>
          <w:tcPr>
            <w:tcW w:w="1800" w:type="dxa"/>
            <w:vAlign w:val="top"/>
          </w:tcPr>
          <w:p>
            <w:pPr>
              <w:spacing w:after="0"/>
            </w:pPr>
            <w:r>
              <w:rPr>
                <w:sz w:val="17"/>
                <w:szCs w:val="17"/>
              </w:rPr>
              <w:t xml:space="preserve">PROMPT_V6.md (prompt de base du projet), § 0, § 10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L6-L07</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en-tête et nommage du fichier</w:t>
            </w:r>
          </w:p>
        </w:tc>
        <w:tc>
          <w:tcPr>
            <w:tcW w:w="2600" w:type="dxa"/>
            <w:vAlign w:val="top"/>
          </w:tcPr>
          <w:p>
            <w:pPr>
              <w:spacing w:after="0"/>
            </w:pPr>
            <w:r>
              <w:rPr>
                <w:i/>
                <w:sz w:val="17"/>
                <w:szCs w:val="17"/>
              </w:rPr>
              <w:t xml:space="preserve">« Cette édition réunit le SSP principal et les dix diagnostics du plan initial. »</w:t>
            </w:r>
          </w:p>
        </w:tc>
        <w:tc>
          <w:tcPr>
            <w:tcW w:w="3000" w:type="dxa"/>
            <w:vAlign w:val="top"/>
          </w:tcPr>
          <w:p>
            <w:pPr>
              <w:spacing w:after="40"/>
            </w:pPr>
            <w:r>
              <w:rPr>
                <w:sz w:val="17"/>
                <w:szCs w:val="17"/>
              </w:rPr>
              <w:t xml:space="preserve">Le fichier porte le nom « Partie_1_Integral » mais réunit les onze monographies dans un seul document ; le lot ne respecte ni la structure en 5 fichiers ni le nommage canonique, et coexiste avec les cinq Google Docs V5 (doublon de versions).</w:t>
            </w:r>
          </w:p>
          <w:p>
            <w:pPr>
              <w:spacing w:after="0"/>
            </w:pPr>
            <w:r>
              <w:rPr>
                <w:b/>
                <w:color w:val="145A32"/>
                <w:sz w:val="17"/>
                <w:szCs w:val="17"/>
              </w:rPr>
              <w:t xml:space="preserve">→ Scinder le contenu en 5 fichiers .html nommés selon le § 4 (Appel A Plan_et_Liste, puis Parties 1 à 4 en cadence 2-3-2-3), puis archiver ce fichier et les Google Docs V5 dans CORBEILLE_DOUBLONS_OBSOLETES.</w:t>
            </w:r>
          </w:p>
        </w:tc>
        <w:tc>
          <w:tcPr>
            <w:tcW w:w="1800" w:type="dxa"/>
            <w:vAlign w:val="top"/>
          </w:tcPr>
          <w:p>
            <w:pPr>
              <w:spacing w:after="0"/>
            </w:pPr>
            <w:r>
              <w:rPr>
                <w:sz w:val="17"/>
                <w:szCs w:val="17"/>
              </w:rPr>
              <w:t xml:space="preserve">PROMPT_V6.md (prompt de base du projet), § 4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L6-L08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introduction (tient lieu d'Appel A) › Bloc 2 absent</w:t>
            </w:r>
          </w:p>
        </w:tc>
        <w:tc>
          <w:tcPr>
            <w:tcW w:w="2600" w:type="dxa"/>
            <w:vAlign w:val="top"/>
          </w:tcPr>
          <w:p>
            <w:pPr>
              <w:spacing w:after="0"/>
            </w:pPr>
            <w:r>
              <w:rPr>
                <w:i/>
                <w:sz w:val="17"/>
                <w:szCs w:val="17"/>
              </w:rPr>
              <w:t xml:space="preserve">« Chaque monographie comprend les quatorze rubriques et les quatre sous-parties de la prise en charge. »</w:t>
            </w:r>
          </w:p>
        </w:tc>
        <w:tc>
          <w:tcPr>
            <w:tcW w:w="3000" w:type="dxa"/>
            <w:vAlign w:val="top"/>
          </w:tcPr>
          <w:p>
            <w:pPr>
              <w:spacing w:after="40"/>
            </w:pPr>
            <w:r>
              <w:rPr>
                <w:sz w:val="17"/>
                <w:szCs w:val="17"/>
              </w:rPr>
              <w:t xml:space="preserve">Le fichier ne contient pas de Bloc 2 : il ne justifie pas l'ordre des 10 DX, n'offre ni tableau comparatif (signe clé, examen clé, mécanisme, conduite immédiate) ni algorithme discriminant.</w:t>
            </w:r>
          </w:p>
          <w:p>
            <w:pPr>
              <w:spacing w:after="0"/>
            </w:pPr>
            <w:r>
              <w:rPr>
                <w:b/>
                <w:color w:val="145A32"/>
                <w:sz w:val="17"/>
                <w:szCs w:val="17"/>
              </w:rPr>
              <w:t xml:space="preserve">→ Ajouter après la monographie G6 un Bloc 2 avec la justification de chaque DX, le tableau comparatif des 10 DX et un algorithme indiquant quel signe ou examen fait passer d'un DX à l'autre.</w:t>
            </w:r>
          </w:p>
        </w:tc>
        <w:tc>
          <w:tcPr>
            <w:tcW w:w="1800" w:type="dxa"/>
            <w:vAlign w:val="top"/>
          </w:tcPr>
          <w:p>
            <w:pPr>
              <w:spacing w:after="0"/>
            </w:pPr>
            <w:r>
              <w:rPr>
                <w:sz w:val="17"/>
                <w:szCs w:val="17"/>
              </w:rPr>
              <w:t xml:space="preserve">PROMPT_V6.md (prompt de base du projet), § 4 et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L6-L10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G6 › point 9 › fenêtre « Consulter la hiérarchie des examens » (33 balises &lt;summary&gt; au total)</w:t>
            </w:r>
          </w:p>
        </w:tc>
        <w:tc>
          <w:tcPr>
            <w:tcW w:w="2600" w:type="dxa"/>
            <w:vAlign w:val="top"/>
          </w:tcPr>
          <w:p>
            <w:pPr>
              <w:spacing w:after="0"/>
            </w:pPr>
            <w:r>
              <w:rPr>
                <w:i/>
                <w:sz w:val="17"/>
                <w:szCs w:val="17"/>
              </w:rPr>
              <w:t xml:space="preserve">« Gold standard / référence : le test confirme une question précise Aucun examen unique ne confirme la cause de toute fièvre. »</w:t>
            </w:r>
          </w:p>
        </w:tc>
        <w:tc>
          <w:tcPr>
            <w:tcW w:w="3000" w:type="dxa"/>
            <w:vAlign w:val="top"/>
          </w:tcPr>
          <w:p>
            <w:pPr>
              <w:spacing w:after="40"/>
            </w:pPr>
            <w:r>
              <w:rPr>
                <w:sz w:val="17"/>
                <w:szCs w:val="17"/>
              </w:rPr>
              <w:t xml:space="preserve">Les 33 balises &lt;summary&gt; du fichier portent un attribut title= servant d'infobulle, ce que le prompt interdit explicitement.</w:t>
            </w:r>
          </w:p>
          <w:p>
            <w:pPr>
              <w:spacing w:after="0"/>
            </w:pPr>
            <w:r>
              <w:rPr>
                <w:b/>
                <w:color w:val="145A32"/>
                <w:sz w:val="17"/>
                <w:szCs w:val="17"/>
              </w:rPr>
              <w:t xml:space="preserve">→ Supprimer tous les attributs title= des balises &lt;summary&gt; et placer l'information utile dans le contenu visible de la fenêtre.</w:t>
            </w:r>
          </w:p>
        </w:tc>
        <w:tc>
          <w:tcPr>
            <w:tcW w:w="1800" w:type="dxa"/>
            <w:vAlign w:val="top"/>
          </w:tcPr>
          <w:p>
            <w:pPr>
              <w:spacing w:after="0"/>
            </w:pPr>
            <w:r>
              <w:rPr>
                <w:sz w:val="17"/>
                <w:szCs w:val="17"/>
              </w:rPr>
              <w:t xml:space="preserve">PROMPT_V6.md (prompt de base du projet), § 9 (règles techniques)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L6-L11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G6 › point 9 › 1re intention (et les 10 DX)</w:t>
            </w:r>
          </w:p>
        </w:tc>
        <w:tc>
          <w:tcPr>
            <w:tcW w:w="2600" w:type="dxa"/>
            <w:vAlign w:val="top"/>
          </w:tcPr>
          <w:p>
            <w:pPr>
              <w:spacing w:after="0"/>
            </w:pPr>
            <w:r>
              <w:rPr>
                <w:i/>
                <w:sz w:val="17"/>
                <w:szCs w:val="17"/>
              </w:rPr>
              <w:t xml:space="preserve">« Il choisit la numération, la CRP, les urines, les hémocultures et l'imagerie selon le terrain et la gravité. »</w:t>
            </w:r>
          </w:p>
        </w:tc>
        <w:tc>
          <w:tcPr>
            <w:tcW w:w="3000" w:type="dxa"/>
            <w:vAlign w:val="top"/>
          </w:tcPr>
          <w:p>
            <w:pPr>
              <w:spacing w:after="40"/>
            </w:pPr>
            <w:r>
              <w:rPr>
                <w:sz w:val="17"/>
                <w:szCs w:val="17"/>
              </w:rPr>
              <w:t xml:space="preserve">Le fichier ne contient aucun tableau (0 balise &lt;table&gt;) : aucun examen ne reçoit son tableau d'interprétation valeur normale SI | seuil | signification | conduite.</w:t>
            </w:r>
          </w:p>
          <w:p>
            <w:pPr>
              <w:spacing w:after="0"/>
            </w:pPr>
            <w:r>
              <w:rPr>
                <w:b/>
                <w:color w:val="145A32"/>
                <w:sz w:val="17"/>
                <w:szCs w:val="17"/>
              </w:rPr>
              <w:t xml:space="preserve">→ Ajouter pour chaque examen cité (FSC, CRP, procalcitonine, ECBU, hémocultures, LCR, liquide synovial, goutte épaisse…) un tableau d'interprétation enveloppé dans &lt;div style='overflow-x:auto;'&gt;, avec valeurs SI suisses sourcées.</w:t>
            </w:r>
          </w:p>
        </w:tc>
        <w:tc>
          <w:tcPr>
            <w:tcW w:w="1800" w:type="dxa"/>
            <w:vAlign w:val="top"/>
          </w:tcPr>
          <w:p>
            <w:pPr>
              <w:spacing w:after="0"/>
            </w:pPr>
            <w:r>
              <w:rPr>
                <w:sz w:val="17"/>
                <w:szCs w:val="17"/>
              </w:rPr>
              <w:t xml:space="preserve">PROMPT_V6.md (prompt de base du projet), § 5 point 9 et § 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L6-L12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G6 › point 5 (même défaut dans les 11 monographies)</w:t>
            </w:r>
          </w:p>
        </w:tc>
        <w:tc>
          <w:tcPr>
            <w:tcW w:w="2600" w:type="dxa"/>
            <w:vAlign w:val="top"/>
          </w:tcPr>
          <w:p>
            <w:pPr>
              <w:spacing w:after="0"/>
            </w:pPr>
            <w:r>
              <w:rPr>
                <w:i/>
                <w:sz w:val="17"/>
                <w:szCs w:val="17"/>
              </w:rPr>
              <w:t xml:space="preserve">« Un purpura, une confusion, une dyspnée, une hypotension ou une raideur méningée accélère la prise en charge. »</w:t>
            </w:r>
          </w:p>
        </w:tc>
        <w:tc>
          <w:tcPr>
            <w:tcW w:w="3000" w:type="dxa"/>
            <w:vAlign w:val="top"/>
          </w:tcPr>
          <w:p>
            <w:pPr>
              <w:spacing w:after="40"/>
            </w:pPr>
            <w:r>
              <w:rPr>
                <w:sz w:val="17"/>
                <w:szCs w:val="17"/>
              </w:rPr>
              <w:t xml:space="preserve">Les termes sémiologiques (purpura, raideur méningée, signe de Giordano, souffle, etc.) n'ouvrent aucune fenêtre ; les 33 fenêtres existantes sont seulement structurelles (hiérarchie des examens, recherche 2026, références).</w:t>
            </w:r>
          </w:p>
          <w:p>
            <w:pPr>
              <w:spacing w:after="0"/>
            </w:pPr>
            <w:r>
              <w:rPr>
                <w:b/>
                <w:color w:val="145A32"/>
                <w:sz w:val="17"/>
                <w:szCs w:val="17"/>
              </w:rPr>
              <w:t xml:space="preserve">→ Placer chaque terme technique, signe, examen, score et médicament dans une fenêtre &lt;details&gt; contenant le mécanisme pas à pas, un exemple chiffré, le piège d'examen et la source [Sn].</w:t>
            </w:r>
          </w:p>
        </w:tc>
        <w:tc>
          <w:tcPr>
            <w:tcW w:w="1800" w:type="dxa"/>
            <w:vAlign w:val="top"/>
          </w:tcPr>
          <w:p>
            <w:pPr>
              <w:spacing w:after="0"/>
            </w:pPr>
            <w:r>
              <w:rPr>
                <w:sz w:val="17"/>
                <w:szCs w:val="17"/>
              </w:rPr>
              <w:t xml:space="preserve">PROMPT_V6.md (prompt de base du projet), §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L6-L13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section « Consulter les références et leur portée » (11 occurrences ; seule D6.6 cite deux références)</w:t>
            </w:r>
          </w:p>
        </w:tc>
        <w:tc>
          <w:tcPr>
            <w:tcW w:w="2600" w:type="dxa"/>
            <w:vAlign w:val="top"/>
          </w:tcPr>
          <w:p>
            <w:pPr>
              <w:spacing w:after="0"/>
            </w:pPr>
            <w:r>
              <w:rPr>
                <w:i/>
                <w:sz w:val="17"/>
                <w:szCs w:val="17"/>
              </w:rPr>
              <w:t xml:space="preserve">« Duke-ISCVID — Critères 2023 »</w:t>
            </w:r>
          </w:p>
        </w:tc>
        <w:tc>
          <w:tcPr>
            <w:tcW w:w="3000" w:type="dxa"/>
            <w:vAlign w:val="top"/>
          </w:tcPr>
          <w:p>
            <w:pPr>
              <w:spacing w:after="40"/>
            </w:pPr>
            <w:r>
              <w:rPr>
                <w:sz w:val="17"/>
                <w:szCs w:val="17"/>
              </w:rPr>
              <w:t xml:space="preserve">Le fichier ne contient pas de section Sources numérotée [S1]…[Sn] avec organisme, année, URL et date de consultation ; dix monographies sur onze ne citent aucune source externe.</w:t>
            </w:r>
          </w:p>
          <w:p>
            <w:pPr>
              <w:spacing w:after="0"/>
            </w:pPr>
            <w:r>
              <w:rPr>
                <w:b/>
                <w:color w:val="145A32"/>
                <w:sz w:val="17"/>
                <w:szCs w:val="17"/>
              </w:rPr>
              <w:t xml:space="preserve">→ Ajouter en fin de fichier une section « Sources » numérotée [S1]…[Sn] (titre, organisme, année, URL, date de consultation) et appeler [Sn] après chaque affirmation chiffrée.</w:t>
            </w:r>
          </w:p>
        </w:tc>
        <w:tc>
          <w:tcPr>
            <w:tcW w:w="1800" w:type="dxa"/>
            <w:vAlign w:val="top"/>
          </w:tcPr>
          <w:p>
            <w:pPr>
              <w:spacing w:after="0"/>
            </w:pPr>
            <w:r>
              <w:rPr>
                <w:sz w:val="17"/>
                <w:szCs w:val="17"/>
              </w:rPr>
              <w:t xml:space="preserve">PROMPT_V6.md (prompt de base du projet), § 3 point 8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L6-L14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fin du fichier (après D6.10 › point 14)</w:t>
            </w:r>
          </w:p>
        </w:tc>
        <w:tc>
          <w:tcPr>
            <w:tcW w:w="2600" w:type="dxa"/>
            <w:vAlign w:val="top"/>
          </w:tcPr>
          <w:p>
            <w:pPr>
              <w:spacing w:after="0"/>
            </w:pPr>
            <w:r>
              <w:rPr>
                <w:i/>
                <w:sz w:val="17"/>
                <w:szCs w:val="17"/>
              </w:rPr>
              <w:t xml:space="preserve">« Le médecin évite l'aspirine et les AINS lorsqu'une dengue est possible. »</w:t>
            </w:r>
          </w:p>
        </w:tc>
        <w:tc>
          <w:tcPr>
            <w:tcW w:w="3000" w:type="dxa"/>
            <w:vAlign w:val="top"/>
          </w:tcPr>
          <w:p>
            <w:pPr>
              <w:spacing w:after="40"/>
            </w:pPr>
            <w:r>
              <w:rPr>
                <w:sz w:val="17"/>
                <w:szCs w:val="17"/>
              </w:rPr>
              <w:t xml:space="preserve">Le fichier se termine sans la mention obligatoire de non-validation clinique.</w:t>
            </w:r>
          </w:p>
          <w:p>
            <w:pPr>
              <w:spacing w:after="0"/>
            </w:pPr>
            <w:r>
              <w:rPr>
                <w:b/>
                <w:color w:val="145A32"/>
                <w:sz w:val="17"/>
                <w:szCs w:val="17"/>
              </w:rPr>
              <w:t xml:space="preserve">→ Ajouter avant &lt;/body&gt; : &lt;p&gt;&lt;em&gt;Contenu produit par IA à partir des sources citées ; non validé cliniquement par un médecin.&lt;/em&gt;&lt;/p&gt;</w:t>
            </w:r>
          </w:p>
        </w:tc>
        <w:tc>
          <w:tcPr>
            <w:tcW w:w="1800" w:type="dxa"/>
            <w:vAlign w:val="top"/>
          </w:tcPr>
          <w:p>
            <w:pPr>
              <w:spacing w:after="0"/>
            </w:pPr>
            <w:r>
              <w:rPr>
                <w:sz w:val="17"/>
                <w:szCs w:val="17"/>
              </w:rPr>
              <w:t xml:space="preserve">PROMPT_V6.md (prompt de base du projet), § 3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L6-L15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D6.1 › point 11.B (même défaut dans les 11 monographies)</w:t>
            </w:r>
          </w:p>
        </w:tc>
        <w:tc>
          <w:tcPr>
            <w:tcW w:w="2600" w:type="dxa"/>
            <w:vAlign w:val="top"/>
          </w:tcPr>
          <w:p>
            <w:pPr>
              <w:spacing w:after="0"/>
            </w:pPr>
            <w:r>
              <w:rPr>
                <w:i/>
                <w:sz w:val="17"/>
                <w:szCs w:val="17"/>
              </w:rPr>
              <w:t xml:space="preserve">« Une pneumonie bactérienne reçoit une antibiothérapie adaptée à la sévérité, aux allergies, à la fonction rénale et aux recommandations locales. »</w:t>
            </w:r>
          </w:p>
        </w:tc>
        <w:tc>
          <w:tcPr>
            <w:tcW w:w="3000" w:type="dxa"/>
            <w:vAlign w:val="top"/>
          </w:tcPr>
          <w:p>
            <w:pPr>
              <w:spacing w:after="40"/>
            </w:pPr>
            <w:r>
              <w:rPr>
                <w:sz w:val="17"/>
                <w:szCs w:val="17"/>
              </w:rPr>
              <w:t xml:space="preserve">Le point 11.B ne donne ni classe, ni DCI, ni spécialité suisse ®, ni dose, voie, rythme, durée et contre-indications ; l'étudiant ne peut rien prescrire à partir de ce texte.</w:t>
            </w:r>
          </w:p>
          <w:p>
            <w:pPr>
              <w:spacing w:after="0"/>
            </w:pPr>
            <w:r>
              <w:rPr>
                <w:b/>
                <w:color w:val="145A32"/>
                <w:sz w:val="17"/>
                <w:szCs w:val="17"/>
              </w:rPr>
              <w:t xml:space="preserve">→ Rédiger 11.B selon le schéma ①–⑥ pour chaque traitement, avec la posologie de l'information professionnelle suisse (AIPS/compendium.ch) et la recommandation SSI applicable.</w:t>
            </w:r>
          </w:p>
        </w:tc>
        <w:tc>
          <w:tcPr>
            <w:tcW w:w="1800" w:type="dxa"/>
            <w:vAlign w:val="top"/>
          </w:tcPr>
          <w:p>
            <w:pPr>
              <w:spacing w:after="0"/>
            </w:pPr>
            <w:r>
              <w:rPr>
                <w:sz w:val="17"/>
                <w:szCs w:val="17"/>
              </w:rPr>
              <w:t xml:space="preserve">PROMPT_V6.md (prompt de base du projet), § 5 point 11.B et § 3 point 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L6-L16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D6.5 › point 11.B (idem D6.10 › point 11.B pour l'artésunate)</w:t>
            </w:r>
          </w:p>
        </w:tc>
        <w:tc>
          <w:tcPr>
            <w:tcW w:w="2600" w:type="dxa"/>
            <w:vAlign w:val="top"/>
          </w:tcPr>
          <w:p>
            <w:pPr>
              <w:spacing w:after="0"/>
            </w:pPr>
            <w:r>
              <w:rPr>
                <w:i/>
                <w:sz w:val="17"/>
                <w:szCs w:val="17"/>
              </w:rPr>
              <w:t xml:space="preserve">« Une dexaméthasone et un aciclovir sont utilisés dans les situations indiquées, puis le traitement est ajusté aux résultats. »</w:t>
            </w:r>
          </w:p>
        </w:tc>
        <w:tc>
          <w:tcPr>
            <w:tcW w:w="3000" w:type="dxa"/>
            <w:vAlign w:val="top"/>
          </w:tcPr>
          <w:p>
            <w:pPr>
              <w:spacing w:after="40"/>
            </w:pPr>
            <w:r>
              <w:rPr>
                <w:sz w:val="17"/>
                <w:szCs w:val="17"/>
              </w:rPr>
              <w:t xml:space="preserve">Les traitements d'urgence vitale (antibiothérapie probabiliste, dexaméthasone, aciclovir, artésunate) ne portent ni dose, ni rythme, ni durée, ni délai d'administration ; le texte ne sert pas en garde.</w:t>
            </w:r>
          </w:p>
          <w:p>
            <w:pPr>
              <w:spacing w:after="0"/>
            </w:pPr>
            <w:r>
              <w:rPr>
                <w:b/>
                <w:color w:val="145A32"/>
                <w:sz w:val="17"/>
                <w:szCs w:val="17"/>
              </w:rPr>
              <w:t xml:space="preserve">→ Écrire les schémas exacts, par exemple dexaméthasone 10 mg IV toutes les 6 h pendant 4 jours, débutée avant ou avec la première dose d'antibiotique, ceftriaxone 2 g IV toutes les 12 h, ajout d'amoxicilline si &gt; 50 ans ou immunodépression, après vérification dans l'AIPS et la directive SSI.</w:t>
            </w:r>
          </w:p>
        </w:tc>
        <w:tc>
          <w:tcPr>
            <w:tcW w:w="1800" w:type="dxa"/>
            <w:vAlign w:val="top"/>
          </w:tcPr>
          <w:p>
            <w:pPr>
              <w:spacing w:after="0"/>
            </w:pPr>
            <w:r>
              <w:rPr>
                <w:sz w:val="17"/>
                <w:szCs w:val="17"/>
              </w:rPr>
              <w:t xml:space="preserve">ESCMID guideline: diagnosis and treatment of acute bacterial meningitis — van de Beek D. et al., Clin Microbiol Infect 2016;22 Suppl 3:S37–S62 (lu via résumé secondaire, à confirmer sur le texte primaire) ; essai européen de Gans J., van de Beek D., N Engl J Med 2002;347:1549–56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L6-L18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G6 › point 7 › 7.1 (titres identiques dans les 11 monographies)</w:t>
            </w:r>
          </w:p>
        </w:tc>
        <w:tc>
          <w:tcPr>
            <w:tcW w:w="2600" w:type="dxa"/>
            <w:vAlign w:val="top"/>
          </w:tcPr>
          <w:p>
            <w:pPr>
              <w:spacing w:after="0"/>
            </w:pPr>
            <w:r>
              <w:rPr>
                <w:i/>
                <w:sz w:val="17"/>
                <w:szCs w:val="17"/>
              </w:rPr>
              <w:t xml:space="preserve">« Une fièvre avec signe local oriente vers un foyer. »</w:t>
            </w:r>
          </w:p>
        </w:tc>
        <w:tc>
          <w:tcPr>
            <w:tcW w:w="3000" w:type="dxa"/>
            <w:vAlign w:val="top"/>
          </w:tcPr>
          <w:p>
            <w:pPr>
              <w:spacing w:after="40"/>
            </w:pPr>
            <w:r>
              <w:rPr>
                <w:sz w:val="17"/>
                <w:szCs w:val="17"/>
              </w:rPr>
              <w:t xml:space="preserve">Les sous-titres 7.1 « Le tableau oriente le mécanisme » et 7.2 « Les associations modifient l'orientation » sont des gabarits génériques : aucun syndrome n'est nommé et aucune fenêtre ne relie les signes à leur mécanisme.</w:t>
            </w:r>
          </w:p>
          <w:p>
            <w:pPr>
              <w:spacing w:after="0"/>
            </w:pPr>
            <w:r>
              <w:rPr>
                <w:b/>
                <w:color w:val="145A32"/>
                <w:sz w:val="17"/>
                <w:szCs w:val="17"/>
              </w:rPr>
              <w:t xml:space="preserve">→ Nommer les syndromes réels (7.1 Syndrome infectieux aigu, 7.2 Syndrome méningé, 7.3 Fièvre d'origine inconnue…) et ouvrir sur chaque titre une fenêtre qui relie chaque signe à son mécanisme.</w:t>
            </w:r>
          </w:p>
        </w:tc>
        <w:tc>
          <w:tcPr>
            <w:tcW w:w="1800" w:type="dxa"/>
            <w:vAlign w:val="top"/>
          </w:tcPr>
          <w:p>
            <w:pPr>
              <w:spacing w:after="0"/>
            </w:pPr>
            <w:r>
              <w:rPr>
                <w:sz w:val="17"/>
                <w:szCs w:val="17"/>
              </w:rPr>
              <w:t xml:space="preserve">PROMPT_V6.md (prompt de base du projet), § 5 point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L6-L19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D6.1 › points 3, 5 et 12</w:t>
            </w:r>
          </w:p>
        </w:tc>
        <w:tc>
          <w:tcPr>
            <w:tcW w:w="2600" w:type="dxa"/>
            <w:vAlign w:val="top"/>
          </w:tcPr>
          <w:p>
            <w:pPr>
              <w:spacing w:after="0"/>
            </w:pPr>
            <w:r>
              <w:rPr>
                <w:i/>
                <w:sz w:val="17"/>
                <w:szCs w:val="17"/>
              </w:rPr>
              <w:t xml:space="preserve">« L'infection irrite l'épithélium et sensibilise les récepteurs de la toux. »</w:t>
            </w:r>
          </w:p>
        </w:tc>
        <w:tc>
          <w:tcPr>
            <w:tcW w:w="3000" w:type="dxa"/>
            <w:vAlign w:val="top"/>
          </w:tcPr>
          <w:p>
            <w:pPr>
              <w:spacing w:after="40"/>
            </w:pPr>
            <w:r>
              <w:rPr>
                <w:sz w:val="17"/>
                <w:szCs w:val="17"/>
              </w:rPr>
              <w:t xml:space="preserve">La monographie D6.1 reprend un contenu écrit pour la toux ou la coqueluche (récepteurs de la toux, quintes, vomissements après la toux, contacts d'une coqueluche) et ne traite pas la fièvre des infections respiratoires.</w:t>
            </w:r>
          </w:p>
          <w:p>
            <w:pPr>
              <w:spacing w:after="0"/>
            </w:pPr>
            <w:r>
              <w:rPr>
                <w:b/>
                <w:color w:val="145A32"/>
                <w:sz w:val="17"/>
                <w:szCs w:val="17"/>
              </w:rPr>
              <w:t xml:space="preserve">→ Réécrire les points 3, 5 et 12 de D6.1 autour du SSP Fièvre : cascade cytokinique et point de consigne, anamnèse de la fièvre respiratoire (frissons, douleur pleurale, dyspnée, comorbidités), prévention vaccinale selon le Plan de vaccination suisse.</w:t>
            </w:r>
          </w:p>
        </w:tc>
        <w:tc>
          <w:tcPr>
            <w:tcW w:w="1800" w:type="dxa"/>
            <w:vAlign w:val="top"/>
          </w:tcPr>
          <w:p>
            <w:pPr>
              <w:spacing w:after="0"/>
            </w:pPr>
            <w:r>
              <w:rPr>
                <w:sz w:val="17"/>
                <w:szCs w:val="17"/>
              </w:rPr>
              <w:t xml:space="preserve">PROMPT_V6.md (prompt de base du projet), § 2 et § 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L6-L35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LOT_6_Appel_B_V5_Ultra_Pedagogique_Partie_2_DX.3_a_DX.4__export_GoogleDoc.html</w:t>
            </w:r>
          </w:p>
        </w:tc>
        <w:tc>
          <w:tcPr>
            <w:tcW w:w="2350" w:type="dxa"/>
            <w:vAlign w:val="top"/>
          </w:tcPr>
          <w:p>
            <w:pPr>
              <w:spacing w:after="0"/>
            </w:pPr>
            <w:r>
              <w:rPr>
                <w:sz w:val="17"/>
                <w:szCs w:val="17"/>
              </w:rPr>
              <w:t xml:space="preserve">Appel B V5 Partie 2 › D6.4 › fenêtre 6.4 LRINEC › exemple clinique</w:t>
            </w:r>
          </w:p>
        </w:tc>
        <w:tc>
          <w:tcPr>
            <w:tcW w:w="2600" w:type="dxa"/>
            <w:vAlign w:val="top"/>
          </w:tcPr>
          <w:p>
            <w:pPr>
              <w:spacing w:after="0"/>
            </w:pPr>
            <w:r>
              <w:rPr>
                <w:i/>
                <w:sz w:val="17"/>
                <w:szCs w:val="17"/>
              </w:rPr>
              <w:t xml:space="preserve">« Leucocytes = 22 G/L (2 pts) »</w:t>
            </w:r>
          </w:p>
        </w:tc>
        <w:tc>
          <w:tcPr>
            <w:tcW w:w="3000" w:type="dxa"/>
            <w:vAlign w:val="top"/>
          </w:tcPr>
          <w:p>
            <w:pPr>
              <w:spacing w:after="40"/>
            </w:pPr>
            <w:r>
              <w:rPr>
                <w:sz w:val="17"/>
                <w:szCs w:val="17"/>
              </w:rPr>
              <w:t xml:space="preserve">Le calcul est faux : 22 G/L se situe dans la tranche 15–25 G/L, qui vaut 1 point selon le tableau du même fichier ; le total vaut 7 et non 8 points.</w:t>
            </w:r>
          </w:p>
          <w:p>
            <w:pPr>
              <w:spacing w:after="0"/>
            </w:pPr>
            <w:r>
              <w:rPr>
                <w:b/>
                <w:color w:val="145A32"/>
                <w:sz w:val="17"/>
                <w:szCs w:val="17"/>
              </w:rPr>
              <w:t xml:space="preserve">→ Leucocytes = 22 G/L (1 pt) … = 7 points (risque intermédiaire) → l'exploration chirurgicale reste urgente devant les bulles hémorragiques, car un score LRINEC n'exclut ni ne confirme la fasciite.</w:t>
            </w:r>
          </w:p>
        </w:tc>
        <w:tc>
          <w:tcPr>
            <w:tcW w:w="1800" w:type="dxa"/>
            <w:vAlign w:val="top"/>
          </w:tcPr>
          <w:p>
            <w:pPr>
              <w:spacing w:after="0"/>
            </w:pPr>
            <w:r>
              <w:rPr>
                <w:sz w:val="17"/>
                <w:szCs w:val="17"/>
              </w:rPr>
              <w:t xml:space="preserve">Wong C.H. et al., The LRINEC score: a tool for distinguishing necrotizing fasciitis from other soft tissue infections, Crit Care Med 2004;32:1535–1541 (barème vérifié via WikEM, https://www.wikem.org/wiki/LRINEC_score)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L6-L36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LOT_6_Appel_B_V5_Ultra_Pedagogique_Partie_1_DX.1_a_DX.2__export_GoogleDoc.html</w:t>
            </w:r>
          </w:p>
        </w:tc>
        <w:tc>
          <w:tcPr>
            <w:tcW w:w="2350" w:type="dxa"/>
            <w:vAlign w:val="top"/>
          </w:tcPr>
          <w:p>
            <w:pPr>
              <w:spacing w:after="0"/>
            </w:pPr>
            <w:r>
              <w:rPr>
                <w:sz w:val="17"/>
                <w:szCs w:val="17"/>
              </w:rPr>
              <w:t xml:space="preserve">Appel B V5 Partie 1 › D6.1 › point 10 Arbre décisionnel</w:t>
            </w:r>
          </w:p>
        </w:tc>
        <w:tc>
          <w:tcPr>
            <w:tcW w:w="2600" w:type="dxa"/>
            <w:vAlign w:val="top"/>
          </w:tcPr>
          <w:p>
            <w:pPr>
              <w:spacing w:after="0"/>
            </w:pPr>
            <w:r>
              <w:rPr>
                <w:i/>
                <w:sz w:val="17"/>
                <w:szCs w:val="17"/>
              </w:rPr>
              <w:t xml:space="preserve">« Si CURB-65 ≥ 1, hospitalisation et antibiothérapie IV. »</w:t>
            </w:r>
          </w:p>
        </w:tc>
        <w:tc>
          <w:tcPr>
            <w:tcW w:w="3000" w:type="dxa"/>
            <w:vAlign w:val="top"/>
          </w:tcPr>
          <w:p>
            <w:pPr>
              <w:spacing w:after="40"/>
            </w:pPr>
            <w:r>
              <w:rPr>
                <w:sz w:val="17"/>
                <w:szCs w:val="17"/>
              </w:rPr>
              <w:t xml:space="preserve">La règle est fausse et contredit le tableau du même fichier : un score de 1 permet habituellement une prise en charge ambulatoire, l'hospitalisation se discute à 2 et s'impose à partir de 3.</w:t>
            </w:r>
          </w:p>
          <w:p>
            <w:pPr>
              <w:spacing w:after="0"/>
            </w:pPr>
            <w:r>
              <w:rPr>
                <w:b/>
                <w:color w:val="145A32"/>
                <w:sz w:val="17"/>
                <w:szCs w:val="17"/>
              </w:rPr>
              <w:t xml:space="preserve">→ Si CURB-65 = 0–1, prise en charge ambulatoire possible ; si 2, hospitalisation à discuter ; si ≥ 3, hospitalisation avec évaluation pour les soins intensifs.</w:t>
            </w:r>
          </w:p>
        </w:tc>
        <w:tc>
          <w:tcPr>
            <w:tcW w:w="1800" w:type="dxa"/>
            <w:vAlign w:val="top"/>
          </w:tcPr>
          <w:p>
            <w:pPr>
              <w:spacing w:after="0"/>
            </w:pPr>
            <w:r>
              <w:rPr>
                <w:sz w:val="17"/>
                <w:szCs w:val="17"/>
              </w:rPr>
              <w:t xml:space="preserve">Lim W.S. et al., Thorax 2003;58:377–382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L6-L37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LOT_6_Appel_A_V5_Ultra_Pedagogique_Plan_et_Liste__export_GoogleDoc.html</w:t>
            </w:r>
          </w:p>
        </w:tc>
        <w:tc>
          <w:tcPr>
            <w:tcW w:w="2350" w:type="dxa"/>
            <w:vAlign w:val="top"/>
          </w:tcPr>
          <w:p>
            <w:pPr>
              <w:spacing w:after="0"/>
            </w:pPr>
            <w:r>
              <w:rPr>
                <w:sz w:val="17"/>
                <w:szCs w:val="17"/>
              </w:rPr>
              <w:t xml:space="preserve">Appel A V5 › Bloc 1 › point 12 Prévention</w:t>
            </w:r>
          </w:p>
        </w:tc>
        <w:tc>
          <w:tcPr>
            <w:tcW w:w="2600" w:type="dxa"/>
            <w:vAlign w:val="top"/>
          </w:tcPr>
          <w:p>
            <w:pPr>
              <w:spacing w:after="0"/>
            </w:pPr>
            <w:r>
              <w:rPr>
                <w:i/>
                <w:sz w:val="17"/>
                <w:szCs w:val="17"/>
              </w:rPr>
              <w:t xml:space="preserve">« Vaccination annuelle contre la grippe et le pneumocoque chez les sujets à risque »</w:t>
            </w:r>
          </w:p>
        </w:tc>
        <w:tc>
          <w:tcPr>
            <w:tcW w:w="3000" w:type="dxa"/>
            <w:vAlign w:val="top"/>
          </w:tcPr>
          <w:p>
            <w:pPr>
              <w:spacing w:after="40"/>
            </w:pPr>
            <w:r>
              <w:rPr>
                <w:sz w:val="17"/>
                <w:szCs w:val="17"/>
              </w:rPr>
              <w:t xml:space="preserve">La vaccination antipneumococcique n'est pas annuelle : le Plan de vaccination suisse recommande une dose unique de vaccin conjugué (PCV) dès 65 ans et chez les personnes à risque.</w:t>
            </w:r>
          </w:p>
          <w:p>
            <w:pPr>
              <w:spacing w:after="0"/>
            </w:pPr>
            <w:r>
              <w:rPr>
                <w:b/>
                <w:color w:val="145A32"/>
                <w:sz w:val="17"/>
                <w:szCs w:val="17"/>
              </w:rPr>
              <w:t xml:space="preserve">→ Vaccination annuelle contre la grippe chez les personnes à risque ; vaccination unique contre les pneumocoques par un vaccin conjugué (PCV) dès 65 ans et chez les personnes à risque, selon le Plan de vaccination suisse.</w:t>
            </w:r>
          </w:p>
        </w:tc>
        <w:tc>
          <w:tcPr>
            <w:tcW w:w="1800" w:type="dxa"/>
            <w:vAlign w:val="top"/>
          </w:tcPr>
          <w:p>
            <w:pPr>
              <w:spacing w:after="0"/>
            </w:pPr>
            <w:r>
              <w:rPr>
                <w:sz w:val="17"/>
                <w:szCs w:val="17"/>
              </w:rPr>
              <w:t xml:space="preserve">OFSP/CFV, Plan de vaccination suisse 2024 et Bulletin OFSP 4/2024 « La vaccination contre les pneumocoques est désormais recommandée comme vaccination complémentaire pour toutes les personnes à partir de 65 ans », https://www.infovac.ch/docs/public/streptococcus/la-vaccination-contre-les-pneumocoques-est-de--sormais-recommande--e-comme-vaccination-comple--mentaire-pour-toutes-les-personnes-a---partir-de-65-ans.pdf,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L6-L38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LOT_6_Appel_A_V5_Ultra_Pedagogique_Plan_et_Liste__export_GoogleDoc.html</w:t>
            </w:r>
          </w:p>
        </w:tc>
        <w:tc>
          <w:tcPr>
            <w:tcW w:w="2350" w:type="dxa"/>
            <w:vAlign w:val="top"/>
          </w:tcPr>
          <w:p>
            <w:pPr>
              <w:spacing w:after="0"/>
            </w:pPr>
            <w:r>
              <w:rPr>
                <w:sz w:val="17"/>
                <w:szCs w:val="17"/>
              </w:rPr>
              <w:t xml:space="preserve">Appel A V5 › Bloc 2 › D6.1 (pourcentages de D6.1 à D6.10)</w:t>
            </w:r>
          </w:p>
        </w:tc>
        <w:tc>
          <w:tcPr>
            <w:tcW w:w="2600" w:type="dxa"/>
            <w:vAlign w:val="top"/>
          </w:tcPr>
          <w:p>
            <w:pPr>
              <w:spacing w:after="0"/>
            </w:pPr>
            <w:r>
              <w:rPr>
                <w:i/>
                <w:sz w:val="17"/>
                <w:szCs w:val="17"/>
              </w:rPr>
              <w:t xml:space="preserve">« 40 % — (Première cause absolue de fièvre aiguë en médecine de premier recours, source : OFSP / SSMIG) »</w:t>
            </w:r>
          </w:p>
        </w:tc>
        <w:tc>
          <w:tcPr>
            <w:tcW w:w="3000" w:type="dxa"/>
            <w:vAlign w:val="top"/>
          </w:tcPr>
          <w:p>
            <w:pPr>
              <w:spacing w:after="40"/>
            </w:pPr>
            <w:r>
              <w:rPr>
                <w:sz w:val="17"/>
                <w:szCs w:val="17"/>
              </w:rPr>
              <w:t xml:space="preserve">Les pourcentages de 40 % à 2 % ne renvoient à aucune publication identifiable ; ils sont donc non sourcés, ce que le prompt interdit.</w:t>
            </w:r>
          </w:p>
          <w:p>
            <w:pPr>
              <w:spacing w:after="0"/>
            </w:pPr>
            <w:r>
              <w:rPr>
                <w:b/>
                <w:color w:val="145A32"/>
                <w:sz w:val="17"/>
                <w:szCs w:val="17"/>
              </w:rPr>
              <w:t xml:space="preserve">→ Supprimer les pourcentages et écrire « Ne rang — fréquence non quantifiée (Suisse) », sauf source suisse lue et citée [Sn].</w:t>
            </w:r>
          </w:p>
        </w:tc>
        <w:tc>
          <w:tcPr>
            <w:tcW w:w="1800" w:type="dxa"/>
            <w:vAlign w:val="top"/>
          </w:tcPr>
          <w:p>
            <w:pPr>
              <w:spacing w:after="0"/>
            </w:pPr>
            <w:r>
              <w:rPr>
                <w:sz w:val="17"/>
                <w:szCs w:val="17"/>
              </w:rPr>
              <w:t xml:space="preserve">PROMPT_V6.md (prompt de base du projet), § 8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L6-L39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LOT_6_Appel_A_V5_Ultra_Pedagogique_Plan_et_Liste__export_GoogleDoc.html</w:t>
            </w:r>
          </w:p>
        </w:tc>
        <w:tc>
          <w:tcPr>
            <w:tcW w:w="2350" w:type="dxa"/>
            <w:vAlign w:val="top"/>
          </w:tcPr>
          <w:p>
            <w:pPr>
              <w:spacing w:after="0"/>
            </w:pPr>
            <w:r>
              <w:rPr>
                <w:sz w:val="17"/>
                <w:szCs w:val="17"/>
              </w:rPr>
              <w:t xml:space="preserve">Appel A V5 › Bloc 2</w:t>
            </w:r>
          </w:p>
        </w:tc>
        <w:tc>
          <w:tcPr>
            <w:tcW w:w="2600" w:type="dxa"/>
            <w:vAlign w:val="top"/>
          </w:tcPr>
          <w:p>
            <w:pPr>
              <w:spacing w:after="0"/>
            </w:pPr>
            <w:r>
              <w:rPr>
                <w:i/>
                <w:sz w:val="17"/>
                <w:szCs w:val="17"/>
              </w:rPr>
              <w:t xml:space="preserve">« BLOC 2 : LISTE ORDONNÉE PAR PRÉVALENCE DÉCROISSANTE DES 10 DIAGNOSTICS DIFFÉRENTIELS (SSP G6) »</w:t>
            </w:r>
          </w:p>
        </w:tc>
        <w:tc>
          <w:tcPr>
            <w:tcW w:w="3000" w:type="dxa"/>
            <w:vAlign w:val="top"/>
          </w:tcPr>
          <w:p>
            <w:pPr>
              <w:spacing w:after="40"/>
            </w:pPr>
            <w:r>
              <w:rPr>
                <w:sz w:val="17"/>
                <w:szCs w:val="17"/>
              </w:rPr>
              <w:t xml:space="preserve">Le Bloc 2 se limite à une liste : il ne comporte ni tableau comparatif des 10 DX ni algorithme discriminant.</w:t>
            </w:r>
          </w:p>
          <w:p>
            <w:pPr>
              <w:spacing w:after="0"/>
            </w:pPr>
            <w:r>
              <w:rPr>
                <w:b/>
                <w:color w:val="145A32"/>
                <w:sz w:val="17"/>
                <w:szCs w:val="17"/>
              </w:rPr>
              <w:t xml:space="preserve">→ Ajouter le tableau comparatif (signe clé, examen clé, mécanisme, conduite immédiate) et l'algorithme discriminant dans la version .html.</w:t>
            </w:r>
          </w:p>
        </w:tc>
        <w:tc>
          <w:tcPr>
            <w:tcW w:w="1800" w:type="dxa"/>
            <w:vAlign w:val="top"/>
          </w:tcPr>
          <w:p>
            <w:pPr>
              <w:spacing w:after="0"/>
            </w:pPr>
            <w:r>
              <w:rPr>
                <w:sz w:val="17"/>
                <w:szCs w:val="17"/>
              </w:rPr>
              <w:t xml:space="preserve">PROMPT_V6.md (prompt de base du projet), § 4 et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L6-M01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LOT_6_Appel_A_V5_Ultra_Pedagogique_Plan_et_Liste__export_GoogleDoc.html</w:t>
            </w:r>
          </w:p>
        </w:tc>
        <w:tc>
          <w:tcPr>
            <w:tcW w:w="2350" w:type="dxa"/>
            <w:vAlign w:val="top"/>
          </w:tcPr>
          <w:p>
            <w:pPr>
              <w:spacing w:after="0"/>
            </w:pPr>
            <w:r>
              <w:rPr>
                <w:sz w:val="17"/>
                <w:szCs w:val="17"/>
              </w:rPr>
              <w:t xml:space="preserve">Appel A V5 › Bloc 2 › titre de la liste des 10 DX</w:t>
            </w:r>
          </w:p>
        </w:tc>
        <w:tc>
          <w:tcPr>
            <w:tcW w:w="2600" w:type="dxa"/>
            <w:vAlign w:val="top"/>
          </w:tcPr>
          <w:p>
            <w:pPr>
              <w:spacing w:after="0"/>
            </w:pPr>
            <w:r>
              <w:rPr>
                <w:i/>
                <w:sz w:val="17"/>
                <w:szCs w:val="17"/>
              </w:rPr>
              <w:t xml:space="preserve">« BLOC 2 : LISTE ORDONNÉE PAR PRÉVALENCE DÉCROISSANTE DES 10 DIAGNOSTICS DIFFÉRENTIELS (SSP G6) »</w:t>
            </w:r>
          </w:p>
        </w:tc>
        <w:tc>
          <w:tcPr>
            <w:tcW w:w="3000" w:type="dxa"/>
            <w:vAlign w:val="top"/>
          </w:tcPr>
          <w:p>
            <w:pPr>
              <w:spacing w:after="40"/>
            </w:pPr>
            <w:r>
              <w:rPr>
                <w:sz w:val="17"/>
                <w:szCs w:val="17"/>
              </w:rPr>
              <w:t xml:space="preserve">Ce fichier est un export de Google Docs, donc une sortie invalide selon la règle 0, et il est périmé depuis le fichier V6 intégral ; il ne contient ni section Sources, ni mention de non-validation, ni balise FIN_FICHIER, et ses badges (40 %, 18 %, 12 %…) ne citent aucune source réelle.</w:t>
            </w:r>
          </w:p>
          <w:p>
            <w:pPr>
              <w:spacing w:after="0"/>
            </w:pPr>
            <w:r>
              <w:rPr>
                <w:b/>
                <w:color w:val="145A32"/>
                <w:sz w:val="17"/>
                <w:szCs w:val="17"/>
              </w:rPr>
              <w:t xml:space="preserve">→ Déplacer le fichier dans CORBEILLE_DOUBLONS_OBSOLETES avec le suffixe _OBSOLETE_ après dépôt d'un Appel A conforme en .html ; ne reprendre aucun pourcentage de la liste, remplacer chaque badge par « Ne rang — fréquence non quantifiée (Suisse) » faute de source.</w:t>
            </w:r>
          </w:p>
        </w:tc>
        <w:tc>
          <w:tcPr>
            <w:tcW w:w="1800" w:type="dxa"/>
            <w:vAlign w:val="top"/>
          </w:tcPr>
          <w:p>
            <w:pPr>
              <w:spacing w:after="0"/>
            </w:pPr>
            <w:r>
              <w:rPr>
                <w:sz w:val="17"/>
                <w:szCs w:val="17"/>
              </w:rPr>
              <w:t xml:space="preserve">PROMPT_V6 (standard V6 du projet), règles 0, 3, 4, 12 et 14 ; manifeste LOT_6_MANIFESTE_CLONE.json (kind « doc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L6-M02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LOT_6_Appel_B_V5_Ultra_Pedagogique_Partie_1_DX.1_a_DX.2__export_GoogleDoc.html</w:t>
            </w:r>
          </w:p>
        </w:tc>
        <w:tc>
          <w:tcPr>
            <w:tcW w:w="2350" w:type="dxa"/>
            <w:vAlign w:val="top"/>
          </w:tcPr>
          <w:p>
            <w:pPr>
              <w:spacing w:after="0"/>
            </w:pPr>
            <w:r>
              <w:rPr>
                <w:sz w:val="17"/>
                <w:szCs w:val="17"/>
              </w:rPr>
              <w:t xml:space="preserve">Appel B V5 Partie 1 › D6.1 › point 10 « Arbre décisionnel »</w:t>
            </w:r>
          </w:p>
        </w:tc>
        <w:tc>
          <w:tcPr>
            <w:tcW w:w="2600" w:type="dxa"/>
            <w:vAlign w:val="top"/>
          </w:tcPr>
          <w:p>
            <w:pPr>
              <w:spacing w:after="0"/>
            </w:pPr>
            <w:r>
              <w:rPr>
                <w:i/>
                <w:sz w:val="17"/>
                <w:szCs w:val="17"/>
              </w:rPr>
              <w:t xml:space="preserve">« Si CURB-65 ≥ 1, hospitalisation et antibiothérapie IV. »</w:t>
            </w:r>
          </w:p>
        </w:tc>
        <w:tc>
          <w:tcPr>
            <w:tcW w:w="3000" w:type="dxa"/>
            <w:vAlign w:val="top"/>
          </w:tcPr>
          <w:p>
            <w:pPr>
              <w:spacing w:after="40"/>
            </w:pPr>
            <w:r>
              <w:rPr>
                <w:sz w:val="17"/>
                <w:szCs w:val="17"/>
              </w:rPr>
              <w:t xml:space="preserve">Ce fichier est un export de Google Docs périmé (règle 0) sans section Sources ; il contient en outre une règle d'hospitalisation qui contredit son propre tableau (CURB-65 1–2 : ambulatoire ou hospitalisation courte) et le score source.</w:t>
            </w:r>
          </w:p>
          <w:p>
            <w:pPr>
              <w:spacing w:after="0"/>
            </w:pPr>
            <w:r>
              <w:rPr>
                <w:b/>
                <w:color w:val="145A32"/>
                <w:sz w:val="17"/>
                <w:szCs w:val="17"/>
              </w:rPr>
              <w:t xml:space="preserve">→ Archiver le fichier avec le suffixe _OBSOLETE_ ; ne pas réutiliser ce point 10. Règle correcte à intégrer dans la V6 : CURB-65 0–1 → traitement ambulatoire possible ; 2 → hospitalisation courte ou surveillance rapprochée ; 3–5 → pneumonie sévère, hospitalisation et évaluation pour les soins intensifs si 4–5.</w:t>
            </w:r>
          </w:p>
        </w:tc>
        <w:tc>
          <w:tcPr>
            <w:tcW w:w="1800" w:type="dxa"/>
            <w:vAlign w:val="top"/>
          </w:tcPr>
          <w:p>
            <w:pPr>
              <w:spacing w:after="0"/>
            </w:pPr>
            <w:r>
              <w:rPr>
                <w:sz w:val="17"/>
                <w:szCs w:val="17"/>
              </w:rPr>
              <w:t xml:space="preserve">Lim WS et al. Defining community acquired pneumonia severity on presentation to hospital: an international derivation and validation study. Thorax 2003;58:377-382 (British Thoracic Society).</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L6-M03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LOT_6_Appel_B_V5_Ultra_Pedagogique_Partie_2_DX.3_a_DX.4__export_GoogleDoc.html</w:t>
            </w:r>
          </w:p>
        </w:tc>
        <w:tc>
          <w:tcPr>
            <w:tcW w:w="2350" w:type="dxa"/>
            <w:vAlign w:val="top"/>
          </w:tcPr>
          <w:p>
            <w:pPr>
              <w:spacing w:after="0"/>
            </w:pPr>
            <w:r>
              <w:rPr>
                <w:sz w:val="17"/>
                <w:szCs w:val="17"/>
              </w:rPr>
              <w:t xml:space="preserve">Appel B V5 Partie 2 › D6.4 › fenêtre 6.4 « Score LRINEC » › exemple clinique</w:t>
            </w:r>
          </w:p>
        </w:tc>
        <w:tc>
          <w:tcPr>
            <w:tcW w:w="2600" w:type="dxa"/>
            <w:vAlign w:val="top"/>
          </w:tcPr>
          <w:p>
            <w:pPr>
              <w:spacing w:after="0"/>
            </w:pPr>
            <w:r>
              <w:rPr>
                <w:i/>
                <w:sz w:val="17"/>
                <w:szCs w:val="17"/>
              </w:rPr>
              <w:t xml:space="preserve">« Leucocytes = 22 G/L (2 pts), Na = 130 mmol/L (2 pts) = 8 points »</w:t>
            </w:r>
          </w:p>
        </w:tc>
        <w:tc>
          <w:tcPr>
            <w:tcW w:w="3000" w:type="dxa"/>
            <w:vAlign w:val="top"/>
          </w:tcPr>
          <w:p>
            <w:pPr>
              <w:spacing w:after="40"/>
            </w:pPr>
            <w:r>
              <w:rPr>
                <w:sz w:val="17"/>
                <w:szCs w:val="17"/>
              </w:rPr>
              <w:t xml:space="preserve">Ce fichier est un export de Google Docs périmé (règle 0) sans section Sources ; son exemple LRINEC est faux, car 22 G/L se situent dans la tranche 15–25 G/L qui vaut 1 point (son propre tableau le dit), si bien que le total vaut 7 points et non 8.</w:t>
            </w:r>
          </w:p>
          <w:p>
            <w:pPr>
              <w:spacing w:after="0"/>
            </w:pPr>
            <w:r>
              <w:rPr>
                <w:b/>
                <w:color w:val="145A32"/>
                <w:sz w:val="17"/>
                <w:szCs w:val="17"/>
              </w:rPr>
              <w:t xml:space="preserve">→ Archiver le fichier avec le suffixe _OBSOLETE_ ; si l'exemple est repris en V6 : « CRP 180 mg/L (4 points) + leucocytes 22 G/L (1 point) + sodium 130 mmol/L (2 points) = 7 points, risque intermédiaire ; un score bas n'exclut jamais une fasciite nécrosante » (calcul dérivé).</w:t>
            </w:r>
          </w:p>
        </w:tc>
        <w:tc>
          <w:tcPr>
            <w:tcW w:w="1800" w:type="dxa"/>
            <w:vAlign w:val="top"/>
          </w:tcPr>
          <w:p>
            <w:pPr>
              <w:spacing w:after="0"/>
            </w:pPr>
            <w:r>
              <w:rPr>
                <w:sz w:val="17"/>
                <w:szCs w:val="17"/>
              </w:rPr>
              <w:t xml:space="preserve">Wong CH et al. The LRINEC score: a tool for distinguishing necrotizing fasciitis from other soft tissue infections. Crit Care Med 2004;32:1535-1541.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L6-M05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LOT_6_Appel_B_V5_Ultra_Pedagogique_Partie_4_DX.8_a_DX.10__export_GoogleDoc.html</w:t>
            </w:r>
          </w:p>
        </w:tc>
        <w:tc>
          <w:tcPr>
            <w:tcW w:w="2350" w:type="dxa"/>
            <w:vAlign w:val="top"/>
          </w:tcPr>
          <w:p>
            <w:pPr>
              <w:spacing w:after="0"/>
            </w:pPr>
            <w:r>
              <w:rPr>
                <w:sz w:val="17"/>
                <w:szCs w:val="17"/>
              </w:rPr>
              <w:t xml:space="preserve">Appel B V5 Partie 4 › D6.10 › fenêtre 6.10 « Critères de gravité du paludisme (OMS) »</w:t>
            </w:r>
          </w:p>
        </w:tc>
        <w:tc>
          <w:tcPr>
            <w:tcW w:w="2600" w:type="dxa"/>
            <w:vAlign w:val="top"/>
          </w:tcPr>
          <w:p>
            <w:pPr>
              <w:spacing w:after="0"/>
            </w:pPr>
            <w:r>
              <w:rPr>
                <w:i/>
                <w:sz w:val="17"/>
                <w:szCs w:val="17"/>
              </w:rPr>
              <w:t xml:space="preserve">« Parasitémie &gt; 2 % chez le non-immigré OU présence d'un signe de défaillance d'organe »</w:t>
            </w:r>
          </w:p>
        </w:tc>
        <w:tc>
          <w:tcPr>
            <w:tcW w:w="3000" w:type="dxa"/>
            <w:vAlign w:val="top"/>
          </w:tcPr>
          <w:p>
            <w:pPr>
              <w:spacing w:after="40"/>
            </w:pPr>
            <w:r>
              <w:rPr>
                <w:sz w:val="17"/>
                <w:szCs w:val="17"/>
              </w:rPr>
              <w:t xml:space="preserve">Ce fichier est un export de Google Docs périmé (règle 0) sans section Sources ; il attribue à l'OMS un seuil de parasitémie de 2 % alors que la définition OMS retient une hyperparasitémie &gt; 10 %, et il omet l'hypoglycémie &lt; 2,2 mmol/L que son propre exemple illustre.</w:t>
            </w:r>
          </w:p>
          <w:p>
            <w:pPr>
              <w:spacing w:after="0"/>
            </w:pPr>
            <w:r>
              <w:rPr>
                <w:b/>
                <w:color w:val="145A32"/>
                <w:sz w:val="17"/>
                <w:szCs w:val="17"/>
              </w:rPr>
              <w:t xml:space="preserve">→ Archiver le fichier avec le suffixe _OBSOLETE_ ; dans la V6, écrire « Hyperparasitémie à P. falciparum &gt; 10 % (OMS) ; certaines recommandations européennes pour voyageurs non immuns retiennent un seuil plus bas, à citer avec leur source » et ajouter glycémie &lt; 2,2 mmol/L, créatinine &gt; 265 µmol/L, lactate veineux &gt; 5 mmol/L ou bicarbonate &lt; 15 mmol/L.</w:t>
            </w:r>
          </w:p>
        </w:tc>
        <w:tc>
          <w:tcPr>
            <w:tcW w:w="1800" w:type="dxa"/>
            <w:vAlign w:val="top"/>
          </w:tcPr>
          <w:p>
            <w:pPr>
              <w:spacing w:after="0"/>
            </w:pPr>
            <w:r>
              <w:rPr>
                <w:sz w:val="17"/>
                <w:szCs w:val="17"/>
              </w:rPr>
              <w:t xml:space="preserve">OMS — WHO Guidelines for malaria, définition du paludisme grave à P. falciparum — https://www.who.int/publications/i/item/guidelines-for-malaria — consulté le 22.10.2026 ; severemalaria.org/node/122.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L6-M06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en-tête « LOT 6 · V6 · ENRICHI » › paragraphe d'introduction</w:t>
            </w:r>
          </w:p>
        </w:tc>
        <w:tc>
          <w:tcPr>
            <w:tcW w:w="2600" w:type="dxa"/>
            <w:vAlign w:val="top"/>
          </w:tcPr>
          <w:p>
            <w:pPr>
              <w:spacing w:after="0"/>
            </w:pPr>
            <w:r>
              <w:rPr>
                <w:i/>
                <w:sz w:val="17"/>
                <w:szCs w:val="17"/>
              </w:rPr>
              <w:t xml:space="preserve">« Cette édition réunit le SSP principal et les dix diagnostics du plan initial. »</w:t>
            </w:r>
          </w:p>
        </w:tc>
        <w:tc>
          <w:tcPr>
            <w:tcW w:w="3000" w:type="dxa"/>
            <w:vAlign w:val="top"/>
          </w:tcPr>
          <w:p>
            <w:pPr>
              <w:spacing w:after="40"/>
            </w:pPr>
            <w:r>
              <w:rPr>
                <w:sz w:val="17"/>
                <w:szCs w:val="17"/>
              </w:rPr>
              <w:t xml:space="preserve">Le fichier réunit l'Appel A et les quatre Parties dans un seul HTML intitulé « Partie_1_Integral », ce qui viole la structure obligatoire en cinq fichiers et la cadence 2-3-2-3 ; il emploie aussi 33 attributs title= sur les &lt;summary&gt;, interdits par la règle 14.</w:t>
            </w:r>
          </w:p>
          <w:p>
            <w:pPr>
              <w:spacing w:after="0"/>
            </w:pPr>
            <w:r>
              <w:rPr>
                <w:b/>
                <w:color w:val="145A32"/>
                <w:sz w:val="17"/>
                <w:szCs w:val="17"/>
              </w:rPr>
              <w:t xml:space="preserve">→ Scinder en cinq fichiers .html nommés selon la règle 4 (Appel A ; Partie 1 DX.1–DX.2 ; Partie 2 DX.3–DX.5 ; Partie 3 DX.6–DX.7 ; Partie 4 DX.8–DX.10), chacun avec sa balise FIN_FICHIER ; supprimer tous les attributs title=.</w:t>
            </w:r>
          </w:p>
        </w:tc>
        <w:tc>
          <w:tcPr>
            <w:tcW w:w="1800" w:type="dxa"/>
            <w:vAlign w:val="top"/>
          </w:tcPr>
          <w:p>
            <w:pPr>
              <w:spacing w:after="0"/>
            </w:pPr>
            <w:r>
              <w:rPr>
                <w:sz w:val="17"/>
                <w:szCs w:val="17"/>
              </w:rPr>
              <w:t xml:space="preserve">PROMPT_V6 (standard V6 du projet), règles 0, 3, 4, 12 et 14 ; §4 et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L6-M07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en-tête › paragraphe sur les pourcentages (Bloc 2 de l'Appel A)</w:t>
            </w:r>
          </w:p>
        </w:tc>
        <w:tc>
          <w:tcPr>
            <w:tcW w:w="2600" w:type="dxa"/>
            <w:vAlign w:val="top"/>
          </w:tcPr>
          <w:p>
            <w:pPr>
              <w:spacing w:after="0"/>
            </w:pPr>
            <w:r>
              <w:rPr>
                <w:i/>
                <w:sz w:val="17"/>
                <w:szCs w:val="17"/>
              </w:rPr>
              <w:t xml:space="preserve">« Les pourcentages des anciens plans ne sont pas repris comme des probabilités comparables. »</w:t>
            </w:r>
          </w:p>
        </w:tc>
        <w:tc>
          <w:tcPr>
            <w:tcW w:w="3000" w:type="dxa"/>
            <w:vAlign w:val="top"/>
          </w:tcPr>
          <w:p>
            <w:pPr>
              <w:spacing w:after="40"/>
            </w:pPr>
            <w:r>
              <w:rPr>
                <w:sz w:val="17"/>
                <w:szCs w:val="17"/>
              </w:rPr>
              <w:t xml:space="preserve">Le Bloc 2 de l'Appel A manque : la V6 ne donne ni critère d'ordre des 10 DX, ni justification de chaque DX, ni badge de rang, ni tableau comparatif (signe clé, examen clé, mécanisme, conduite immédiate), ni algorithme discriminant.</w:t>
            </w:r>
          </w:p>
          <w:p>
            <w:pPr>
              <w:spacing w:after="0"/>
            </w:pPr>
            <w:r>
              <w:rPr>
                <w:b/>
                <w:color w:val="145A32"/>
                <w:sz w:val="17"/>
                <w:szCs w:val="17"/>
              </w:rPr>
              <w:t xml:space="preserve">→ Ajouter après la monographie G6 : une phrase qui annonce le critère d'ordre (fréquence en soins primaires pondérée par la gravité) ; un badge « Ne rang — fréquence non quantifiée (Suisse) » par DX ; un tableau comparatif à quatre colonnes ; un algorithme textuel (instabilité ou purpura → méningite/sepsis ; voyage → paludisme ; foyer local → DX correspondant ; fièvre &gt; 3 semaines → endocardite, inflammation, néoplasie).</w:t>
            </w:r>
          </w:p>
        </w:tc>
        <w:tc>
          <w:tcPr>
            <w:tcW w:w="1800" w:type="dxa"/>
            <w:vAlign w:val="top"/>
          </w:tcPr>
          <w:p>
            <w:pPr>
              <w:spacing w:after="0"/>
            </w:pPr>
            <w:r>
              <w:rPr>
                <w:sz w:val="17"/>
                <w:szCs w:val="17"/>
              </w:rPr>
              <w:t xml:space="preserve">PROMPT_V6 (standard V6 du projet), règles 0, 3, 4, 12 et 14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L6-M08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SSP G6 › point 2 « Épidémiologie » (liste des 10 DX)</w:t>
            </w:r>
          </w:p>
        </w:tc>
        <w:tc>
          <w:tcPr>
            <w:tcW w:w="2600" w:type="dxa"/>
            <w:vAlign w:val="top"/>
          </w:tcPr>
          <w:p>
            <w:pPr>
              <w:spacing w:after="0"/>
            </w:pPr>
            <w:r>
              <w:rPr>
                <w:i/>
                <w:sz w:val="17"/>
                <w:szCs w:val="17"/>
              </w:rPr>
              <w:t xml:space="preserve">« Une fièvre prolongée élargit les hypothèses aux maladies inflammatoires, aux cancers et aux médicaments. »</w:t>
            </w:r>
          </w:p>
        </w:tc>
        <w:tc>
          <w:tcPr>
            <w:tcW w:w="3000" w:type="dxa"/>
            <w:vAlign w:val="top"/>
          </w:tcPr>
          <w:p>
            <w:pPr>
              <w:spacing w:after="40"/>
            </w:pPr>
            <w:r>
              <w:rPr>
                <w:sz w:val="17"/>
                <w:szCs w:val="17"/>
              </w:rPr>
              <w:t xml:space="preserve">La liste des 10 DX omet des causes fréquentes ou à ne pas manquer : infections intra-abdominales et biliaires (cholangite, appendicite, diverticulite, abcès), primo-infection VIH, tuberculose, fièvre médicamenteuse et maladie thromboembolique ; elle n'oppose pas non plus les hyperthermies graves (coup de chaleur, syndrome malin des neuroleptiques, syndrome sérotoninergique).</w:t>
            </w:r>
          </w:p>
          <w:p>
            <w:pPr>
              <w:spacing w:after="0"/>
            </w:pPr>
            <w:r>
              <w:rPr>
                <w:b/>
                <w:color w:val="145A32"/>
                <w:sz w:val="17"/>
                <w:szCs w:val="17"/>
              </w:rPr>
              <w:t xml:space="preserve">→ Réviser la liste dans l'Appel A : intégrer les infections intra-abdominales et biliaires comme DX à part entière, ajouter la primo-infection VIH et la tuberculose au DX infectieux systémique ou au DX des fièvres prolongées, et traiter fièvre médicamenteuse, thrombose et hyperthermies au point 4 (diagnostics différentiels discriminants) de G6.</w:t>
            </w:r>
          </w:p>
        </w:tc>
        <w:tc>
          <w:tcPr>
            <w:tcW w:w="1800" w:type="dxa"/>
            <w:vAlign w:val="top"/>
          </w:tcPr>
          <w:p>
            <w:pPr>
              <w:spacing w:after="0"/>
            </w:pPr>
            <w:r>
              <w:rPr>
                <w:sz w:val="17"/>
                <w:szCs w:val="17"/>
              </w:rPr>
              <w:t xml:space="preserve">Bleeker-Rovers CP et al. A prospective multicenter study on fever of unknown origin. Medicine (Baltimore) 2007;86:26-38 ; Walter EJ et al. The pathophysiological basis and consequences of fever. Crit Care 2016;20:200.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L6-M09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SSP G6 › point 9 › fenêtre « Consulter la hiérarchie des examens » › 1re intention (même défaut dans les 11 monographies)</w:t>
            </w:r>
          </w:p>
        </w:tc>
        <w:tc>
          <w:tcPr>
            <w:tcW w:w="2600" w:type="dxa"/>
            <w:vAlign w:val="top"/>
          </w:tcPr>
          <w:p>
            <w:pPr>
              <w:spacing w:after="0"/>
            </w:pPr>
            <w:r>
              <w:rPr>
                <w:i/>
                <w:sz w:val="17"/>
                <w:szCs w:val="17"/>
              </w:rPr>
              <w:t xml:space="preserve">« Il choisit la numération, la CRP, les urines, les hémocultures et l'imagerie selon le terrain et la gravité. »</w:t>
            </w:r>
          </w:p>
        </w:tc>
        <w:tc>
          <w:tcPr>
            <w:tcW w:w="3000" w:type="dxa"/>
            <w:vAlign w:val="top"/>
          </w:tcPr>
          <w:p>
            <w:pPr>
              <w:spacing w:after="40"/>
            </w:pPr>
            <w:r>
              <w:rPr>
                <w:sz w:val="17"/>
                <w:szCs w:val="17"/>
              </w:rPr>
              <w:t xml:space="preserve">Aucune valeur normale, aucun seuil SI et aucun tableau d'interprétation n'accompagne les examens (le fichier contient zéro tableau), ce qui viole les règles 6.7, 9 et 13 ; l'étudiant ne sait pas à partir de quelle CRP, de quelle leucocytose ou de quelle procalcitonine la conduite change.</w:t>
            </w:r>
          </w:p>
          <w:p>
            <w:pPr>
              <w:spacing w:after="0"/>
            </w:pPr>
            <w:r>
              <w:rPr>
                <w:b/>
                <w:color w:val="145A32"/>
                <w:sz w:val="17"/>
                <w:szCs w:val="17"/>
              </w:rPr>
              <w:t xml:space="preserve">→ Ajouter pour chaque examen cité un tableau « normal (SI) | seuil | signification | conduite » enveloppé dans &lt;div style='overflow-x:auto;'&gt; : leucocytes 4–10 G/L ; neutrophiles &lt; 0,5 G/L (neutropénie fébrile) ; CRP &lt; 5 mg/L ; lactate &lt; 2 mmol/L ; glycorachie/glycémie ≥ 0,6 ; leucocytes du LCR &lt; 5/µL, avec la source de chaque seuil.</w:t>
            </w:r>
          </w:p>
        </w:tc>
        <w:tc>
          <w:tcPr>
            <w:tcW w:w="1800" w:type="dxa"/>
            <w:vAlign w:val="top"/>
          </w:tcPr>
          <w:p>
            <w:pPr>
              <w:spacing w:after="0"/>
            </w:pPr>
            <w:r>
              <w:rPr>
                <w:sz w:val="17"/>
                <w:szCs w:val="17"/>
              </w:rPr>
              <w:t xml:space="preserve">PROMPT_V6 (standard V6 du projet), règles 0, 3, 4, 12 et 14 ; §9 point 9 et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L6-M10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SSP G6 › point 11.B « Moyens » (même défaut dans les 11 points 11.B)</w:t>
            </w:r>
          </w:p>
        </w:tc>
        <w:tc>
          <w:tcPr>
            <w:tcW w:w="2600" w:type="dxa"/>
            <w:vAlign w:val="top"/>
          </w:tcPr>
          <w:p>
            <w:pPr>
              <w:spacing w:after="0"/>
            </w:pPr>
            <w:r>
              <w:rPr>
                <w:i/>
                <w:sz w:val="17"/>
                <w:szCs w:val="17"/>
              </w:rPr>
              <w:t xml:space="preserve">« Les antipyrétiques visent surtout le confort ; les antibiotiques répondent à une indication clinique et ne s'imposent pas pour toute fièvre. »</w:t>
            </w:r>
          </w:p>
        </w:tc>
        <w:tc>
          <w:tcPr>
            <w:tcW w:w="3000" w:type="dxa"/>
            <w:vAlign w:val="top"/>
          </w:tcPr>
          <w:p>
            <w:pPr>
              <w:spacing w:after="40"/>
            </w:pPr>
            <w:r>
              <w:rPr>
                <w:sz w:val="17"/>
                <w:szCs w:val="17"/>
              </w:rPr>
              <w:t xml:space="preserve">Aucun médicament n'est décrit selon le schéma ①–⑥ (classe, DCI, spécialité suisse ®, dose, voie, adaptation rénale et hépatique, durée, contre-indications) dans aucune des 11 monographies.</w:t>
            </w:r>
          </w:p>
          <w:p>
            <w:pPr>
              <w:spacing w:after="0"/>
            </w:pPr>
            <w:r>
              <w:rPr>
                <w:b/>
                <w:color w:val="145A32"/>
                <w:sz w:val="17"/>
                <w:szCs w:val="17"/>
              </w:rPr>
              <w:t xml:space="preserve">→ Rédiger chaque 11.B selon ①–⑥ à partir de l'information professionnelle suisse : par exemple paracétamol (Dafalgan®) avec dose maximale et réduction en cas d'hépatopathie ou de poids &lt; 50 kg ; antibiotiques des guidelines SSI pour pneumonie, pyélonéphrite, érysipèle, endocardite et arthrite septique ; chaque dose vérifiée sur compendium.ch ou swissmedicinfo.ch et datée.</w:t>
            </w:r>
          </w:p>
        </w:tc>
        <w:tc>
          <w:tcPr>
            <w:tcW w:w="1800" w:type="dxa"/>
            <w:vAlign w:val="top"/>
          </w:tcPr>
          <w:p>
            <w:pPr>
              <w:spacing w:after="0"/>
            </w:pPr>
            <w:r>
              <w:rPr>
                <w:sz w:val="17"/>
                <w:szCs w:val="17"/>
              </w:rPr>
              <w:t xml:space="preserve">PROMPT_V6 §3.3 et §5 point 11.B ; Swissmedic — AIPS (swissmedicinfo.ch) ; SSI — guidelines.ch.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L6-M11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D6.5 › point 11.B « Moyens »</w:t>
            </w:r>
          </w:p>
        </w:tc>
        <w:tc>
          <w:tcPr>
            <w:tcW w:w="2600" w:type="dxa"/>
            <w:vAlign w:val="top"/>
          </w:tcPr>
          <w:p>
            <w:pPr>
              <w:spacing w:after="0"/>
            </w:pPr>
            <w:r>
              <w:rPr>
                <w:i/>
                <w:sz w:val="17"/>
                <w:szCs w:val="17"/>
              </w:rPr>
              <w:t xml:space="preserve">« Une dexaméthasone et un aciclovir sont utilisés dans les situations indiquées, puis le traitement est ajusté aux résultats. »</w:t>
            </w:r>
          </w:p>
        </w:tc>
        <w:tc>
          <w:tcPr>
            <w:tcW w:w="3000" w:type="dxa"/>
            <w:vAlign w:val="top"/>
          </w:tcPr>
          <w:p>
            <w:pPr>
              <w:spacing w:after="40"/>
            </w:pPr>
            <w:r>
              <w:rPr>
                <w:sz w:val="17"/>
                <w:szCs w:val="17"/>
              </w:rPr>
              <w:t xml:space="preserve">Le traitement d'urgence de la méningite bactérienne et de l'encéphalite herpétique n'a ni molécule antibiotique, ni dose, ni rythme, ni délai, alors que le pronostic dépend du traitement dans l'heure.</w:t>
            </w:r>
          </w:p>
          <w:p>
            <w:pPr>
              <w:spacing w:after="0"/>
            </w:pPr>
            <w:r>
              <w:rPr>
                <w:b/>
                <w:color w:val="145A32"/>
                <w:sz w:val="17"/>
                <w:szCs w:val="17"/>
              </w:rPr>
              <w:t xml:space="preserve">→ Remplacer par : « L'équipe administre dans l'heure, après les hémocultures, la ceftriaxone 2 g IV toutes les 12 heures, plus l'ampicilline 2 g IV toutes les 4 heures si l'âge dépasse 50 ans ou en cas d'immunodépression. Elle donne la dexaméthasone 10 mg IV toutes les 6 heures pendant 4 jours, juste avant ou avec l'antibiotique. Elle ajoute l'aciclovir IV si une encéphalite herpétique est possible, à la dose de l'information professionnelle adaptée au DFGe. »</w:t>
            </w:r>
          </w:p>
        </w:tc>
        <w:tc>
          <w:tcPr>
            <w:tcW w:w="1800" w:type="dxa"/>
            <w:vAlign w:val="top"/>
          </w:tcPr>
          <w:p>
            <w:pPr>
              <w:spacing w:after="0"/>
            </w:pPr>
            <w:r>
              <w:rPr>
                <w:sz w:val="17"/>
                <w:szCs w:val="17"/>
              </w:rPr>
              <w:t xml:space="preserve">Klein M et al. German guidelines on community-acquired acute bacterial meningitis in adults. Neurol Res Pract 2023;5:44 (recommandations 14, 20–22) — https://pmc.ncbi.nlm.nih.gov/articles/PMC10470134/ — consulté le 22.10.2026 ; AIPS aciclovir (swissmedicinfo.ch).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L6-M13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D6.1 › point 5 « Anamnèse et drapeaux rouges » (aussi point 3 et point 12)</w:t>
            </w:r>
          </w:p>
        </w:tc>
        <w:tc>
          <w:tcPr>
            <w:tcW w:w="2600" w:type="dxa"/>
            <w:vAlign w:val="top"/>
          </w:tcPr>
          <w:p>
            <w:pPr>
              <w:spacing w:after="0"/>
            </w:pPr>
            <w:r>
              <w:rPr>
                <w:i/>
                <w:sz w:val="17"/>
                <w:szCs w:val="17"/>
              </w:rPr>
              <w:t xml:space="preserve">« Le médecin demande les contages, la durée, les quintes et les vomissements après la toux. »</w:t>
            </w:r>
          </w:p>
        </w:tc>
        <w:tc>
          <w:tcPr>
            <w:tcW w:w="3000" w:type="dxa"/>
            <w:vAlign w:val="top"/>
          </w:tcPr>
          <w:p>
            <w:pPr>
              <w:spacing w:after="40"/>
            </w:pPr>
            <w:r>
              <w:rPr>
                <w:sz w:val="17"/>
                <w:szCs w:val="17"/>
              </w:rPr>
              <w:t xml:space="preserve">Les points 3, 5 et 12 de D6.1 décrivent la toux et la coqueluche (quintes, vomissements après la toux, apnée, contacts de coqueluche) et semblent copiés d'un autre SSP ; ils ne traitent ni la fièvre ni les drapeaux rouges d'une pneumonie fébrile.</w:t>
            </w:r>
          </w:p>
          <w:p>
            <w:pPr>
              <w:spacing w:after="0"/>
            </w:pPr>
            <w:r>
              <w:rPr>
                <w:b/>
                <w:color w:val="145A32"/>
                <w:sz w:val="17"/>
                <w:szCs w:val="17"/>
              </w:rPr>
              <w:t xml:space="preserve">→ Réécrire ces points pour l'infection respiratoire fébrile : mécanisme de la fièvre et de la condensation alvéolaire ; drapeaux rouges chiffrés (fréquence respiratoire ≥ 30/min, SpO₂ &lt; 92 %, PAS &lt; 90 mmHg, confusion, âge ≥ 65 ans) ; prévention par vaccination antigrippale et antipneumococcique selon le Plan de vaccination suisse.</w:t>
            </w:r>
          </w:p>
        </w:tc>
        <w:tc>
          <w:tcPr>
            <w:tcW w:w="1800" w:type="dxa"/>
            <w:vAlign w:val="top"/>
          </w:tcPr>
          <w:p>
            <w:pPr>
              <w:spacing w:after="0"/>
            </w:pPr>
            <w:r>
              <w:rPr>
                <w:sz w:val="17"/>
                <w:szCs w:val="17"/>
              </w:rPr>
              <w:t xml:space="preserve">Lim WS et al. Thorax 2003;58:377-382 ; OFSP/CFV — Plan de vaccination suisse (édition en vigueur), bag.admin.ch.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L6-M15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D6.9 › point 5 « Anamnèse et drapeaux rouges »</w:t>
            </w:r>
          </w:p>
        </w:tc>
        <w:tc>
          <w:tcPr>
            <w:tcW w:w="2600" w:type="dxa"/>
            <w:vAlign w:val="top"/>
          </w:tcPr>
          <w:p>
            <w:pPr>
              <w:spacing w:after="0"/>
            </w:pPr>
            <w:r>
              <w:rPr>
                <w:i/>
                <w:sz w:val="17"/>
                <w:szCs w:val="17"/>
              </w:rPr>
              <w:t xml:space="preserve">« Une neutropénie fébrile, un saignement ou une défaillance représente une urgence. »</w:t>
            </w:r>
          </w:p>
        </w:tc>
        <w:tc>
          <w:tcPr>
            <w:tcW w:w="3000" w:type="dxa"/>
            <w:vAlign w:val="top"/>
          </w:tcPr>
          <w:p>
            <w:pPr>
              <w:spacing w:after="40"/>
            </w:pPr>
            <w:r>
              <w:rPr>
                <w:sz w:val="17"/>
                <w:szCs w:val="17"/>
              </w:rPr>
              <w:t xml:space="preserve">La neutropénie fébrile n'est ni définie ni associée à sa conduite, alors qu'un retard d'antibiothérapie met la vie du patient en jeu.</w:t>
            </w:r>
          </w:p>
          <w:p>
            <w:pPr>
              <w:spacing w:after="0"/>
            </w:pPr>
            <w:r>
              <w:rPr>
                <w:b/>
                <w:color w:val="145A32"/>
                <w:sz w:val="17"/>
                <w:szCs w:val="17"/>
              </w:rPr>
              <w:t xml:space="preserve">→ Ajouter : « Une neutropénie fébrile associe des neutrophiles &lt; 0,5 G/L (ou une chute attendue sous ce seuil) à une température orale &gt; 38,3 °C ou à deux mesures &gt; 38,0 °C à deux heures d'intervalle. L'équipe prélève les hémocultures et administre une bêtalactamine antipseudomonas IV dans l'heure, après évaluation du risque (score MASCC). »</w:t>
            </w:r>
          </w:p>
        </w:tc>
        <w:tc>
          <w:tcPr>
            <w:tcW w:w="1800" w:type="dxa"/>
            <w:vAlign w:val="top"/>
          </w:tcPr>
          <w:p>
            <w:pPr>
              <w:spacing w:after="0"/>
            </w:pPr>
            <w:r>
              <w:rPr>
                <w:sz w:val="17"/>
                <w:szCs w:val="17"/>
              </w:rPr>
              <w:t xml:space="preserve">Klastersky J et al. Management of febrile neutropaenia: ESMO Clinical Practice Guidelines. Ann Oncol 2016;27(suppl 5):v111-v118.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L6-M16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D6.8 › point 9 › fenêtre « Consulter la hiérarchie des examens » › 2e intention</w:t>
            </w:r>
          </w:p>
        </w:tc>
        <w:tc>
          <w:tcPr>
            <w:tcW w:w="2600" w:type="dxa"/>
            <w:vAlign w:val="top"/>
          </w:tcPr>
          <w:p>
            <w:pPr>
              <w:spacing w:after="0"/>
            </w:pPr>
            <w:r>
              <w:rPr>
                <w:i/>
                <w:sz w:val="17"/>
                <w:szCs w:val="17"/>
              </w:rPr>
              <w:t xml:space="preserve">« Une suspicion d'artérite à cellules géantes avec signe visuel exige une prise en charge urgente. »</w:t>
            </w:r>
          </w:p>
        </w:tc>
        <w:tc>
          <w:tcPr>
            <w:tcW w:w="3000" w:type="dxa"/>
            <w:vAlign w:val="top"/>
          </w:tcPr>
          <w:p>
            <w:pPr>
              <w:spacing w:after="40"/>
            </w:pPr>
            <w:r>
              <w:rPr>
                <w:sz w:val="17"/>
                <w:szCs w:val="17"/>
              </w:rPr>
              <w:t xml:space="preserve">La phrase ne dit pas que la corticothérapie à haute dose doit commencer immédiatement, avant la biopsie ou l'imagerie, pour prévenir la cécité.</w:t>
            </w:r>
          </w:p>
          <w:p>
            <w:pPr>
              <w:spacing w:after="0"/>
            </w:pPr>
            <w:r>
              <w:rPr>
                <w:b/>
                <w:color w:val="145A32"/>
                <w:sz w:val="17"/>
                <w:szCs w:val="17"/>
              </w:rPr>
              <w:t xml:space="preserve">→ Écrire : « Devant une suspicion d'artérite à cellules géantes, le médecin débute immédiatement la prednisone 40 à 60 mg/j sans attendre la biopsie ni l'échographie ; une perte visuelle fait discuter des bolus de méthylprednisolone IV 250 à 1000 mg/j pendant 3 jours et impose un avis spécialisé le jour même. »</w:t>
            </w:r>
          </w:p>
        </w:tc>
        <w:tc>
          <w:tcPr>
            <w:tcW w:w="1800" w:type="dxa"/>
            <w:vAlign w:val="top"/>
          </w:tcPr>
          <w:p>
            <w:pPr>
              <w:spacing w:after="0"/>
            </w:pPr>
            <w:r>
              <w:rPr>
                <w:sz w:val="17"/>
                <w:szCs w:val="17"/>
              </w:rPr>
              <w:t xml:space="preserve">Hellmich B et al. 2018 Update of the EULAR recommendations for the management of large vessel vasculitis. Ann Rheum Dis 2020;79:19-30.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L6-M17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D6.10 › point 11.B « Moyens »</w:t>
            </w:r>
          </w:p>
        </w:tc>
        <w:tc>
          <w:tcPr>
            <w:tcW w:w="2600" w:type="dxa"/>
            <w:vAlign w:val="top"/>
          </w:tcPr>
          <w:p>
            <w:pPr>
              <w:spacing w:after="0"/>
            </w:pPr>
            <w:r>
              <w:rPr>
                <w:i/>
                <w:sz w:val="17"/>
                <w:szCs w:val="17"/>
              </w:rPr>
              <w:t xml:space="preserve">« généralement par artésunate IV selon le protocole. La dengue relève d'une gestion prudente des liquides »</w:t>
            </w:r>
          </w:p>
        </w:tc>
        <w:tc>
          <w:tcPr>
            <w:tcW w:w="3000" w:type="dxa"/>
            <w:vAlign w:val="top"/>
          </w:tcPr>
          <w:p>
            <w:pPr>
              <w:spacing w:after="40"/>
            </w:pPr>
            <w:r>
              <w:rPr>
                <w:sz w:val="17"/>
                <w:szCs w:val="17"/>
              </w:rPr>
              <w:t xml:space="preserve">Le paludisme grave n'a ni critères de gravité, ni dose d'artésunate, ni statut d'autorisation en Suisse, et l'accès simple n'a aucun traitement nommé (artéméther-luméfantrine Riamet®, atovaquone-proguanil Malarone®).</w:t>
            </w:r>
          </w:p>
          <w:p>
            <w:pPr>
              <w:spacing w:after="0"/>
            </w:pPr>
            <w:r>
              <w:rPr>
                <w:b/>
                <w:color w:val="145A32"/>
                <w:sz w:val="17"/>
                <w:szCs w:val="17"/>
              </w:rPr>
              <w:t xml:space="preserve">→ Ajouter une fenêtre « Critères OMS du paludisme grave » (troubles de conscience, hypoglycémie &lt; 2,2 mmol/L, créatinine &gt; 265 µmol/L, lactate &gt; 5 mmol/L, hyperparasitémie &gt; 10 %…) et écrire : « Artésunate 2,4 mg/kg IV à H0, H12 et H24, puis toutes les 24 heures. » Statut Swissmedic de l'artésunate IV : donnée non trouvée dans les sources consultées (autorisé dans l'UE sous le nom Artesunate Amivas) ; vérifier sur swissmedicinfo.ch et indiquer l'importation ou le dépôt hospitalier, puis envoyer la question dans HELP.</w:t>
            </w:r>
          </w:p>
        </w:tc>
        <w:tc>
          <w:tcPr>
            <w:tcW w:w="1800" w:type="dxa"/>
            <w:vAlign w:val="top"/>
          </w:tcPr>
          <w:p>
            <w:pPr>
              <w:spacing w:after="0"/>
            </w:pPr>
            <w:r>
              <w:rPr>
                <w:sz w:val="17"/>
                <w:szCs w:val="17"/>
              </w:rPr>
              <w:t xml:space="preserve">OMS — WHO Guidelines for malaria — https://www.who.int/publications/i/item/guidelines-for-malaria ; EMA — EPAR Artesunate Amivas — https://www.ema.europa.eu/en/medicines/human/EPAR/artesunate-amivas — consultés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L6-M20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SSP G6 › point 7.1 (même défaut dans les 11 points 7 et dans tout le texte principal)</w:t>
            </w:r>
          </w:p>
        </w:tc>
        <w:tc>
          <w:tcPr>
            <w:tcW w:w="2600" w:type="dxa"/>
            <w:vAlign w:val="top"/>
          </w:tcPr>
          <w:p>
            <w:pPr>
              <w:spacing w:after="0"/>
            </w:pPr>
            <w:r>
              <w:rPr>
                <w:i/>
                <w:sz w:val="17"/>
                <w:szCs w:val="17"/>
              </w:rPr>
              <w:t xml:space="preserve">« Une fièvre avec signe local oriente vers un foyer. »</w:t>
            </w:r>
          </w:p>
        </w:tc>
        <w:tc>
          <w:tcPr>
            <w:tcW w:w="3000" w:type="dxa"/>
            <w:vAlign w:val="top"/>
          </w:tcPr>
          <w:p>
            <w:pPr>
              <w:spacing w:after="40"/>
            </w:pPr>
            <w:r>
              <w:rPr>
                <w:sz w:val="17"/>
                <w:szCs w:val="17"/>
              </w:rPr>
              <w:t xml:space="preserve">Les syndromes ne listent pas leurs signes et n'ouvrent aucune fenêtre qui relie chaque signe à son mécanisme ; les 33 fenêtres du fichier sont des renvois génériques (hiérarchie des examens, portée 2026, références) et aucun terme, signe, examen ou médicament n'ouvre de fenêtre.</w:t>
            </w:r>
          </w:p>
          <w:p>
            <w:pPr>
              <w:spacing w:after="0"/>
            </w:pPr>
            <w:r>
              <w:rPr>
                <w:b/>
                <w:color w:val="145A32"/>
                <w:sz w:val="17"/>
                <w:szCs w:val="17"/>
              </w:rPr>
              <w:t xml:space="preserve">→ Pour chaque monographie, nommer les syndromes (par exemple 7.1 Syndrome infectieux, 7.2 Syndrome méningé), lister leurs signes fonctionnels et physiques et ajouter une fenêtre &lt;details&gt; par titre de syndrome et par terme technique (mécanisme pas à pas, exemple chiffré, piège, source [Sn]).</w:t>
            </w:r>
          </w:p>
        </w:tc>
        <w:tc>
          <w:tcPr>
            <w:tcW w:w="1800" w:type="dxa"/>
            <w:vAlign w:val="top"/>
          </w:tcPr>
          <w:p>
            <w:pPr>
              <w:spacing w:after="0"/>
            </w:pPr>
            <w:r>
              <w:rPr>
                <w:sz w:val="17"/>
                <w:szCs w:val="17"/>
              </w:rPr>
              <w:t xml:space="preserve">PROMPT_V6 (standard V6 du projet), règles 0, 3, 4, 12 et 14 ; §5 point 7 et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L6-M22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D6.6 › fenêtre « Consulter les références et leur portée » (aucune section Sources dans le fichier)</w:t>
            </w:r>
          </w:p>
        </w:tc>
        <w:tc>
          <w:tcPr>
            <w:tcW w:w="2600" w:type="dxa"/>
            <w:vAlign w:val="top"/>
          </w:tcPr>
          <w:p>
            <w:pPr>
              <w:spacing w:after="0"/>
            </w:pPr>
            <w:r>
              <w:rPr>
                <w:i/>
                <w:sz w:val="17"/>
                <w:szCs w:val="17"/>
              </w:rPr>
              <w:t xml:space="preserve">« Duke-ISCVID — Critères 2023 »</w:t>
            </w:r>
          </w:p>
        </w:tc>
        <w:tc>
          <w:tcPr>
            <w:tcW w:w="3000" w:type="dxa"/>
            <w:vAlign w:val="top"/>
          </w:tcPr>
          <w:p>
            <w:pPr>
              <w:spacing w:after="40"/>
            </w:pPr>
            <w:r>
              <w:rPr>
                <w:sz w:val="17"/>
                <w:szCs w:val="17"/>
              </w:rPr>
              <w:t xml:space="preserve">Le fichier ne comporte aucune section Sources numérotée [S1]…[Sn] datée, aucun renvoi [Sn] dans le texte et aucune mention « Contenu produit par IA… non validé cliniquement par un médecin » ; seules deux références externes (Duke-ISCVID 2023, ESC 2023) et des liens vers les Google Docs périmés apparaissent.</w:t>
            </w:r>
          </w:p>
          <w:p>
            <w:pPr>
              <w:spacing w:after="0"/>
            </w:pPr>
            <w:r>
              <w:rPr>
                <w:b/>
                <w:color w:val="145A32"/>
                <w:sz w:val="17"/>
                <w:szCs w:val="17"/>
              </w:rPr>
              <w:t xml:space="preserve">→ Ajouter en fin de chaque fichier une section Sources [S1]…[Sn] (titre, organisme, année, URL, date de consultation), relier chaque affirmation chiffrée à son [Sn], retirer les liens « Document Drive de départ » qui pointent vers les Google Docs obsolètes, puis ajouter la mention de non-validation.</w:t>
            </w:r>
          </w:p>
        </w:tc>
        <w:tc>
          <w:tcPr>
            <w:tcW w:w="1800" w:type="dxa"/>
            <w:vAlign w:val="top"/>
          </w:tcPr>
          <w:p>
            <w:pPr>
              <w:spacing w:after="0"/>
            </w:pPr>
            <w:r>
              <w:rPr>
                <w:sz w:val="17"/>
                <w:szCs w:val="17"/>
              </w:rPr>
              <w:t xml:space="preserve">PROMPT_V6 (standard V6 du projet), règles 0, 3, 4, 12 et 14 ; §3.8.</w:t>
            </w:r>
          </w:p>
        </w:tc>
      </w:tr>
    </w:tbl>
    <w:p>
      <w:pPr>
        <w:spacing w:after="120"/>
      </w:pPr>
    </w:p>
    <w:p>
      <w:pPr>
        <w:pStyle w:val="Titre1"/>
        <w:keepNext/>
      </w:pPr>
      <w:r>
        <w:rPr>
          <w:b/>
          <w:color w:val="B9770E"/>
          <w:sz w:val="26"/>
          <w:szCs w:val="26"/>
        </w:rPr>
        <w:t xml:space="preserve">Moyen — 18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B9770E"/>
            <w:vAlign w:val="top"/>
          </w:tcPr>
          <w:p>
            <w:pPr>
              <w:spacing w:after="0"/>
            </w:pPr>
            <w:r>
              <w:rPr>
                <w:b/>
                <w:color w:val="FFFFFF"/>
                <w:sz w:val="17"/>
                <w:szCs w:val="17"/>
              </w:rPr>
              <w:t xml:space="preserve">Fait</w:t>
            </w:r>
          </w:p>
        </w:tc>
        <w:tc>
          <w:tcPr>
            <w:tcW w:w="900" w:type="dxa"/>
            <w:shd w:val="clear" w:color="auto" w:fill="B9770E"/>
            <w:vAlign w:val="top"/>
          </w:tcPr>
          <w:p>
            <w:pPr>
              <w:spacing w:after="0"/>
            </w:pPr>
            <w:r>
              <w:rPr>
                <w:b/>
                <w:color w:val="FFFFFF"/>
                <w:sz w:val="17"/>
                <w:szCs w:val="17"/>
              </w:rPr>
              <w:t xml:space="preserve">N°</w:t>
            </w:r>
          </w:p>
        </w:tc>
        <w:tc>
          <w:tcPr>
            <w:tcW w:w="1250" w:type="dxa"/>
            <w:shd w:val="clear" w:color="auto" w:fill="B9770E"/>
            <w:vAlign w:val="top"/>
          </w:tcPr>
          <w:p>
            <w:pPr>
              <w:spacing w:after="0"/>
            </w:pPr>
            <w:r>
              <w:rPr>
                <w:b/>
                <w:color w:val="FFFFFF"/>
                <w:sz w:val="17"/>
                <w:szCs w:val="17"/>
              </w:rPr>
              <w:t xml:space="preserve">Domaine</w:t>
            </w:r>
          </w:p>
        </w:tc>
        <w:tc>
          <w:tcPr>
            <w:tcW w:w="1900" w:type="dxa"/>
            <w:shd w:val="clear" w:color="auto" w:fill="B9770E"/>
            <w:vAlign w:val="top"/>
          </w:tcPr>
          <w:p>
            <w:pPr>
              <w:spacing w:after="0"/>
            </w:pPr>
            <w:r>
              <w:rPr>
                <w:b/>
                <w:color w:val="FFFFFF"/>
                <w:sz w:val="17"/>
                <w:szCs w:val="17"/>
              </w:rPr>
              <w:t xml:space="preserve">Fichier</w:t>
            </w:r>
          </w:p>
        </w:tc>
        <w:tc>
          <w:tcPr>
            <w:tcW w:w="2350" w:type="dxa"/>
            <w:shd w:val="clear" w:color="auto" w:fill="B9770E"/>
            <w:vAlign w:val="top"/>
          </w:tcPr>
          <w:p>
            <w:pPr>
              <w:spacing w:after="0"/>
            </w:pPr>
            <w:r>
              <w:rPr>
                <w:b/>
                <w:color w:val="FFFFFF"/>
                <w:sz w:val="17"/>
                <w:szCs w:val="17"/>
              </w:rPr>
              <w:t xml:space="preserve">Emplacement</w:t>
            </w:r>
          </w:p>
        </w:tc>
        <w:tc>
          <w:tcPr>
            <w:tcW w:w="2600" w:type="dxa"/>
            <w:shd w:val="clear" w:color="auto" w:fill="B9770E"/>
            <w:vAlign w:val="top"/>
          </w:tcPr>
          <w:p>
            <w:pPr>
              <w:spacing w:after="0"/>
            </w:pPr>
            <w:r>
              <w:rPr>
                <w:b/>
                <w:color w:val="FFFFFF"/>
                <w:sz w:val="17"/>
                <w:szCs w:val="17"/>
              </w:rPr>
              <w:t xml:space="preserve">Extrait exact</w:t>
            </w:r>
          </w:p>
        </w:tc>
        <w:tc>
          <w:tcPr>
            <w:tcW w:w="3000" w:type="dxa"/>
            <w:shd w:val="clear" w:color="auto" w:fill="B9770E"/>
            <w:vAlign w:val="top"/>
          </w:tcPr>
          <w:p>
            <w:pPr>
              <w:spacing w:after="0"/>
            </w:pPr>
            <w:r>
              <w:rPr>
                <w:b/>
                <w:color w:val="FFFFFF"/>
                <w:sz w:val="17"/>
                <w:szCs w:val="17"/>
              </w:rPr>
              <w:t xml:space="preserve">Problème → correction</w:t>
            </w:r>
          </w:p>
        </w:tc>
        <w:tc>
          <w:tcPr>
            <w:tcW w:w="1800" w:type="dxa"/>
            <w:shd w:val="clear" w:color="auto" w:fill="B9770E"/>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L6-L06</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LOT_6_Appel_B_V5_Ultra_Pedagogique_Partie_2_DX.3_a_DX.4__export_GoogleDoc.html</w:t>
            </w:r>
          </w:p>
        </w:tc>
        <w:tc>
          <w:tcPr>
            <w:tcW w:w="2350" w:type="dxa"/>
            <w:vAlign w:val="top"/>
          </w:tcPr>
          <w:p>
            <w:pPr>
              <w:spacing w:after="0"/>
            </w:pPr>
            <w:r>
              <w:rPr>
                <w:sz w:val="17"/>
                <w:szCs w:val="17"/>
              </w:rPr>
              <w:t xml:space="preserve">Appel B V5 › découpage des Parties 2 et 3</w:t>
            </w:r>
          </w:p>
        </w:tc>
        <w:tc>
          <w:tcPr>
            <w:tcW w:w="2600" w:type="dxa"/>
            <w:vAlign w:val="top"/>
          </w:tcPr>
          <w:p>
            <w:pPr>
              <w:spacing w:after="0"/>
            </w:pPr>
            <w:r>
              <w:rPr>
                <w:i/>
                <w:sz w:val="17"/>
                <w:szCs w:val="17"/>
              </w:rPr>
              <w:t xml:space="preserve">« Appel B - Partie 2/4 (D6.3 à D6.4) »</w:t>
            </w:r>
          </w:p>
        </w:tc>
        <w:tc>
          <w:tcPr>
            <w:tcW w:w="3000" w:type="dxa"/>
            <w:vAlign w:val="top"/>
          </w:tcPr>
          <w:p>
            <w:pPr>
              <w:spacing w:after="40"/>
            </w:pPr>
            <w:r>
              <w:rPr>
                <w:sz w:val="17"/>
                <w:szCs w:val="17"/>
              </w:rPr>
              <w:t xml:space="preserve">Le découpage V5 suit une cadence 2-2-3-3 (DX.3–DX.4 puis DX.5–DX.7) alors que le prompt impose 2-3-2-3 (DX.3–DX.5 puis DX.6–DX.7) ; les noms de fichiers attendus ne correspondent donc pas.</w:t>
            </w:r>
          </w:p>
          <w:p>
            <w:pPr>
              <w:spacing w:after="0"/>
            </w:pPr>
            <w:r>
              <w:rPr>
                <w:b/>
                <w:color w:val="145A32"/>
                <w:sz w:val="17"/>
                <w:szCs w:val="17"/>
              </w:rPr>
              <w:t xml:space="preserve">→ Régénérer les Parties sous les noms LOT_6_Appel_B_V5_Ultra_Pedagogique_Partie_2_DX.3_a_DX.5.html et LOT_6_Appel_B_V5_Ultra_Pedagogique_Partie_3_DX.6_a_DX.7.html.</w:t>
            </w:r>
          </w:p>
        </w:tc>
        <w:tc>
          <w:tcPr>
            <w:tcW w:w="1800" w:type="dxa"/>
            <w:vAlign w:val="top"/>
          </w:tcPr>
          <w:p>
            <w:pPr>
              <w:spacing w:after="0"/>
            </w:pPr>
            <w:r>
              <w:rPr>
                <w:sz w:val="17"/>
                <w:szCs w:val="17"/>
              </w:rPr>
              <w:t xml:space="preserve">PROMPT_V6.md (prompt de base du projet), § 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L6-L09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encadré d'introduction › badges des DX</w:t>
            </w:r>
          </w:p>
        </w:tc>
        <w:tc>
          <w:tcPr>
            <w:tcW w:w="2600" w:type="dxa"/>
            <w:vAlign w:val="top"/>
          </w:tcPr>
          <w:p>
            <w:pPr>
              <w:spacing w:after="0"/>
            </w:pPr>
            <w:r>
              <w:rPr>
                <w:i/>
                <w:sz w:val="17"/>
                <w:szCs w:val="17"/>
              </w:rPr>
              <w:t xml:space="preserve">« Les pourcentages des anciens plans ne sont pas repris comme des probabilités comparables. »</w:t>
            </w:r>
          </w:p>
        </w:tc>
        <w:tc>
          <w:tcPr>
            <w:tcW w:w="3000" w:type="dxa"/>
            <w:vAlign w:val="top"/>
          </w:tcPr>
          <w:p>
            <w:pPr>
              <w:spacing w:after="40"/>
            </w:pPr>
            <w:r>
              <w:rPr>
                <w:sz w:val="17"/>
                <w:szCs w:val="17"/>
              </w:rPr>
              <w:t xml:space="preserve">Le fichier retire les pourcentages non sourcés, ce qui est juste, mais il ne les remplace pas par la mention de rang imposée et ne dit pas le critère d'ordre des DX.</w:t>
            </w:r>
          </w:p>
          <w:p>
            <w:pPr>
              <w:spacing w:after="0"/>
            </w:pPr>
            <w:r>
              <w:rPr>
                <w:b/>
                <w:color w:val="145A32"/>
                <w:sz w:val="17"/>
                <w:szCs w:val="17"/>
              </w:rPr>
              <w:t xml:space="preserve">→ Ajouter à chaque titre de DX le badge « Ne rang — fréquence non quantifiée (Suisse) » et annoncer en une phrase le critère d'ordre (fréquence en soins primaires pondérée par la gravité).</w:t>
            </w:r>
          </w:p>
        </w:tc>
        <w:tc>
          <w:tcPr>
            <w:tcW w:w="1800" w:type="dxa"/>
            <w:vAlign w:val="top"/>
          </w:tcPr>
          <w:p>
            <w:pPr>
              <w:spacing w:after="0"/>
            </w:pPr>
            <w:r>
              <w:rPr>
                <w:sz w:val="17"/>
                <w:szCs w:val="17"/>
              </w:rPr>
              <w:t xml:space="preserve">PROMPT_V6.md (prompt de base du projet),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L6-L17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G6 › point 8 « Critères »</w:t>
            </w:r>
          </w:p>
        </w:tc>
        <w:tc>
          <w:tcPr>
            <w:tcW w:w="2600" w:type="dxa"/>
            <w:vAlign w:val="top"/>
          </w:tcPr>
          <w:p>
            <w:pPr>
              <w:spacing w:after="0"/>
            </w:pPr>
            <w:r>
              <w:rPr>
                <w:i/>
                <w:sz w:val="17"/>
                <w:szCs w:val="17"/>
              </w:rPr>
              <w:t xml:space="preserve">« La fièvre correspond à une élévation régulée de la température, habituellement à partir de 38 °C selon le site de mesure. Elle se distingue »</w:t>
            </w:r>
          </w:p>
        </w:tc>
        <w:tc>
          <w:tcPr>
            <w:tcW w:w="3000" w:type="dxa"/>
            <w:vAlign w:val="top"/>
          </w:tcPr>
          <w:p>
            <w:pPr>
              <w:spacing w:after="40"/>
            </w:pPr>
            <w:r>
              <w:rPr>
                <w:sz w:val="17"/>
                <w:szCs w:val="17"/>
              </w:rPr>
              <w:t xml:space="preserve">Le critère reste vague : il ne donne ni le seuil par site de mesure, ni la définition chiffrée de la fièvre prolongée ou d'origine inconnue, ni la société de référence et l'année.</w:t>
            </w:r>
          </w:p>
          <w:p>
            <w:pPr>
              <w:spacing w:after="0"/>
            </w:pPr>
            <w:r>
              <w:rPr>
                <w:b/>
                <w:color w:val="145A32"/>
                <w:sz w:val="17"/>
                <w:szCs w:val="17"/>
              </w:rPr>
              <w:t xml:space="preserve">→ Présenter un tableau des seuils par site de mesure (rectal, buccal, tympanique, axillaire) et la définition de la fièvre d'origine inconnue (température &gt; 38,3 °C à plusieurs reprises, durée &gt; 3 semaines, bilan non contributif), chacun avec sa source [Sn].</w:t>
            </w:r>
          </w:p>
        </w:tc>
        <w:tc>
          <w:tcPr>
            <w:tcW w:w="1800" w:type="dxa"/>
            <w:vAlign w:val="top"/>
          </w:tcPr>
          <w:p>
            <w:pPr>
              <w:spacing w:after="0"/>
            </w:pPr>
            <w:r>
              <w:rPr>
                <w:sz w:val="17"/>
                <w:szCs w:val="17"/>
              </w:rPr>
              <w:t xml:space="preserve">PROMPT_V6.md (prompt de base du projet), § 5 point 8 et § 6 point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L6-L20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G6 › point 13 (même défaut dans les 11 monographies)</w:t>
            </w:r>
          </w:p>
        </w:tc>
        <w:tc>
          <w:tcPr>
            <w:tcW w:w="2600" w:type="dxa"/>
            <w:vAlign w:val="top"/>
          </w:tcPr>
          <w:p>
            <w:pPr>
              <w:spacing w:after="0"/>
            </w:pPr>
            <w:r>
              <w:rPr>
                <w:i/>
                <w:sz w:val="17"/>
                <w:szCs w:val="17"/>
              </w:rPr>
              <w:t xml:space="preserve">« Le traitement cible la cause et assure une hydratation adaptée. Le suivi mesure »</w:t>
            </w:r>
          </w:p>
        </w:tc>
        <w:tc>
          <w:tcPr>
            <w:tcW w:w="3000" w:type="dxa"/>
            <w:vAlign w:val="top"/>
          </w:tcPr>
          <w:p>
            <w:pPr>
              <w:spacing w:after="40"/>
            </w:pPr>
            <w:r>
              <w:rPr>
                <w:sz w:val="17"/>
                <w:szCs w:val="17"/>
              </w:rPr>
              <w:t xml:space="preserve">Les points clés recopient mot pour mot une phrase des points 8, 11.B et 11.C ; cette répétition n'apporte aucune information nouvelle.</w:t>
            </w:r>
          </w:p>
          <w:p>
            <w:pPr>
              <w:spacing w:after="0"/>
            </w:pPr>
            <w:r>
              <w:rPr>
                <w:b/>
                <w:color w:val="145A32"/>
                <w:sz w:val="17"/>
                <w:szCs w:val="17"/>
              </w:rPr>
              <w:t xml:space="preserve">→ Rédiger 3 à 6 points clés originaux, verbaux et chiffrés (seuils, délais, conduites) au lieu de recopier les rubriques précédentes.</w:t>
            </w:r>
          </w:p>
        </w:tc>
        <w:tc>
          <w:tcPr>
            <w:tcW w:w="1800" w:type="dxa"/>
            <w:vAlign w:val="top"/>
          </w:tcPr>
          <w:p>
            <w:pPr>
              <w:spacing w:after="0"/>
            </w:pPr>
            <w:r>
              <w:rPr>
                <w:sz w:val="17"/>
                <w:szCs w:val="17"/>
              </w:rPr>
              <w:t xml:space="preserve">PROMPT_V6.md (prompt de base du projet), § 5 point 13 et § 6 point 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L6-L23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G6 › point 9 › fenêtre « Alternatives »</w:t>
            </w:r>
          </w:p>
        </w:tc>
        <w:tc>
          <w:tcPr>
            <w:tcW w:w="2600" w:type="dxa"/>
            <w:vAlign w:val="top"/>
          </w:tcPr>
          <w:p>
            <w:pPr>
              <w:spacing w:after="0"/>
            </w:pPr>
            <w:r>
              <w:rPr>
                <w:i/>
                <w:sz w:val="17"/>
                <w:szCs w:val="17"/>
              </w:rPr>
              <w:t xml:space="preserve">« Une CRP basse au début ne suffit pas à exclure une infection grave. »</w:t>
            </w:r>
          </w:p>
        </w:tc>
        <w:tc>
          <w:tcPr>
            <w:tcW w:w="3000" w:type="dxa"/>
            <w:vAlign w:val="top"/>
          </w:tcPr>
          <w:p>
            <w:pPr>
              <w:spacing w:after="40"/>
            </w:pPr>
            <w:r>
              <w:rPr>
                <w:sz w:val="17"/>
                <w:szCs w:val="17"/>
              </w:rPr>
              <w:t xml:space="preserve">L'expression « CRP basse » est un terme vague sans valeur ni unité, ce que le prompt interdit.</w:t>
            </w:r>
          </w:p>
          <w:p>
            <w:pPr>
              <w:spacing w:after="0"/>
            </w:pPr>
            <w:r>
              <w:rPr>
                <w:b/>
                <w:color w:val="145A32"/>
                <w:sz w:val="17"/>
                <w:szCs w:val="17"/>
              </w:rPr>
              <w:t xml:space="preserve">→ Chiffrer la valeur (par exemple « Une CRP &lt; 10 mg/L dans les premières heures… ») avec sa source [Sn], ou écrire « donnée non trouvée dans les sources consultées ».</w:t>
            </w:r>
          </w:p>
        </w:tc>
        <w:tc>
          <w:tcPr>
            <w:tcW w:w="1800" w:type="dxa"/>
            <w:vAlign w:val="top"/>
          </w:tcPr>
          <w:p>
            <w:pPr>
              <w:spacing w:after="0"/>
            </w:pPr>
            <w:r>
              <w:rPr>
                <w:sz w:val="17"/>
                <w:szCs w:val="17"/>
              </w:rPr>
              <w:t xml:space="preserve">PROMPT_V6.md (prompt de base du projet), § 6 point 7 et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L6-L24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D6.7 › point 14</w:t>
            </w:r>
          </w:p>
        </w:tc>
        <w:tc>
          <w:tcPr>
            <w:tcW w:w="2600" w:type="dxa"/>
            <w:vAlign w:val="top"/>
          </w:tcPr>
          <w:p>
            <w:pPr>
              <w:spacing w:after="0"/>
            </w:pPr>
            <w:r>
              <w:rPr>
                <w:i/>
                <w:sz w:val="17"/>
                <w:szCs w:val="17"/>
              </w:rPr>
              <w:t xml:space="preserve">« Un nombre de leucocytes synoviaux inférieur à un seuil usuel n'exclut pas l'infection. »</w:t>
            </w:r>
          </w:p>
        </w:tc>
        <w:tc>
          <w:tcPr>
            <w:tcW w:w="3000" w:type="dxa"/>
            <w:vAlign w:val="top"/>
          </w:tcPr>
          <w:p>
            <w:pPr>
              <w:spacing w:after="40"/>
            </w:pPr>
            <w:r>
              <w:rPr>
                <w:sz w:val="17"/>
                <w:szCs w:val="17"/>
              </w:rPr>
              <w:t xml:space="preserve">La phrase renvoie à « un seuil usuel » sans le chiffrer ; l'étudiant ne connaît ni la valeur ni l'unité.</w:t>
            </w:r>
          </w:p>
          <w:p>
            <w:pPr>
              <w:spacing w:after="0"/>
            </w:pPr>
            <w:r>
              <w:rPr>
                <w:b/>
                <w:color w:val="145A32"/>
                <w:sz w:val="17"/>
                <w:szCs w:val="17"/>
              </w:rPr>
              <w:t xml:space="preserve">→ Chiffrer le seuil discuté (leucocytes synoviaux en /µL, part de neutrophiles en %) avec sa source [Sn].</w:t>
            </w:r>
          </w:p>
        </w:tc>
        <w:tc>
          <w:tcPr>
            <w:tcW w:w="1800" w:type="dxa"/>
            <w:vAlign w:val="top"/>
          </w:tcPr>
          <w:p>
            <w:pPr>
              <w:spacing w:after="0"/>
            </w:pPr>
            <w:r>
              <w:rPr>
                <w:sz w:val="17"/>
                <w:szCs w:val="17"/>
              </w:rPr>
              <w:t xml:space="preserve">PROMPT_V6.md (prompt de base du projet), § 6 point 7 et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L6-L25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D6.1 › point 14 (et point 10)</w:t>
            </w:r>
          </w:p>
        </w:tc>
        <w:tc>
          <w:tcPr>
            <w:tcW w:w="2600" w:type="dxa"/>
            <w:vAlign w:val="top"/>
          </w:tcPr>
          <w:p>
            <w:pPr>
              <w:spacing w:after="0"/>
            </w:pPr>
            <w:r>
              <w:rPr>
                <w:i/>
                <w:sz w:val="17"/>
                <w:szCs w:val="17"/>
              </w:rPr>
              <w:t xml:space="preserve">« Le score CURB-65 aide à apprécier la gravité mais ne remplace pas l'évaluation clinique. »</w:t>
            </w:r>
          </w:p>
        </w:tc>
        <w:tc>
          <w:tcPr>
            <w:tcW w:w="3000" w:type="dxa"/>
            <w:vAlign w:val="top"/>
          </w:tcPr>
          <w:p>
            <w:pPr>
              <w:spacing w:after="40"/>
            </w:pPr>
            <w:r>
              <w:rPr>
                <w:sz w:val="17"/>
                <w:szCs w:val="17"/>
              </w:rPr>
              <w:t xml:space="preserve">Le score CURB-65 est cité sans ses items, ses seuils ni leur conséquence décisionnelle, et aucune fenêtre bio-mathématique ne le détaille.</w:t>
            </w:r>
          </w:p>
          <w:p>
            <w:pPr>
              <w:spacing w:after="0"/>
            </w:pPr>
            <w:r>
              <w:rPr>
                <w:b/>
                <w:color w:val="145A32"/>
                <w:sz w:val="17"/>
                <w:szCs w:val="17"/>
              </w:rPr>
              <w:t xml:space="preserve">→ Ajouter une fenêtre bio-mathématique CURB-65 : items, calcul d'exemple, tableau 0–1 prise en charge ambulatoire possible, 2 hospitalisation à discuter, 3–5 pneumonie sévère avec évaluation pour soins intensifs.</w:t>
            </w:r>
          </w:p>
        </w:tc>
        <w:tc>
          <w:tcPr>
            <w:tcW w:w="1800" w:type="dxa"/>
            <w:vAlign w:val="top"/>
          </w:tcPr>
          <w:p>
            <w:pPr>
              <w:spacing w:after="0"/>
            </w:pPr>
            <w:r>
              <w:rPr>
                <w:sz w:val="17"/>
                <w:szCs w:val="17"/>
              </w:rPr>
              <w:t xml:space="preserve">Lim W.S. et al., Defining community acquired pneumonia severity on presentation to hospital: an international derivation and validation study, Thorax 2003;58:377–382 (score européen accepté en Suisse)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L6-L26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D6.8 › point 8</w:t>
            </w:r>
          </w:p>
        </w:tc>
        <w:tc>
          <w:tcPr>
            <w:tcW w:w="2600" w:type="dxa"/>
            <w:vAlign w:val="top"/>
          </w:tcPr>
          <w:p>
            <w:pPr>
              <w:spacing w:after="0"/>
            </w:pPr>
            <w:r>
              <w:rPr>
                <w:i/>
                <w:sz w:val="17"/>
                <w:szCs w:val="17"/>
              </w:rPr>
              <w:t xml:space="preserve">« Le diagnostic repose sur un tableau clinique et des examens ciblés propres à chaque maladie. Un autoanticorps »</w:t>
            </w:r>
          </w:p>
        </w:tc>
        <w:tc>
          <w:tcPr>
            <w:tcW w:w="3000" w:type="dxa"/>
            <w:vAlign w:val="top"/>
          </w:tcPr>
          <w:p>
            <w:pPr>
              <w:spacing w:after="40"/>
            </w:pPr>
            <w:r>
              <w:rPr>
                <w:sz w:val="17"/>
                <w:szCs w:val="17"/>
              </w:rPr>
              <w:t xml:space="preserve">Le titre annonce l'artérite de Horton, la polyarthrite rhumatoïde, le lupus et la maladie de Still, mais le texte ne donne aucun critère formel (EULAR/ACR) ni aucun seuil pour ces maladies.</w:t>
            </w:r>
          </w:p>
          <w:p>
            <w:pPr>
              <w:spacing w:after="0"/>
            </w:pPr>
            <w:r>
              <w:rPr>
                <w:b/>
                <w:color w:val="145A32"/>
                <w:sz w:val="17"/>
                <w:szCs w:val="17"/>
              </w:rPr>
              <w:t xml:space="preserve">→ Présenter pour chaque maladie annoncée ses critères de classification EULAR/ACR avec l'année, dans un tableau sourcé.</w:t>
            </w:r>
          </w:p>
        </w:tc>
        <w:tc>
          <w:tcPr>
            <w:tcW w:w="1800" w:type="dxa"/>
            <w:vAlign w:val="top"/>
          </w:tcPr>
          <w:p>
            <w:pPr>
              <w:spacing w:after="0"/>
            </w:pPr>
            <w:r>
              <w:rPr>
                <w:sz w:val="17"/>
                <w:szCs w:val="17"/>
              </w:rPr>
              <w:t xml:space="preserve">PROMPT_V6.md (prompt de base du projet), § 5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L6-L27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D6.5 › point 9 › fenêtre « 2e intention »</w:t>
            </w:r>
          </w:p>
        </w:tc>
        <w:tc>
          <w:tcPr>
            <w:tcW w:w="2600" w:type="dxa"/>
            <w:vAlign w:val="top"/>
          </w:tcPr>
          <w:p>
            <w:pPr>
              <w:spacing w:after="0"/>
            </w:pPr>
            <w:r>
              <w:rPr>
                <w:i/>
                <w:sz w:val="17"/>
                <w:szCs w:val="17"/>
              </w:rPr>
              <w:t xml:space="preserve">« Une imagerie avant ponction se réserve aux indications cliniques appropriées. »</w:t>
            </w:r>
          </w:p>
        </w:tc>
        <w:tc>
          <w:tcPr>
            <w:tcW w:w="3000" w:type="dxa"/>
            <w:vAlign w:val="top"/>
          </w:tcPr>
          <w:p>
            <w:pPr>
              <w:spacing w:after="40"/>
            </w:pPr>
            <w:r>
              <w:rPr>
                <w:sz w:val="17"/>
                <w:szCs w:val="17"/>
              </w:rPr>
              <w:t xml:space="preserve">La phrase ne dit pas quelles indications imposent une imagerie avant la ponction lombaire ; c'est pourtant un point de sécurité classique de l'examen.</w:t>
            </w:r>
          </w:p>
          <w:p>
            <w:pPr>
              <w:spacing w:after="0"/>
            </w:pPr>
            <w:r>
              <w:rPr>
                <w:b/>
                <w:color w:val="145A32"/>
                <w:sz w:val="17"/>
                <w:szCs w:val="17"/>
              </w:rPr>
              <w:t xml:space="preserve">→ Lister les indications d'imagerie cérébrale avant ponction (déficit neurologique focal, crise d'épilepsie récente, Glasgow &lt; 10, immunodépression sévère) d'après la directive ESCMID, avec la source [Sn].</w:t>
            </w:r>
          </w:p>
        </w:tc>
        <w:tc>
          <w:tcPr>
            <w:tcW w:w="1800" w:type="dxa"/>
            <w:vAlign w:val="top"/>
          </w:tcPr>
          <w:p>
            <w:pPr>
              <w:spacing w:after="0"/>
            </w:pPr>
            <w:r>
              <w:rPr>
                <w:sz w:val="17"/>
                <w:szCs w:val="17"/>
              </w:rPr>
              <w:t xml:space="preserve">ESCMID guideline: diagnosis and treatment of acute bacterial meningitis — van de Beek D. et al., Clin Microbiol Infect 2016;22 Suppl 3:S37–S62 (lu via résumé secondaire, à confirmer sur le texte primaire) ; essai européen de Gans J., van de Beek D., N Engl J Med 2002;347:1549–56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L6-L40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LOT_6_Appel_A_V5_Ultra_Pedagogique_Plan_et_Liste__export_GoogleDoc.html</w:t>
            </w:r>
          </w:p>
        </w:tc>
        <w:tc>
          <w:tcPr>
            <w:tcW w:w="2350" w:type="dxa"/>
            <w:vAlign w:val="top"/>
          </w:tcPr>
          <w:p>
            <w:pPr>
              <w:spacing w:after="0"/>
            </w:pPr>
            <w:r>
              <w:rPr>
                <w:sz w:val="17"/>
                <w:szCs w:val="17"/>
              </w:rPr>
              <w:t xml:space="preserve">Appel A V5 › Bloc 1 › point 3 Physiopathologie (et fenêtre 3.1)</w:t>
            </w:r>
          </w:p>
        </w:tc>
        <w:tc>
          <w:tcPr>
            <w:tcW w:w="2600" w:type="dxa"/>
            <w:vAlign w:val="top"/>
          </w:tcPr>
          <w:p>
            <w:pPr>
              <w:spacing w:after="0"/>
            </w:pPr>
            <w:r>
              <w:rPr>
                <w:i/>
                <w:sz w:val="17"/>
                <w:szCs w:val="17"/>
              </w:rPr>
              <w:t xml:space="preserve">« 4) La se lie aux récepteurs EP3 des neurones de l'aire préoptique »</w:t>
            </w:r>
          </w:p>
        </w:tc>
        <w:tc>
          <w:tcPr>
            <w:tcW w:w="3000" w:type="dxa"/>
            <w:vAlign w:val="top"/>
          </w:tcPr>
          <w:p>
            <w:pPr>
              <w:spacing w:after="40"/>
            </w:pPr>
            <w:r>
              <w:rPr>
                <w:sz w:val="17"/>
                <w:szCs w:val="17"/>
              </w:rPr>
              <w:t xml:space="preserve">La conversion en Google Doc a supprimé des formules (PGE2, VO2, SpO2, PAS, FR) et laissé des résidus LaTeX ($38{,}0\ ^\circ\text{C}$) et Markdown (**…**) ; plusieurs phrases deviennent incompréhensibles.</w:t>
            </w:r>
          </w:p>
          <w:p>
            <w:pPr>
              <w:spacing w:after="0"/>
            </w:pPr>
            <w:r>
              <w:rPr>
                <w:b/>
                <w:color w:val="145A32"/>
                <w:sz w:val="17"/>
                <w:szCs w:val="17"/>
              </w:rPr>
              <w:t xml:space="preserve">→ Régénérer le fichier en HTML natif avec les indices en &lt;sub&gt; (PGE&lt;sub&gt;2&lt;/sub&gt;, SpO&lt;sub&gt;2&lt;/sub&gt;) et des valeurs écrites en clair (38,0 °C).</w:t>
            </w:r>
          </w:p>
        </w:tc>
        <w:tc>
          <w:tcPr>
            <w:tcW w:w="1800" w:type="dxa"/>
            <w:vAlign w:val="top"/>
          </w:tcPr>
          <w:p>
            <w:pPr>
              <w:spacing w:after="0"/>
            </w:pPr>
            <w:r>
              <w:rPr>
                <w:sz w:val="17"/>
                <w:szCs w:val="17"/>
              </w:rPr>
              <w:t xml:space="preserve">PROMPT_V6.md (prompt de base du projet), § 0 et § 6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L6-L41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LOT_6_Appel_B_V5_Ultra_Pedagogique_Partie_3_DX.5_a_DX.7__export_GoogleDoc.html</w:t>
            </w:r>
          </w:p>
        </w:tc>
        <w:tc>
          <w:tcPr>
            <w:tcW w:w="2350" w:type="dxa"/>
            <w:vAlign w:val="top"/>
          </w:tcPr>
          <w:p>
            <w:pPr>
              <w:spacing w:after="0"/>
            </w:pPr>
            <w:r>
              <w:rPr>
                <w:sz w:val="17"/>
                <w:szCs w:val="17"/>
              </w:rPr>
              <w:t xml:space="preserve">Appel B V5 Partie 3 › D6.5 › point 11.B › 2. Antibiothérapie probabiliste</w:t>
            </w:r>
          </w:p>
        </w:tc>
        <w:tc>
          <w:tcPr>
            <w:tcW w:w="2600" w:type="dxa"/>
            <w:vAlign w:val="top"/>
          </w:tcPr>
          <w:p>
            <w:pPr>
              <w:spacing w:after="0"/>
            </w:pPr>
            <w:r>
              <w:rPr>
                <w:i/>
                <w:sz w:val="17"/>
                <w:szCs w:val="17"/>
              </w:rPr>
              <w:t xml:space="preserve">« Ceftriaxone (2 g IV 2x/jour) + Vancomycine (IV) »</w:t>
            </w:r>
          </w:p>
        </w:tc>
        <w:tc>
          <w:tcPr>
            <w:tcW w:w="3000" w:type="dxa"/>
            <w:vAlign w:val="top"/>
          </w:tcPr>
          <w:p>
            <w:pPr>
              <w:spacing w:after="40"/>
            </w:pPr>
            <w:r>
              <w:rPr>
                <w:sz w:val="17"/>
                <w:szCs w:val="17"/>
              </w:rPr>
              <w:t xml:space="preserve">La vancomycine est donnée sans dose et sans indication ; la directive européenne la réserve aux régions ou aux patients exposés à des pneumocoques de sensibilité réduite à la ceftriaxone.</w:t>
            </w:r>
          </w:p>
          <w:p>
            <w:pPr>
              <w:spacing w:after="0"/>
            </w:pPr>
            <w:r>
              <w:rPr>
                <w:b/>
                <w:color w:val="145A32"/>
                <w:sz w:val="17"/>
                <w:szCs w:val="17"/>
              </w:rPr>
              <w:t xml:space="preserve">→ Ceftriaxone 2 g IV toutes les 12 h ; ajouter vancomycine (dose selon AIPS et taux résiduels) seulement en cas de risque de pneumocoque à sensibilité réduite ; ajouter amoxicilline si &gt; 50 ans ou immunodépression.</w:t>
            </w:r>
          </w:p>
        </w:tc>
        <w:tc>
          <w:tcPr>
            <w:tcW w:w="1800" w:type="dxa"/>
            <w:vAlign w:val="top"/>
          </w:tcPr>
          <w:p>
            <w:pPr>
              <w:spacing w:after="0"/>
            </w:pPr>
            <w:r>
              <w:rPr>
                <w:sz w:val="17"/>
                <w:szCs w:val="17"/>
              </w:rPr>
              <w:t xml:space="preserve">ESCMID guideline: diagnosis and treatment of acute bacterial meningitis — van de Beek D. et al., Clin Microbiol Infect 2016;22 Suppl 3:S37–S62 (lu via résumé secondaire, à confirmer sur le texte primaire) ; essai européen de Gans J., van de Beek D., N Engl J Med 2002;347:1549–56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L6-M12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D6.5 › point 9 › fenêtre « Consulter la hiérarchie des examens » › 2e intention</w:t>
            </w:r>
          </w:p>
        </w:tc>
        <w:tc>
          <w:tcPr>
            <w:tcW w:w="2600" w:type="dxa"/>
            <w:vAlign w:val="top"/>
          </w:tcPr>
          <w:p>
            <w:pPr>
              <w:spacing w:after="0"/>
            </w:pPr>
            <w:r>
              <w:rPr>
                <w:i/>
                <w:sz w:val="17"/>
                <w:szCs w:val="17"/>
              </w:rPr>
              <w:t xml:space="preserve">« Une imagerie avant ponction se réserve aux indications cliniques appropriées. »</w:t>
            </w:r>
          </w:p>
        </w:tc>
        <w:tc>
          <w:tcPr>
            <w:tcW w:w="3000" w:type="dxa"/>
            <w:vAlign w:val="top"/>
          </w:tcPr>
          <w:p>
            <w:pPr>
              <w:spacing w:after="40"/>
            </w:pPr>
            <w:r>
              <w:rPr>
                <w:sz w:val="17"/>
                <w:szCs w:val="17"/>
              </w:rPr>
              <w:t xml:space="preserve">La phrase ne précise pas les indications du scanner avant la ponction lombaire, si bien que le lecteur ne peut appliquer ni le piège du point 14 ni la décision de sécurité.</w:t>
            </w:r>
          </w:p>
          <w:p>
            <w:pPr>
              <w:spacing w:after="0"/>
            </w:pPr>
            <w:r>
              <w:rPr>
                <w:b/>
                <w:color w:val="145A32"/>
                <w:sz w:val="17"/>
                <w:szCs w:val="17"/>
              </w:rPr>
              <w:t xml:space="preserve">→ Écrire : « Le médecin demande une TDM cérébrale avant la ponction lombaire en cas de trouble sévère de la conscience, de déficit neurologique focal nouveau ou de crise épileptique récente ; il débute alors antibiotiques et dexaméthasone après les hémocultures, sans attendre l'imagerie. »</w:t>
            </w:r>
          </w:p>
        </w:tc>
        <w:tc>
          <w:tcPr>
            <w:tcW w:w="1800" w:type="dxa"/>
            <w:vAlign w:val="top"/>
          </w:tcPr>
          <w:p>
            <w:pPr>
              <w:spacing w:after="0"/>
            </w:pPr>
            <w:r>
              <w:rPr>
                <w:sz w:val="17"/>
                <w:szCs w:val="17"/>
              </w:rPr>
              <w:t xml:space="preserve">Klein M et al. German guidelines on community-acquired acute bacterial meningitis in adults. Neurol Res Pract 2023;5:44.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L6-M14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D6.1 › point 14 « Pièges »</w:t>
            </w:r>
          </w:p>
        </w:tc>
        <w:tc>
          <w:tcPr>
            <w:tcW w:w="2600" w:type="dxa"/>
            <w:vAlign w:val="top"/>
          </w:tcPr>
          <w:p>
            <w:pPr>
              <w:spacing w:after="0"/>
            </w:pPr>
            <w:r>
              <w:rPr>
                <w:i/>
                <w:sz w:val="17"/>
                <w:szCs w:val="17"/>
              </w:rPr>
              <w:t xml:space="preserve">« Le score CURB-65 aide à apprécier la gravité mais ne remplace pas l'évaluation clinique. »</w:t>
            </w:r>
          </w:p>
        </w:tc>
        <w:tc>
          <w:tcPr>
            <w:tcW w:w="3000" w:type="dxa"/>
            <w:vAlign w:val="top"/>
          </w:tcPr>
          <w:p>
            <w:pPr>
              <w:spacing w:after="40"/>
            </w:pPr>
            <w:r>
              <w:rPr>
                <w:sz w:val="17"/>
                <w:szCs w:val="17"/>
              </w:rPr>
              <w:t xml:space="preserve">Le score est cité sans ses cinq items, sans seuils et sans conséquence décisionnelle, ce qui viole la règle 13 sur les scores.</w:t>
            </w:r>
          </w:p>
          <w:p>
            <w:pPr>
              <w:spacing w:after="0"/>
            </w:pPr>
            <w:r>
              <w:rPr>
                <w:b/>
                <w:color w:val="145A32"/>
                <w:sz w:val="17"/>
                <w:szCs w:val="17"/>
              </w:rPr>
              <w:t xml:space="preserve">→ Ajouter une fenêtre bio-mathématique CURB-65 : confusion ; urée &gt; 7 mmol/L ; fréquence respiratoire ≥ 30/min ; PAS &lt; 90 ou PAD ≤ 60 mmHg ; âge ≥ 65 ans ; groupes 0–1 (mortalité ≈ 1,5 %), 2 (≈ 9,2 %), 3–5 (≈ 22 %) avec la conduite correspondante.</w:t>
            </w:r>
          </w:p>
        </w:tc>
        <w:tc>
          <w:tcPr>
            <w:tcW w:w="1800" w:type="dxa"/>
            <w:vAlign w:val="top"/>
          </w:tcPr>
          <w:p>
            <w:pPr>
              <w:spacing w:after="0"/>
            </w:pPr>
            <w:r>
              <w:rPr>
                <w:sz w:val="17"/>
                <w:szCs w:val="17"/>
              </w:rPr>
              <w:t xml:space="preserve">Lim WS et al. Thorax 2003;58:377-382.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L6-M18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SSP G6 › point 8 « Critères »</w:t>
            </w:r>
          </w:p>
        </w:tc>
        <w:tc>
          <w:tcPr>
            <w:tcW w:w="2600" w:type="dxa"/>
            <w:vAlign w:val="top"/>
          </w:tcPr>
          <w:p>
            <w:pPr>
              <w:spacing w:after="0"/>
            </w:pPr>
            <w:r>
              <w:rPr>
                <w:i/>
                <w:sz w:val="17"/>
                <w:szCs w:val="17"/>
              </w:rPr>
              <w:t xml:space="preserve">« Elle se distingue de l'hyperthermie liée à une accumulation non régulée de chaleur. »</w:t>
            </w:r>
          </w:p>
        </w:tc>
        <w:tc>
          <w:tcPr>
            <w:tcW w:w="3000" w:type="dxa"/>
            <w:vAlign w:val="top"/>
          </w:tcPr>
          <w:p>
            <w:pPr>
              <w:spacing w:after="40"/>
            </w:pPr>
            <w:r>
              <w:rPr>
                <w:sz w:val="17"/>
                <w:szCs w:val="17"/>
              </w:rPr>
              <w:t xml:space="preserve">Le point 8 ne donne ni les seuils selon le site de mesure, ni la définition chiffrée de la fièvre d'origine inconnue, ni celle du sepsis, qui sont les critères décisionnels du SSP.</w:t>
            </w:r>
          </w:p>
          <w:p>
            <w:pPr>
              <w:spacing w:after="0"/>
            </w:pPr>
            <w:r>
              <w:rPr>
                <w:b/>
                <w:color w:val="145A32"/>
                <w:sz w:val="17"/>
                <w:szCs w:val="17"/>
              </w:rPr>
              <w:t xml:space="preserve">→ Ajouter : la définition de la fièvre d'origine inconnue (température &gt; 38,3 °C à plusieurs reprises, durée &gt; 3 semaines, absence de diagnostic après un bilan initial standardisé) et celle du sepsis (dysfonction d'organe avec hausse du SOFA ≥ 2 points ; qSOFA ≥ 2 comme alerte au lit du malade), chacune avec sa source.</w:t>
            </w:r>
          </w:p>
        </w:tc>
        <w:tc>
          <w:tcPr>
            <w:tcW w:w="1800" w:type="dxa"/>
            <w:vAlign w:val="top"/>
          </w:tcPr>
          <w:p>
            <w:pPr>
              <w:spacing w:after="0"/>
            </w:pPr>
            <w:r>
              <w:rPr>
                <w:sz w:val="17"/>
                <w:szCs w:val="17"/>
              </w:rPr>
              <w:t xml:space="preserve">Bleeker-Rovers CP et al. Medicine (Baltimore) 2007;86:26-38 ; Singer M et al. The Third International Consensus Definitions for Sepsis and Septic Shock (Sepsis-3). JAMA 2016;315:801-810 (consensus international ESICM/SCCM).</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L6-M19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SSP G6 › point 3 « Physiopathologie » (même défaut dans les 11 points 3)</w:t>
            </w:r>
          </w:p>
        </w:tc>
        <w:tc>
          <w:tcPr>
            <w:tcW w:w="2600" w:type="dxa"/>
            <w:vAlign w:val="top"/>
          </w:tcPr>
          <w:p>
            <w:pPr>
              <w:spacing w:after="0"/>
            </w:pPr>
            <w:r>
              <w:rPr>
                <w:i/>
                <w:sz w:val="17"/>
                <w:szCs w:val="17"/>
              </w:rPr>
              <w:t xml:space="preserve">« Les médiateurs inflammatoires agissent sur les voies de régulation hypothalamiques. »</w:t>
            </w:r>
          </w:p>
        </w:tc>
        <w:tc>
          <w:tcPr>
            <w:tcW w:w="3000" w:type="dxa"/>
            <w:vAlign w:val="top"/>
          </w:tcPr>
          <w:p>
            <w:pPr>
              <w:spacing w:after="40"/>
            </w:pPr>
            <w:r>
              <w:rPr>
                <w:sz w:val="17"/>
                <w:szCs w:val="17"/>
              </w:rPr>
              <w:t xml:space="preserve">La physiopathologie reste générique et ne décrit pas la cascade de la cause au signe exigée par la règle 5 point 3.</w:t>
            </w:r>
          </w:p>
          <w:p>
            <w:pPr>
              <w:spacing w:after="0"/>
            </w:pPr>
            <w:r>
              <w:rPr>
                <w:b/>
                <w:color w:val="145A32"/>
                <w:sz w:val="17"/>
                <w:szCs w:val="17"/>
              </w:rPr>
              <w:t xml:space="preserve">→ Écrire : « Les PAMP et les DAMP activent les monocytes, qui libèrent l'IL-1β, l'IL-6 et le TNF-α. Ces cytokines induisent la COX-2 au niveau de l'organe vasculaire de la lame terminale, qui produit la prostaglandine E2. Celle-ci active les récepteurs EP3 de l'aire préoptique et élève le point de consigne ; vasoconstriction cutanée et frissons font alors monter la température. »</w:t>
            </w:r>
          </w:p>
        </w:tc>
        <w:tc>
          <w:tcPr>
            <w:tcW w:w="1800" w:type="dxa"/>
            <w:vAlign w:val="top"/>
          </w:tcPr>
          <w:p>
            <w:pPr>
              <w:spacing w:after="0"/>
            </w:pPr>
            <w:r>
              <w:rPr>
                <w:sz w:val="17"/>
                <w:szCs w:val="17"/>
              </w:rPr>
              <w:t xml:space="preserve">Walter EJ et al. The pathophysiological basis and consequences of fever. Crit Care 2016;20:200.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L6-M21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SSP G6 › point 2 « Épidémiologie » (11 occurrences de « donnée non trouvée », HELP Q23 à Q43)</w:t>
            </w:r>
          </w:p>
        </w:tc>
        <w:tc>
          <w:tcPr>
            <w:tcW w:w="2600" w:type="dxa"/>
            <w:vAlign w:val="top"/>
          </w:tcPr>
          <w:p>
            <w:pPr>
              <w:spacing w:after="0"/>
            </w:pPr>
            <w:r>
              <w:rPr>
                <w:i/>
                <w:sz w:val="17"/>
                <w:szCs w:val="17"/>
              </w:rPr>
              <w:t xml:space="preserve">« Les infections expliquent une grande partie des fièvres aiguës. »</w:t>
            </w:r>
          </w:p>
        </w:tc>
        <w:tc>
          <w:tcPr>
            <w:tcW w:w="3000" w:type="dxa"/>
            <w:vAlign w:val="top"/>
          </w:tcPr>
          <w:p>
            <w:pPr>
              <w:spacing w:after="40"/>
            </w:pPr>
            <w:r>
              <w:rPr>
                <w:sz w:val="17"/>
                <w:szCs w:val="17"/>
              </w:rPr>
              <w:t xml:space="preserve">L'épidémiologie est vide dans les 11 monographies alors que des données suisses officielles existent pour plusieurs DX (paludisme importé, méningococcies invasives, pneumococcies invasives, salmonelloses, campylobactérioses, grippe Sentinella).</w:t>
            </w:r>
          </w:p>
          <w:p>
            <w:pPr>
              <w:spacing w:after="0"/>
            </w:pPr>
            <w:r>
              <w:rPr>
                <w:b/>
                <w:color w:val="145A32"/>
                <w:sz w:val="17"/>
                <w:szCs w:val="17"/>
              </w:rPr>
              <w:t xml:space="preserve">→ Extraire les nombres de cas annuels des maladies à déclaration obligatoire et de Sentinella sur le site de l'OFSP, les dater et les citer en [Sn] dans chaque point 2 concerné ; garder « donnée non trouvée » seulement pour les DX sans registre.</w:t>
            </w:r>
          </w:p>
        </w:tc>
        <w:tc>
          <w:tcPr>
            <w:tcW w:w="1800" w:type="dxa"/>
            <w:vAlign w:val="top"/>
          </w:tcPr>
          <w:p>
            <w:pPr>
              <w:spacing w:after="0"/>
            </w:pPr>
            <w:r>
              <w:rPr>
                <w:sz w:val="17"/>
                <w:szCs w:val="17"/>
              </w:rPr>
              <w:t xml:space="preserve">OFSP — Chiffres sur les maladies infectieuses — https://www.bag.admin.ch/bag/fr/home/zahlen-und-statistiken/zahlen-zu-infektionskrankheiten.html — consulté le 22.10.2026 (valeurs à extraire ; non recopiées ici).</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L6-M23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D6.7 › point 14 « Pièges »</w:t>
            </w:r>
          </w:p>
        </w:tc>
        <w:tc>
          <w:tcPr>
            <w:tcW w:w="2600" w:type="dxa"/>
            <w:vAlign w:val="top"/>
          </w:tcPr>
          <w:p>
            <w:pPr>
              <w:spacing w:after="0"/>
            </w:pPr>
            <w:r>
              <w:rPr>
                <w:i/>
                <w:sz w:val="17"/>
                <w:szCs w:val="17"/>
              </w:rPr>
              <w:t xml:space="preserve">« Un nombre de leucocytes synoviaux inférieur à un seuil usuel n'exclut pas l'infection. »</w:t>
            </w:r>
          </w:p>
        </w:tc>
        <w:tc>
          <w:tcPr>
            <w:tcW w:w="3000" w:type="dxa"/>
            <w:vAlign w:val="top"/>
          </w:tcPr>
          <w:p>
            <w:pPr>
              <w:spacing w:after="40"/>
            </w:pPr>
            <w:r>
              <w:rPr>
                <w:sz w:val="17"/>
                <w:szCs w:val="17"/>
              </w:rPr>
              <w:t xml:space="preserve">La phrase emploie un terme vague (« seuil usuel ») au lieu d'un seuil chiffré, et D6.7 ne contient aucun tableau du liquide synovial.</w:t>
            </w:r>
          </w:p>
          <w:p>
            <w:pPr>
              <w:spacing w:after="0"/>
            </w:pPr>
            <w:r>
              <w:rPr>
                <w:b/>
                <w:color w:val="145A32"/>
                <w:sz w:val="17"/>
                <w:szCs w:val="17"/>
              </w:rPr>
              <w:t xml:space="preserve">→ Écrire : « Un liquide synovial à moins de 50 000 leucocytes/µL n'exclut pas une arthrite septique ; la culture et l'examen direct restent indispensables. » Ajouter un tableau normal (&lt; 200/µL) | mécanique (&lt; 2 000/µL) | inflammatoire | septique (souvent &gt; 50 000/µL, polynucléaires &gt; 90 %).</w:t>
            </w:r>
          </w:p>
        </w:tc>
        <w:tc>
          <w:tcPr>
            <w:tcW w:w="1800" w:type="dxa"/>
            <w:vAlign w:val="top"/>
          </w:tcPr>
          <w:p>
            <w:pPr>
              <w:spacing w:after="0"/>
            </w:pPr>
            <w:r>
              <w:rPr>
                <w:sz w:val="17"/>
                <w:szCs w:val="17"/>
              </w:rPr>
              <w:t xml:space="preserve">Margaretten ME et al. Does this adult patient have septic arthritis? JAMA 2007;297:1478-1488 (méta-analyse de précision diagnostique, non une recommandation).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L6-M24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D6.6 › point 12 « Prévention »</w:t>
            </w:r>
          </w:p>
        </w:tc>
        <w:tc>
          <w:tcPr>
            <w:tcW w:w="2600" w:type="dxa"/>
            <w:vAlign w:val="top"/>
          </w:tcPr>
          <w:p>
            <w:pPr>
              <w:spacing w:after="0"/>
            </w:pPr>
            <w:r>
              <w:rPr>
                <w:i/>
                <w:sz w:val="17"/>
                <w:szCs w:val="17"/>
              </w:rPr>
              <w:t xml:space="preserve">« L'antibioprophylaxie répond à des indications ciblées selon le risque et le geste. »</w:t>
            </w:r>
          </w:p>
        </w:tc>
        <w:tc>
          <w:tcPr>
            <w:tcW w:w="3000" w:type="dxa"/>
            <w:vAlign w:val="top"/>
          </w:tcPr>
          <w:p>
            <w:pPr>
              <w:spacing w:after="40"/>
            </w:pPr>
            <w:r>
              <w:rPr>
                <w:sz w:val="17"/>
                <w:szCs w:val="17"/>
              </w:rPr>
              <w:t xml:space="preserve">La prévention de l'endocardite ne nomme ni les patients à haut risque, ni les gestes concernés, ni le schéma suisse, alors qu'il s'agit d'une question classique d'examen.</w:t>
            </w:r>
          </w:p>
          <w:p>
            <w:pPr>
              <w:spacing w:after="0"/>
            </w:pPr>
            <w:r>
              <w:rPr>
                <w:b/>
                <w:color w:val="145A32"/>
                <w:sz w:val="17"/>
                <w:szCs w:val="17"/>
              </w:rPr>
              <w:t xml:space="preserve">→ Écrire les indications suisses : patients à haut risque (prothèse valvulaire ou matériel de réparation, antécédent d'endocardite, certaines cardiopathies congénitales) et gestes dentaires avec manipulation gingivale ; schéma amoxicilline 2 g per os 30 à 60 minutes avant le geste, alternative en cas d'allergie selon la recommandation suisse.</w:t>
            </w:r>
          </w:p>
        </w:tc>
        <w:tc>
          <w:tcPr>
            <w:tcW w:w="1800" w:type="dxa"/>
            <w:vAlign w:val="top"/>
          </w:tcPr>
          <w:p>
            <w:pPr>
              <w:spacing w:after="0"/>
            </w:pPr>
            <w:r>
              <w:rPr>
                <w:sz w:val="17"/>
                <w:szCs w:val="17"/>
              </w:rPr>
              <w:t xml:space="preserve">Sendi P et al. Infective endocarditis: prevention and antibiotic prophylaxis (recommandation de la SSI, de la SSC et de la Société suisse de cardiologie pédiatrique). Swiss Med Wkly 2021;151:w20473 ; ESC 2023 Guidelines for the management of endocarditis. Eur Heart J 2023;44:3948-4042.</w:t>
            </w:r>
          </w:p>
        </w:tc>
      </w:tr>
    </w:tbl>
    <w:p>
      <w:pPr>
        <w:spacing w:after="120"/>
      </w:pPr>
    </w:p>
    <w:p>
      <w:pPr>
        <w:pStyle w:val="Titre1"/>
        <w:keepNext/>
      </w:pPr>
      <w:r>
        <w:rPr>
          <w:b/>
          <w:color w:val="1F618D"/>
          <w:sz w:val="26"/>
          <w:szCs w:val="26"/>
        </w:rPr>
        <w:t xml:space="preserve">Léger — 16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1F618D"/>
            <w:vAlign w:val="top"/>
          </w:tcPr>
          <w:p>
            <w:pPr>
              <w:spacing w:after="0"/>
            </w:pPr>
            <w:r>
              <w:rPr>
                <w:b/>
                <w:color w:val="FFFFFF"/>
                <w:sz w:val="17"/>
                <w:szCs w:val="17"/>
              </w:rPr>
              <w:t xml:space="preserve">Fait</w:t>
            </w:r>
          </w:p>
        </w:tc>
        <w:tc>
          <w:tcPr>
            <w:tcW w:w="900" w:type="dxa"/>
            <w:shd w:val="clear" w:color="auto" w:fill="1F618D"/>
            <w:vAlign w:val="top"/>
          </w:tcPr>
          <w:p>
            <w:pPr>
              <w:spacing w:after="0"/>
            </w:pPr>
            <w:r>
              <w:rPr>
                <w:b/>
                <w:color w:val="FFFFFF"/>
                <w:sz w:val="17"/>
                <w:szCs w:val="17"/>
              </w:rPr>
              <w:t xml:space="preserve">N°</w:t>
            </w:r>
          </w:p>
        </w:tc>
        <w:tc>
          <w:tcPr>
            <w:tcW w:w="1250" w:type="dxa"/>
            <w:shd w:val="clear" w:color="auto" w:fill="1F618D"/>
            <w:vAlign w:val="top"/>
          </w:tcPr>
          <w:p>
            <w:pPr>
              <w:spacing w:after="0"/>
            </w:pPr>
            <w:r>
              <w:rPr>
                <w:b/>
                <w:color w:val="FFFFFF"/>
                <w:sz w:val="17"/>
                <w:szCs w:val="17"/>
              </w:rPr>
              <w:t xml:space="preserve">Domaine</w:t>
            </w:r>
          </w:p>
        </w:tc>
        <w:tc>
          <w:tcPr>
            <w:tcW w:w="1900" w:type="dxa"/>
            <w:shd w:val="clear" w:color="auto" w:fill="1F618D"/>
            <w:vAlign w:val="top"/>
          </w:tcPr>
          <w:p>
            <w:pPr>
              <w:spacing w:after="0"/>
            </w:pPr>
            <w:r>
              <w:rPr>
                <w:b/>
                <w:color w:val="FFFFFF"/>
                <w:sz w:val="17"/>
                <w:szCs w:val="17"/>
              </w:rPr>
              <w:t xml:space="preserve">Fichier</w:t>
            </w:r>
          </w:p>
        </w:tc>
        <w:tc>
          <w:tcPr>
            <w:tcW w:w="2350" w:type="dxa"/>
            <w:shd w:val="clear" w:color="auto" w:fill="1F618D"/>
            <w:vAlign w:val="top"/>
          </w:tcPr>
          <w:p>
            <w:pPr>
              <w:spacing w:after="0"/>
            </w:pPr>
            <w:r>
              <w:rPr>
                <w:b/>
                <w:color w:val="FFFFFF"/>
                <w:sz w:val="17"/>
                <w:szCs w:val="17"/>
              </w:rPr>
              <w:t xml:space="preserve">Emplacement</w:t>
            </w:r>
          </w:p>
        </w:tc>
        <w:tc>
          <w:tcPr>
            <w:tcW w:w="2600" w:type="dxa"/>
            <w:shd w:val="clear" w:color="auto" w:fill="1F618D"/>
            <w:vAlign w:val="top"/>
          </w:tcPr>
          <w:p>
            <w:pPr>
              <w:spacing w:after="0"/>
            </w:pPr>
            <w:r>
              <w:rPr>
                <w:b/>
                <w:color w:val="FFFFFF"/>
                <w:sz w:val="17"/>
                <w:szCs w:val="17"/>
              </w:rPr>
              <w:t xml:space="preserve">Extrait exact</w:t>
            </w:r>
          </w:p>
        </w:tc>
        <w:tc>
          <w:tcPr>
            <w:tcW w:w="3000" w:type="dxa"/>
            <w:shd w:val="clear" w:color="auto" w:fill="1F618D"/>
            <w:vAlign w:val="top"/>
          </w:tcPr>
          <w:p>
            <w:pPr>
              <w:spacing w:after="0"/>
            </w:pPr>
            <w:r>
              <w:rPr>
                <w:b/>
                <w:color w:val="FFFFFF"/>
                <w:sz w:val="17"/>
                <w:szCs w:val="17"/>
              </w:rPr>
              <w:t xml:space="preserve">Problème → correction</w:t>
            </w:r>
          </w:p>
        </w:tc>
        <w:tc>
          <w:tcPr>
            <w:tcW w:w="1800" w:type="dxa"/>
            <w:shd w:val="clear" w:color="auto" w:fill="1F618D"/>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L6-L21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D6.3 › point 9 › fenêtre « Gold standard / référence » (même doublon dans les 11 monographies)</w:t>
            </w:r>
          </w:p>
        </w:tc>
        <w:tc>
          <w:tcPr>
            <w:tcW w:w="2600" w:type="dxa"/>
            <w:vAlign w:val="top"/>
          </w:tcPr>
          <w:p>
            <w:pPr>
              <w:spacing w:after="0"/>
            </w:pPr>
            <w:r>
              <w:rPr>
                <w:i/>
                <w:sz w:val="17"/>
                <w:szCs w:val="17"/>
              </w:rPr>
              <w:t xml:space="preserve">« Gold standard / référence : le test confirme une question précise Aucun test n'est nécessaire dans toute diarrhée simple. »</w:t>
            </w:r>
          </w:p>
        </w:tc>
        <w:tc>
          <w:tcPr>
            <w:tcW w:w="3000" w:type="dxa"/>
            <w:vAlign w:val="top"/>
          </w:tcPr>
          <w:p>
            <w:pPr>
              <w:spacing w:after="40"/>
            </w:pPr>
            <w:r>
              <w:rPr>
                <w:sz w:val="17"/>
                <w:szCs w:val="17"/>
              </w:rPr>
              <w:t xml:space="preserve">Le paragraphe « Gold standard » recopie mot pour mot le paragraphe d'ouverture du point 9 ; il ne nomme pas l'examen de référence avec sa sensibilité, sa spécificité et son seuil.</w:t>
            </w:r>
          </w:p>
          <w:p>
            <w:pPr>
              <w:spacing w:after="0"/>
            </w:pPr>
            <w:r>
              <w:rPr>
                <w:b/>
                <w:color w:val="145A32"/>
                <w:sz w:val="17"/>
                <w:szCs w:val="17"/>
              </w:rPr>
              <w:t xml:space="preserve">→ Remplacer le doublon par le gold standard nommé, avec sensibilité, spécificité et seuil de positivité sourcés, ou écrire qu'il est clinique.</w:t>
            </w:r>
          </w:p>
        </w:tc>
        <w:tc>
          <w:tcPr>
            <w:tcW w:w="1800" w:type="dxa"/>
            <w:vAlign w:val="top"/>
          </w:tcPr>
          <w:p>
            <w:pPr>
              <w:spacing w:after="0"/>
            </w:pPr>
            <w:r>
              <w:rPr>
                <w:sz w:val="17"/>
                <w:szCs w:val="17"/>
              </w:rPr>
              <w:t xml:space="preserve">PROMPT_V6.md (prompt de base du projet), § 5 point 9.a</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L6-L22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D6.3 › point 9 › phrase d'ouverture</w:t>
            </w:r>
          </w:p>
        </w:tc>
        <w:tc>
          <w:tcPr>
            <w:tcW w:w="2600" w:type="dxa"/>
            <w:vAlign w:val="top"/>
          </w:tcPr>
          <w:p>
            <w:pPr>
              <w:spacing w:after="0"/>
            </w:pPr>
            <w:r>
              <w:rPr>
                <w:i/>
                <w:sz w:val="17"/>
                <w:szCs w:val="17"/>
              </w:rPr>
              <w:t xml:space="preserve">« 9. Examens Aucun test n'est nécessaire dans toute diarrhée simple. »</w:t>
            </w:r>
          </w:p>
        </w:tc>
        <w:tc>
          <w:tcPr>
            <w:tcW w:w="3000" w:type="dxa"/>
            <w:vAlign w:val="top"/>
          </w:tcPr>
          <w:p>
            <w:pPr>
              <w:spacing w:after="40"/>
            </w:pPr>
            <w:r>
              <w:rPr>
                <w:sz w:val="17"/>
                <w:szCs w:val="17"/>
              </w:rPr>
              <w:t xml:space="preserve">La tournure « Aucun test n'est nécessaire dans toute diarrhée simple » est ambiguë et maladroite en français.</w:t>
            </w:r>
          </w:p>
          <w:p>
            <w:pPr>
              <w:spacing w:after="0"/>
            </w:pPr>
            <w:r>
              <w:rPr>
                <w:b/>
                <w:color w:val="145A32"/>
                <w:sz w:val="17"/>
                <w:szCs w:val="17"/>
              </w:rPr>
              <w:t xml:space="preserve">→ Une diarrhée aiguë simple ne nécessite habituellement aucun examen complémentaire.</w:t>
            </w:r>
          </w:p>
        </w:tc>
        <w:tc>
          <w:tcPr>
            <w:tcW w:w="1800" w:type="dxa"/>
            <w:vAlign w:val="top"/>
          </w:tcPr>
          <w:p>
            <w:pPr>
              <w:spacing w:after="0"/>
            </w:pPr>
            <w:r>
              <w:rPr>
                <w:sz w:val="17"/>
                <w:szCs w:val="17"/>
              </w:rPr>
              <w:t xml:space="preserve">PROMPT_V6.md (prompt de base du projet), § 6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L6-L28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G6 › point 11.A (même construction dans les 11 monographies)</w:t>
            </w:r>
          </w:p>
        </w:tc>
        <w:tc>
          <w:tcPr>
            <w:tcW w:w="2600" w:type="dxa"/>
            <w:vAlign w:val="top"/>
          </w:tcPr>
          <w:p>
            <w:pPr>
              <w:spacing w:after="0"/>
            </w:pPr>
            <w:r>
              <w:rPr>
                <w:i/>
                <w:sz w:val="17"/>
                <w:szCs w:val="17"/>
              </w:rPr>
              <w:t xml:space="preserve">« Le traitement vise à identifier la cause et prévenir les défaillances. »</w:t>
            </w:r>
          </w:p>
        </w:tc>
        <w:tc>
          <w:tcPr>
            <w:tcW w:w="3000" w:type="dxa"/>
            <w:vAlign w:val="top"/>
          </w:tcPr>
          <w:p>
            <w:pPr>
              <w:spacing w:after="40"/>
            </w:pPr>
            <w:r>
              <w:rPr>
                <w:sz w:val="17"/>
                <w:szCs w:val="17"/>
              </w:rPr>
              <w:t xml:space="preserve">La coordination omet la préposition « à » devant le second infinitif, ce qui alourdit la phrase.</w:t>
            </w:r>
          </w:p>
          <w:p>
            <w:pPr>
              <w:spacing w:after="0"/>
            </w:pPr>
            <w:r>
              <w:rPr>
                <w:b/>
                <w:color w:val="145A32"/>
                <w:sz w:val="17"/>
                <w:szCs w:val="17"/>
              </w:rPr>
              <w:t xml:space="preserve">→ Le traitement vise à identifier la cause et à prévenir les défaillances.</w:t>
            </w:r>
          </w:p>
        </w:tc>
        <w:tc>
          <w:tcPr>
            <w:tcW w:w="1800" w:type="dxa"/>
            <w:vAlign w:val="top"/>
          </w:tcPr>
          <w:p>
            <w:pPr>
              <w:spacing w:after="0"/>
            </w:pPr>
            <w:r>
              <w:rPr>
                <w:sz w:val="17"/>
                <w:szCs w:val="17"/>
              </w:rPr>
              <w:t xml:space="preserve">PROMPT_V6.md (prompt de base du projet), § 6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L6-L29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D6.8 › point 11.A</w:t>
            </w:r>
          </w:p>
        </w:tc>
        <w:tc>
          <w:tcPr>
            <w:tcW w:w="2600" w:type="dxa"/>
            <w:vAlign w:val="top"/>
          </w:tcPr>
          <w:p>
            <w:pPr>
              <w:spacing w:after="0"/>
            </w:pPr>
            <w:r>
              <w:rPr>
                <w:i/>
                <w:sz w:val="17"/>
                <w:szCs w:val="17"/>
              </w:rPr>
              <w:t xml:space="preserve">« Le traitement vise à contrôler l’inflammation et protéger les organes. »</w:t>
            </w:r>
          </w:p>
        </w:tc>
        <w:tc>
          <w:tcPr>
            <w:tcW w:w="3000" w:type="dxa"/>
            <w:vAlign w:val="top"/>
          </w:tcPr>
          <w:p>
            <w:pPr>
              <w:spacing w:after="40"/>
            </w:pPr>
            <w:r>
              <w:rPr>
                <w:sz w:val="17"/>
                <w:szCs w:val="17"/>
              </w:rPr>
              <w:t xml:space="preserve">Le fichier mélange l'apostrophe typographique (’) et l'apostrophe droite ('), et la phrase omet aussi « à » devant le second infinitif.</w:t>
            </w:r>
          </w:p>
          <w:p>
            <w:pPr>
              <w:spacing w:after="0"/>
            </w:pPr>
            <w:r>
              <w:rPr>
                <w:b/>
                <w:color w:val="145A32"/>
                <w:sz w:val="17"/>
                <w:szCs w:val="17"/>
              </w:rPr>
              <w:t xml:space="preserve">→ Uniformiser l'apostrophe typographique ’ dans tout le fichier ; écrire « Le traitement vise à contrôler l’inflammation et à protéger les organes. »</w:t>
            </w:r>
          </w:p>
        </w:tc>
        <w:tc>
          <w:tcPr>
            <w:tcW w:w="1800" w:type="dxa"/>
            <w:vAlign w:val="top"/>
          </w:tcPr>
          <w:p>
            <w:pPr>
              <w:spacing w:after="0"/>
            </w:pPr>
            <w:r>
              <w:rPr>
                <w:sz w:val="17"/>
                <w:szCs w:val="17"/>
              </w:rPr>
              <w:t xml:space="preserve">PROMPT_V6.md (prompt de base du projet), § 6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L6-L30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D6.2 › point 14</w:t>
            </w:r>
          </w:p>
        </w:tc>
        <w:tc>
          <w:tcPr>
            <w:tcW w:w="2600" w:type="dxa"/>
            <w:vAlign w:val="top"/>
          </w:tcPr>
          <w:p>
            <w:pPr>
              <w:spacing w:after="0"/>
            </w:pPr>
            <w:r>
              <w:rPr>
                <w:i/>
                <w:sz w:val="17"/>
                <w:szCs w:val="17"/>
              </w:rPr>
              <w:t xml:space="preserve">« Une bactériurie ne doit pas expliquer automatiquement un delirium ou une fièvre. »</w:t>
            </w:r>
          </w:p>
        </w:tc>
        <w:tc>
          <w:tcPr>
            <w:tcW w:w="3000" w:type="dxa"/>
            <w:vAlign w:val="top"/>
          </w:tcPr>
          <w:p>
            <w:pPr>
              <w:spacing w:after="40"/>
            </w:pPr>
            <w:r>
              <w:rPr>
                <w:sz w:val="17"/>
                <w:szCs w:val="17"/>
              </w:rPr>
              <w:t xml:space="preserve">Le terme « delirium » est un anglicisme ; le français médical emploie « état confusionnel aigu ».</w:t>
            </w:r>
          </w:p>
          <w:p>
            <w:pPr>
              <w:spacing w:after="0"/>
            </w:pPr>
            <w:r>
              <w:rPr>
                <w:b/>
                <w:color w:val="145A32"/>
                <w:sz w:val="17"/>
                <w:szCs w:val="17"/>
              </w:rPr>
              <w:t xml:space="preserve">→ Une bactériurie n'explique pas automatiquement un état confusionnel aigu ou une fièvre.</w:t>
            </w:r>
          </w:p>
        </w:tc>
        <w:tc>
          <w:tcPr>
            <w:tcW w:w="1800" w:type="dxa"/>
            <w:vAlign w:val="top"/>
          </w:tcPr>
          <w:p>
            <w:pPr>
              <w:spacing w:after="0"/>
            </w:pPr>
            <w:r>
              <w:rPr>
                <w:sz w:val="17"/>
                <w:szCs w:val="17"/>
              </w:rPr>
              <w:t xml:space="preserve">PROMPT_V6.md (prompt de base du projet), § 6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L6-L31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D6.3 › point 14 (et sigles CRP, TEP-TDM, TDM, PCR, AINS ailleurs)</w:t>
            </w:r>
          </w:p>
        </w:tc>
        <w:tc>
          <w:tcPr>
            <w:tcW w:w="2600" w:type="dxa"/>
            <w:vAlign w:val="top"/>
          </w:tcPr>
          <w:p>
            <w:pPr>
              <w:spacing w:after="0"/>
            </w:pPr>
            <w:r>
              <w:rPr>
                <w:i/>
                <w:sz w:val="17"/>
                <w:szCs w:val="17"/>
              </w:rPr>
              <w:t xml:space="preserve">« notamment une suspicion de STEC »</w:t>
            </w:r>
          </w:p>
        </w:tc>
        <w:tc>
          <w:tcPr>
            <w:tcW w:w="3000" w:type="dxa"/>
            <w:vAlign w:val="top"/>
          </w:tcPr>
          <w:p>
            <w:pPr>
              <w:spacing w:after="40"/>
            </w:pPr>
            <w:r>
              <w:rPr>
                <w:sz w:val="17"/>
                <w:szCs w:val="17"/>
              </w:rPr>
              <w:t xml:space="preserve">Les sigles STEC, CRP, TEP-TDM, TDM, PCR et AINS ne sont pas développés à leur première apparition.</w:t>
            </w:r>
          </w:p>
          <w:p>
            <w:pPr>
              <w:spacing w:after="0"/>
            </w:pPr>
            <w:r>
              <w:rPr>
                <w:b/>
                <w:color w:val="145A32"/>
                <w:sz w:val="17"/>
                <w:szCs w:val="17"/>
              </w:rPr>
              <w:t xml:space="preserve">→ Développer chaque sigle à sa première apparition, par exemple « Escherichia coli producteur de shigatoxines (STEC) », « protéine C réactive (CRP) ».</w:t>
            </w:r>
          </w:p>
        </w:tc>
        <w:tc>
          <w:tcPr>
            <w:tcW w:w="1800" w:type="dxa"/>
            <w:vAlign w:val="top"/>
          </w:tcPr>
          <w:p>
            <w:pPr>
              <w:spacing w:after="0"/>
            </w:pPr>
            <w:r>
              <w:rPr>
                <w:sz w:val="17"/>
                <w:szCs w:val="17"/>
              </w:rPr>
              <w:t xml:space="preserve">PROMPT_V6.md (prompt de base du projet), § 6 point 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L6-L32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bandeau d'en-tête</w:t>
            </w:r>
          </w:p>
        </w:tc>
        <w:tc>
          <w:tcPr>
            <w:tcW w:w="2600" w:type="dxa"/>
            <w:vAlign w:val="top"/>
          </w:tcPr>
          <w:p>
            <w:pPr>
              <w:spacing w:after="0"/>
            </w:pPr>
            <w:r>
              <w:rPr>
                <w:i/>
                <w:sz w:val="17"/>
                <w:szCs w:val="17"/>
              </w:rPr>
              <w:t xml:space="preserve">« LOT 6 · V6 · ENRICHI ++++++++ »</w:t>
            </w:r>
          </w:p>
        </w:tc>
        <w:tc>
          <w:tcPr>
            <w:tcW w:w="3000" w:type="dxa"/>
            <w:vAlign w:val="top"/>
          </w:tcPr>
          <w:p>
            <w:pPr>
              <w:spacing w:after="40"/>
            </w:pPr>
            <w:r>
              <w:rPr>
                <w:sz w:val="17"/>
                <w:szCs w:val="17"/>
              </w:rPr>
              <w:t xml:space="preserve">Le bandeau « ENRICHI ++++++++ » n'est pas professionnel et ne correspond pas au titre canonique imposé.</w:t>
            </w:r>
          </w:p>
          <w:p>
            <w:pPr>
              <w:spacing w:after="0"/>
            </w:pPr>
            <w:r>
              <w:rPr>
                <w:b/>
                <w:color w:val="145A32"/>
                <w:sz w:val="17"/>
                <w:szCs w:val="17"/>
              </w:rPr>
              <w:t xml:space="preserve">→ Remplacer par le titre du gabarit : « LOT 6 : Fièvre (SSP G6) » suivi de la mention de l'Appel et de la Partie.</w:t>
            </w:r>
          </w:p>
        </w:tc>
        <w:tc>
          <w:tcPr>
            <w:tcW w:w="1800" w:type="dxa"/>
            <w:vAlign w:val="top"/>
          </w:tcPr>
          <w:p>
            <w:pPr>
              <w:spacing w:after="0"/>
            </w:pPr>
            <w:r>
              <w:rPr>
                <w:sz w:val="17"/>
                <w:szCs w:val="17"/>
              </w:rPr>
              <w:t xml:space="preserve">PROMPT_V6.md (prompt de base du projet), § 2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L6-L33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LOT_6_V6_Enrichi_8plus_Partie_1_Integral.html</w:t>
            </w:r>
          </w:p>
        </w:tc>
        <w:tc>
          <w:tcPr>
            <w:tcW w:w="2350" w:type="dxa"/>
            <w:vAlign w:val="top"/>
          </w:tcPr>
          <w:p>
            <w:pPr>
              <w:spacing w:after="0"/>
            </w:pPr>
            <w:r>
              <w:rPr>
                <w:sz w:val="17"/>
                <w:szCs w:val="17"/>
              </w:rPr>
              <w:t xml:space="preserve">V6 › encadré d'introduction › lien HELP</w:t>
            </w:r>
          </w:p>
        </w:tc>
        <w:tc>
          <w:tcPr>
            <w:tcW w:w="2600" w:type="dxa"/>
            <w:vAlign w:val="top"/>
          </w:tcPr>
          <w:p>
            <w:pPr>
              <w:spacing w:after="0"/>
            </w:pPr>
            <w:r>
              <w:rPr>
                <w:i/>
                <w:sz w:val="17"/>
                <w:szCs w:val="17"/>
              </w:rPr>
              <w:t xml:space="preserve">« Ouvrir le HELP »</w:t>
            </w:r>
          </w:p>
        </w:tc>
        <w:tc>
          <w:tcPr>
            <w:tcW w:w="3000" w:type="dxa"/>
            <w:vAlign w:val="top"/>
          </w:tcPr>
          <w:p>
            <w:pPr>
              <w:spacing w:after="40"/>
            </w:pPr>
            <w:r>
              <w:rPr>
                <w:sz w:val="17"/>
                <w:szCs w:val="17"/>
              </w:rPr>
              <w:t xml:space="preserve">Le code HTML tient en 5 lignes, dont une de plus de 82 000 caractères, alors que le prompt limite chaque ligne à 3 000 caractères.</w:t>
            </w:r>
          </w:p>
          <w:p>
            <w:pPr>
              <w:spacing w:after="0"/>
            </w:pPr>
            <w:r>
              <w:rPr>
                <w:b/>
                <w:color w:val="145A32"/>
                <w:sz w:val="17"/>
                <w:szCs w:val="17"/>
              </w:rPr>
              <w:t xml:space="preserve">→ Reformater le fichier avec un retour à la ligne après chaque bloc (&lt;p&gt;, &lt;details&gt;, &lt;h3&gt;, &lt;li&gt;).</w:t>
            </w:r>
          </w:p>
        </w:tc>
        <w:tc>
          <w:tcPr>
            <w:tcW w:w="1800" w:type="dxa"/>
            <w:vAlign w:val="top"/>
          </w:tcPr>
          <w:p>
            <w:pPr>
              <w:spacing w:after="0"/>
            </w:pPr>
            <w:r>
              <w:rPr>
                <w:sz w:val="17"/>
                <w:szCs w:val="17"/>
              </w:rPr>
              <w:t xml:space="preserve">PROMPT_V6.md (prompt de base du projet), § 9 (règles techniques)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L6-L42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LOT_6_Appel_A_V5_Ultra_Pedagogique_Plan_et_Liste__export_GoogleDoc.html</w:t>
            </w:r>
          </w:p>
        </w:tc>
        <w:tc>
          <w:tcPr>
            <w:tcW w:w="2350" w:type="dxa"/>
            <w:vAlign w:val="top"/>
          </w:tcPr>
          <w:p>
            <w:pPr>
              <w:spacing w:after="0"/>
            </w:pPr>
            <w:r>
              <w:rPr>
                <w:sz w:val="17"/>
                <w:szCs w:val="17"/>
              </w:rPr>
              <w:t xml:space="preserve">Appel A V5 › Bloc 1 › point 7 › 7.2 Syndrome méningé</w:t>
            </w:r>
          </w:p>
        </w:tc>
        <w:tc>
          <w:tcPr>
            <w:tcW w:w="2600" w:type="dxa"/>
            <w:vAlign w:val="top"/>
          </w:tcPr>
          <w:p>
            <w:pPr>
              <w:spacing w:after="0"/>
            </w:pPr>
            <w:r>
              <w:rPr>
                <w:i/>
                <w:sz w:val="17"/>
                <w:szCs w:val="17"/>
              </w:rPr>
              <w:t xml:space="preserve">« céphalées holocrâniennes intenses rebonds aux antalgiques »</w:t>
            </w:r>
          </w:p>
        </w:tc>
        <w:tc>
          <w:tcPr>
            <w:tcW w:w="3000" w:type="dxa"/>
            <w:vAlign w:val="top"/>
          </w:tcPr>
          <w:p>
            <w:pPr>
              <w:spacing w:after="40"/>
            </w:pPr>
            <w:r>
              <w:rPr>
                <w:sz w:val="17"/>
                <w:szCs w:val="17"/>
              </w:rPr>
              <w:t xml:space="preserve">Le mot « rebonds » est une erreur de transcription : le sens attendu est « rebelles ».</w:t>
            </w:r>
          </w:p>
          <w:p>
            <w:pPr>
              <w:spacing w:after="0"/>
            </w:pPr>
            <w:r>
              <w:rPr>
                <w:b/>
                <w:color w:val="145A32"/>
                <w:sz w:val="17"/>
                <w:szCs w:val="17"/>
              </w:rPr>
              <w:t xml:space="preserve">→ céphalées holocrâniennes intenses, rebelles aux antalgiques</w:t>
            </w:r>
          </w:p>
        </w:tc>
        <w:tc>
          <w:tcPr>
            <w:tcW w:w="1800" w:type="dxa"/>
            <w:vAlign w:val="top"/>
          </w:tcPr>
          <w:p>
            <w:pPr>
              <w:spacing w:after="0"/>
            </w:pPr>
            <w:r>
              <w:rPr>
                <w:sz w:val="17"/>
                <w:szCs w:val="17"/>
              </w:rPr>
              <w:t xml:space="preserve">PROMPT_V6.md (prompt de base du projet), § 6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L6-L43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LOT_6_Appel_A_V5_Ultra_Pedagogique_Plan_et_Liste__export_GoogleDoc.html</w:t>
            </w:r>
          </w:p>
        </w:tc>
        <w:tc>
          <w:tcPr>
            <w:tcW w:w="2350" w:type="dxa"/>
            <w:vAlign w:val="top"/>
          </w:tcPr>
          <w:p>
            <w:pPr>
              <w:spacing w:after="0"/>
            </w:pPr>
            <w:r>
              <w:rPr>
                <w:sz w:val="17"/>
                <w:szCs w:val="17"/>
              </w:rPr>
              <w:t xml:space="preserve">Appel A V5 › Bloc 1 › point 10 Arbre décisionnel</w:t>
            </w:r>
          </w:p>
        </w:tc>
        <w:tc>
          <w:tcPr>
            <w:tcW w:w="2600" w:type="dxa"/>
            <w:vAlign w:val="top"/>
          </w:tcPr>
          <w:p>
            <w:pPr>
              <w:spacing w:after="0"/>
            </w:pPr>
            <w:r>
              <w:rPr>
                <w:i/>
                <w:sz w:val="17"/>
                <w:szCs w:val="17"/>
              </w:rPr>
              <w:t xml:space="preserve">« hospitalisation immédiate en réassurance/urgences »</w:t>
            </w:r>
          </w:p>
        </w:tc>
        <w:tc>
          <w:tcPr>
            <w:tcW w:w="3000" w:type="dxa"/>
            <w:vAlign w:val="top"/>
          </w:tcPr>
          <w:p>
            <w:pPr>
              <w:spacing w:after="40"/>
            </w:pPr>
            <w:r>
              <w:rPr>
                <w:sz w:val="17"/>
                <w:szCs w:val="17"/>
              </w:rPr>
              <w:t xml:space="preserve">Le mot « réassurance » est un contresens : il s'agit de la réanimation (soins intensifs).</w:t>
            </w:r>
          </w:p>
          <w:p>
            <w:pPr>
              <w:spacing w:after="0"/>
            </w:pPr>
            <w:r>
              <w:rPr>
                <w:b/>
                <w:color w:val="145A32"/>
                <w:sz w:val="17"/>
                <w:szCs w:val="17"/>
              </w:rPr>
              <w:t xml:space="preserve">→ hospitalisation immédiate aux urgences ou aux soins intensifs</w:t>
            </w:r>
          </w:p>
        </w:tc>
        <w:tc>
          <w:tcPr>
            <w:tcW w:w="1800" w:type="dxa"/>
            <w:vAlign w:val="top"/>
          </w:tcPr>
          <w:p>
            <w:pPr>
              <w:spacing w:after="0"/>
            </w:pPr>
            <w:r>
              <w:rPr>
                <w:sz w:val="17"/>
                <w:szCs w:val="17"/>
              </w:rPr>
              <w:t xml:space="preserve">PROMPT_V6.md (prompt de base du projet), § 6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L6-L44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LOT_6_Appel_A_V5_Ultra_Pedagogique_Plan_et_Liste__export_GoogleDoc.html</w:t>
            </w:r>
          </w:p>
        </w:tc>
        <w:tc>
          <w:tcPr>
            <w:tcW w:w="2350" w:type="dxa"/>
            <w:vAlign w:val="top"/>
          </w:tcPr>
          <w:p>
            <w:pPr>
              <w:spacing w:after="0"/>
            </w:pPr>
            <w:r>
              <w:rPr>
                <w:sz w:val="17"/>
                <w:szCs w:val="17"/>
              </w:rPr>
              <w:t xml:space="preserve">Appel A V5 › Bloc 1 › point 13 Points clés</w:t>
            </w:r>
          </w:p>
        </w:tc>
        <w:tc>
          <w:tcPr>
            <w:tcW w:w="2600" w:type="dxa"/>
            <w:vAlign w:val="top"/>
          </w:tcPr>
          <w:p>
            <w:pPr>
              <w:spacing w:after="0"/>
            </w:pPr>
            <w:r>
              <w:rPr>
                <w:i/>
                <w:sz w:val="17"/>
                <w:szCs w:val="17"/>
              </w:rPr>
              <w:t xml:space="preserve">« peut se présenter chez le sujet âgé ou immunodéprimé avec une simple subfébrile ou même une hypothermie »</w:t>
            </w:r>
          </w:p>
        </w:tc>
        <w:tc>
          <w:tcPr>
            <w:tcW w:w="3000" w:type="dxa"/>
            <w:vAlign w:val="top"/>
          </w:tcPr>
          <w:p>
            <w:pPr>
              <w:spacing w:after="40"/>
            </w:pPr>
            <w:r>
              <w:rPr>
                <w:sz w:val="17"/>
                <w:szCs w:val="17"/>
              </w:rPr>
              <w:t xml:space="preserve">« Une simple subfébrile » est grammaticalement incorrect (adjectif employé comme nom) ; le même point écrit aussi « ne corréle » au lieu de « ne corrèle ».</w:t>
            </w:r>
          </w:p>
          <w:p>
            <w:pPr>
              <w:spacing w:after="0"/>
            </w:pPr>
            <w:r>
              <w:rPr>
                <w:b/>
                <w:color w:val="145A32"/>
                <w:sz w:val="17"/>
                <w:szCs w:val="17"/>
              </w:rPr>
              <w:t xml:space="preserve">→ peut se présenter chez le sujet âgé ou immunodéprimé par un simple état subfébrile, voire une hypothermie ; corriger « corréle » en « corrèle ».</w:t>
            </w:r>
          </w:p>
        </w:tc>
        <w:tc>
          <w:tcPr>
            <w:tcW w:w="1800" w:type="dxa"/>
            <w:vAlign w:val="top"/>
          </w:tcPr>
          <w:p>
            <w:pPr>
              <w:spacing w:after="0"/>
            </w:pPr>
            <w:r>
              <w:rPr>
                <w:sz w:val="17"/>
                <w:szCs w:val="17"/>
              </w:rPr>
              <w:t xml:space="preserve">PROMPT_V6.md (prompt de base du projet), § 6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L6-L45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LOT_6_Appel_B_V5_Ultra_Pedagogique_Partie_1_DX.1_a_DX.2__export_GoogleDoc.html</w:t>
            </w:r>
          </w:p>
        </w:tc>
        <w:tc>
          <w:tcPr>
            <w:tcW w:w="2350" w:type="dxa"/>
            <w:vAlign w:val="top"/>
          </w:tcPr>
          <w:p>
            <w:pPr>
              <w:spacing w:after="0"/>
            </w:pPr>
            <w:r>
              <w:rPr>
                <w:sz w:val="17"/>
                <w:szCs w:val="17"/>
              </w:rPr>
              <w:t xml:space="preserve">Appel B V5 Partie 1 › D6.2 › fenêtre 6.2 Bandelette urinaire</w:t>
            </w:r>
          </w:p>
        </w:tc>
        <w:tc>
          <w:tcPr>
            <w:tcW w:w="2600" w:type="dxa"/>
            <w:vAlign w:val="top"/>
          </w:tcPr>
          <w:p>
            <w:pPr>
              <w:spacing w:after="0"/>
            </w:pPr>
            <w:r>
              <w:rPr>
                <w:i/>
                <w:sz w:val="17"/>
                <w:szCs w:val="17"/>
              </w:rPr>
              <w:t xml:space="preserve">« Le seuil de significativité d'une bacteriurie asymétrique ou symptomatique »</w:t>
            </w:r>
          </w:p>
        </w:tc>
        <w:tc>
          <w:tcPr>
            <w:tcW w:w="3000" w:type="dxa"/>
            <w:vAlign w:val="top"/>
          </w:tcPr>
          <w:p>
            <w:pPr>
              <w:spacing w:after="40"/>
            </w:pPr>
            <w:r>
              <w:rPr>
                <w:sz w:val="17"/>
                <w:szCs w:val="17"/>
              </w:rPr>
              <w:t xml:space="preserve">« Bacteriurie asymétrique » est une erreur : le terme correct est « bactériurie asymptomatique » ; la ligne suivante affiche aussi une entité cassée « 10&amp;;3 ».</w:t>
            </w:r>
          </w:p>
          <w:p>
            <w:pPr>
              <w:spacing w:after="0"/>
            </w:pPr>
            <w:r>
              <w:rPr>
                <w:b/>
                <w:color w:val="145A32"/>
                <w:sz w:val="17"/>
                <w:szCs w:val="17"/>
              </w:rPr>
              <w:t xml:space="preserve">→ Le seuil de significativité d'une bactériurie asymptomatique ou symptomatique ; écrire « ≥ 10³ UFC/mL ».</w:t>
            </w:r>
          </w:p>
        </w:tc>
        <w:tc>
          <w:tcPr>
            <w:tcW w:w="1800" w:type="dxa"/>
            <w:vAlign w:val="top"/>
          </w:tcPr>
          <w:p>
            <w:pPr>
              <w:spacing w:after="0"/>
            </w:pPr>
            <w:r>
              <w:rPr>
                <w:sz w:val="17"/>
                <w:szCs w:val="17"/>
              </w:rPr>
              <w:t xml:space="preserve">PROMPT_V6.md (prompt de base du projet), § 6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L6-L46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LOT_6_Appel_B_V5_Ultra_Pedagogique_Partie_2_DX.3_a_DX.4__export_GoogleDoc.html</w:t>
            </w:r>
          </w:p>
        </w:tc>
        <w:tc>
          <w:tcPr>
            <w:tcW w:w="2350" w:type="dxa"/>
            <w:vAlign w:val="top"/>
          </w:tcPr>
          <w:p>
            <w:pPr>
              <w:spacing w:after="0"/>
            </w:pPr>
            <w:r>
              <w:rPr>
                <w:sz w:val="17"/>
                <w:szCs w:val="17"/>
              </w:rPr>
              <w:t xml:space="preserve">Appel B V5 Partie 2 › D6.4 › point 5 Drapeaux rouges</w:t>
            </w:r>
          </w:p>
        </w:tc>
        <w:tc>
          <w:tcPr>
            <w:tcW w:w="2600" w:type="dxa"/>
            <w:vAlign w:val="top"/>
          </w:tcPr>
          <w:p>
            <w:pPr>
              <w:spacing w:after="0"/>
            </w:pPr>
            <w:r>
              <w:rPr>
                <w:i/>
                <w:sz w:val="17"/>
                <w:szCs w:val="17"/>
              </w:rPr>
              <w:t xml:space="preserve">« une douleur atroce non soulignée par les antalgiques »</w:t>
            </w:r>
          </w:p>
        </w:tc>
        <w:tc>
          <w:tcPr>
            <w:tcW w:w="3000" w:type="dxa"/>
            <w:vAlign w:val="top"/>
          </w:tcPr>
          <w:p>
            <w:pPr>
              <w:spacing w:after="40"/>
            </w:pPr>
            <w:r>
              <w:rPr>
                <w:sz w:val="17"/>
                <w:szCs w:val="17"/>
              </w:rPr>
              <w:t xml:space="preserve">« Non soulignée » est un contresens : le sens attendu est « non soulagée ».</w:t>
            </w:r>
          </w:p>
          <w:p>
            <w:pPr>
              <w:spacing w:after="0"/>
            </w:pPr>
            <w:r>
              <w:rPr>
                <w:b/>
                <w:color w:val="145A32"/>
                <w:sz w:val="17"/>
                <w:szCs w:val="17"/>
              </w:rPr>
              <w:t xml:space="preserve">→ une douleur atroce, non soulagée par les antalgiques</w:t>
            </w:r>
          </w:p>
        </w:tc>
        <w:tc>
          <w:tcPr>
            <w:tcW w:w="1800" w:type="dxa"/>
            <w:vAlign w:val="top"/>
          </w:tcPr>
          <w:p>
            <w:pPr>
              <w:spacing w:after="0"/>
            </w:pPr>
            <w:r>
              <w:rPr>
                <w:sz w:val="17"/>
                <w:szCs w:val="17"/>
              </w:rPr>
              <w:t xml:space="preserve">PROMPT_V6.md (prompt de base du projet), § 6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L6-L47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LOT_6_Appel_B_V5_Ultra_Pedagogique_Partie_2_DX.3_a_DX.4__export_GoogleDoc.html</w:t>
            </w:r>
          </w:p>
        </w:tc>
        <w:tc>
          <w:tcPr>
            <w:tcW w:w="2350" w:type="dxa"/>
            <w:vAlign w:val="top"/>
          </w:tcPr>
          <w:p>
            <w:pPr>
              <w:spacing w:after="0"/>
            </w:pPr>
            <w:r>
              <w:rPr>
                <w:sz w:val="17"/>
                <w:szCs w:val="17"/>
              </w:rPr>
              <w:t xml:space="preserve">Appel B V5 Partie 2 › D6.4 › point 13 Points clés</w:t>
            </w:r>
          </w:p>
        </w:tc>
        <w:tc>
          <w:tcPr>
            <w:tcW w:w="2600" w:type="dxa"/>
            <w:vAlign w:val="top"/>
          </w:tcPr>
          <w:p>
            <w:pPr>
              <w:spacing w:after="0"/>
            </w:pPr>
            <w:r>
              <w:rPr>
                <w:i/>
                <w:sz w:val="17"/>
                <w:szCs w:val="17"/>
              </w:rPr>
              <w:t xml:space="preserve">« disproportionnée par rapport à l'érythme »</w:t>
            </w:r>
          </w:p>
        </w:tc>
        <w:tc>
          <w:tcPr>
            <w:tcW w:w="3000" w:type="dxa"/>
            <w:vAlign w:val="top"/>
          </w:tcPr>
          <w:p>
            <w:pPr>
              <w:spacing w:after="40"/>
            </w:pPr>
            <w:r>
              <w:rPr>
                <w:sz w:val="17"/>
                <w:szCs w:val="17"/>
              </w:rPr>
              <w:t xml:space="preserve">« Érythme » est une faute d'orthographe pour « érythème ».</w:t>
            </w:r>
          </w:p>
          <w:p>
            <w:pPr>
              <w:spacing w:after="0"/>
            </w:pPr>
            <w:r>
              <w:rPr>
                <w:b/>
                <w:color w:val="145A32"/>
                <w:sz w:val="17"/>
                <w:szCs w:val="17"/>
              </w:rPr>
              <w:t xml:space="preserve">→ disproportionnée par rapport à l'érythème</w:t>
            </w:r>
          </w:p>
        </w:tc>
        <w:tc>
          <w:tcPr>
            <w:tcW w:w="1800" w:type="dxa"/>
            <w:vAlign w:val="top"/>
          </w:tcPr>
          <w:p>
            <w:pPr>
              <w:spacing w:after="0"/>
            </w:pPr>
            <w:r>
              <w:rPr>
                <w:sz w:val="17"/>
                <w:szCs w:val="17"/>
              </w:rPr>
              <w:t xml:space="preserve">PROMPT_V6.md (prompt de base du projet), § 6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L6-L48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LOT_6_Appel_B_V5_Ultra_Pedagogique_Partie_4_DX.8_a_DX.10__export_GoogleDoc.html</w:t>
            </w:r>
          </w:p>
        </w:tc>
        <w:tc>
          <w:tcPr>
            <w:tcW w:w="2350" w:type="dxa"/>
            <w:vAlign w:val="top"/>
          </w:tcPr>
          <w:p>
            <w:pPr>
              <w:spacing w:after="0"/>
            </w:pPr>
            <w:r>
              <w:rPr>
                <w:sz w:val="17"/>
                <w:szCs w:val="17"/>
              </w:rPr>
              <w:t xml:space="preserve">Appel B V5 Partie 4 › D6.8 › point 11.B</w:t>
            </w:r>
          </w:p>
        </w:tc>
        <w:tc>
          <w:tcPr>
            <w:tcW w:w="2600" w:type="dxa"/>
            <w:vAlign w:val="top"/>
          </w:tcPr>
          <w:p>
            <w:pPr>
              <w:spacing w:after="0"/>
            </w:pPr>
            <w:r>
              <w:rPr>
                <w:i/>
                <w:sz w:val="17"/>
                <w:szCs w:val="17"/>
              </w:rPr>
              <w:t xml:space="preserve">« Myophénolate mofétil »</w:t>
            </w:r>
          </w:p>
        </w:tc>
        <w:tc>
          <w:tcPr>
            <w:tcW w:w="3000" w:type="dxa"/>
            <w:vAlign w:val="top"/>
          </w:tcPr>
          <w:p>
            <w:pPr>
              <w:spacing w:after="40"/>
            </w:pPr>
            <w:r>
              <w:rPr>
                <w:sz w:val="17"/>
                <w:szCs w:val="17"/>
              </w:rPr>
              <w:t xml:space="preserve">« Myophénolate » est une faute d'orthographe de la DCI.</w:t>
            </w:r>
          </w:p>
          <w:p>
            <w:pPr>
              <w:spacing w:after="0"/>
            </w:pPr>
            <w:r>
              <w:rPr>
                <w:b/>
                <w:color w:val="145A32"/>
                <w:sz w:val="17"/>
                <w:szCs w:val="17"/>
              </w:rPr>
              <w:t xml:space="preserve">→ Mycophénolate mofétil</w:t>
            </w:r>
          </w:p>
        </w:tc>
        <w:tc>
          <w:tcPr>
            <w:tcW w:w="1800" w:type="dxa"/>
            <w:vAlign w:val="top"/>
          </w:tcPr>
          <w:p>
            <w:pPr>
              <w:spacing w:after="0"/>
            </w:pPr>
            <w:r>
              <w:rPr>
                <w:sz w:val="17"/>
                <w:szCs w:val="17"/>
              </w:rPr>
              <w:t xml:space="preserve">PROMPT_V6.md (prompt de base du projet), § 3 point 3 et § 6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L6-L49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LOT_6_Appel_B_V5_Ultra_Pedagogique_Partie_4_DX.8_a_DX.10__export_GoogleDoc.html</w:t>
            </w:r>
          </w:p>
        </w:tc>
        <w:tc>
          <w:tcPr>
            <w:tcW w:w="2350" w:type="dxa"/>
            <w:vAlign w:val="top"/>
          </w:tcPr>
          <w:p>
            <w:pPr>
              <w:spacing w:after="0"/>
            </w:pPr>
            <w:r>
              <w:rPr>
                <w:sz w:val="17"/>
                <w:szCs w:val="17"/>
              </w:rPr>
              <w:t xml:space="preserve">Appel B V5 Partie 4 › D6.10 › point 14</w:t>
            </w:r>
          </w:p>
        </w:tc>
        <w:tc>
          <w:tcPr>
            <w:tcW w:w="2600" w:type="dxa"/>
            <w:vAlign w:val="top"/>
          </w:tcPr>
          <w:p>
            <w:pPr>
              <w:spacing w:after="0"/>
            </w:pPr>
            <w:r>
              <w:rPr>
                <w:i/>
                <w:sz w:val="17"/>
                <w:szCs w:val="17"/>
              </w:rPr>
              <w:t xml:space="preserve">« a bien pris sa chimiothérapie prophylactique »</w:t>
            </w:r>
          </w:p>
        </w:tc>
        <w:tc>
          <w:tcPr>
            <w:tcW w:w="3000" w:type="dxa"/>
            <w:vAlign w:val="top"/>
          </w:tcPr>
          <w:p>
            <w:pPr>
              <w:spacing w:after="40"/>
            </w:pPr>
            <w:r>
              <w:rPr>
                <w:sz w:val="17"/>
                <w:szCs w:val="17"/>
              </w:rPr>
              <w:t xml:space="preserve">« Chimiothérapie prophylactique » est impropre ; le terme français consacré est « chimioprophylaxie ».</w:t>
            </w:r>
          </w:p>
          <w:p>
            <w:pPr>
              <w:spacing w:after="0"/>
            </w:pPr>
            <w:r>
              <w:rPr>
                <w:b/>
                <w:color w:val="145A32"/>
                <w:sz w:val="17"/>
                <w:szCs w:val="17"/>
              </w:rPr>
              <w:t xml:space="preserve">→ a bien pris sa chimioprophylaxie antipaludique</w:t>
            </w:r>
          </w:p>
        </w:tc>
        <w:tc>
          <w:tcPr>
            <w:tcW w:w="1800" w:type="dxa"/>
            <w:vAlign w:val="top"/>
          </w:tcPr>
          <w:p>
            <w:pPr>
              <w:spacing w:after="0"/>
            </w:pPr>
            <w:r>
              <w:rPr>
                <w:sz w:val="17"/>
                <w:szCs w:val="17"/>
              </w:rPr>
              <w:t xml:space="preserve">PROMPT_V6.md (prompt de base du projet), § 6 point 8</w:t>
            </w:r>
          </w:p>
        </w:tc>
      </w:tr>
    </w:tbl>
    <w:p>
      <w:pPr>
        <w:spacing w:after="120"/>
      </w:pPr>
    </w:p>
    <w:p>
      <w:pPr>
        <w:pStyle w:val="Titre1"/>
        <w:keepNext/>
      </w:pPr>
      <w:r>
        <w:rPr>
          <w:b/>
          <w:color w:val="1A5276"/>
          <w:sz w:val="26"/>
          <w:szCs w:val="26"/>
        </w:rPr>
        <w:t xml:space="preserve">Rapport d'audit médical</w:t>
      </w:r>
    </w:p>
    <w:p>
      <w:pPr>
        <w:spacing w:after="100"/>
        <w:jc w:val="both"/>
      </w:pPr>
      <w:r>
        <w:rPr>
          <w:sz w:val="19"/>
          <w:szCs w:val="19"/>
        </w:rPr>
        <w:t xml:space="preserve">L'audit porte sur les sept fichiers clonés du LOT_6 (SSP G6, Fièvre) : cinq exports Google Docs de la V5 (Appel A et Parties 1 à 4) et un fichier HTML V6 « Partie_1_Integral » qui réunit le SSP et les dix DX. Le fichier V6, le plus récent et le seul complet pour les onze monographies, a servi de version active et a reçu l'audit de fond. Les cinq exports V5 sont périmés et invalides au regard de la règle 0 ; ils reçoivent chacun un constat de structure, enrichi d'une mise en garde ciblée sur une erreur à ne pas réintroduire.</w:t>
      </w:r>
    </w:p>
    <w:p>
      <w:pPr>
        <w:spacing w:after="100"/>
        <w:jc w:val="both"/>
      </w:pPr>
      <w:r>
        <w:rPr>
          <w:sz w:val="19"/>
          <w:szCs w:val="19"/>
        </w:rPr>
        <w:t xml:space="preserve">La méthode a consisté à extraire le texte visible de chaque fichier, à vérifier la présence des 14 points, des sous-parties 11.A–D, des tableaux, des fenêtres et des sources, puis à confronter les affirmations décisionnelles à des sources européennes lues : recommandation DGN 2023 sur la méningite bactérienne, définitions OMS du paludisme grave, EPAR de l'EMA pour l'artésunate, ESMO 2016 pour la neutropénie fébrile et EULAR 2018 pour l'artérite à cellules géantes. Chaque extrait a été contrôlé par script : il apparaît une seule fois dans le texte visible normalisé.</w:t>
      </w:r>
    </w:p>
    <w:p>
      <w:pPr>
        <w:spacing w:after="100"/>
        <w:jc w:val="both"/>
      </w:pPr>
      <w:r>
        <w:rPr>
          <w:sz w:val="19"/>
          <w:szCs w:val="19"/>
        </w:rPr>
        <w:t xml:space="preserve">La V6 corrige plusieurs excès de la V5. Elle retire les pourcentages non sourcés, signale honnêtement les données introuvables dans le HELP, cite les critères Duke-ISCVID 2023 et l'ESC 2023, et énonce des pièges justes : un LRINEC bas n'exclut pas une fasciite, un premier frottis négatif n'exclut pas le paludisme, les AINS sont à éviter si une dengue est possible, la TDM n'est pas systématique avant la ponction lombaire.</w:t>
      </w:r>
    </w:p>
    <w:p>
      <w:pPr>
        <w:spacing w:after="100"/>
        <w:jc w:val="both"/>
      </w:pPr>
      <w:r>
        <w:rPr>
          <w:sz w:val="19"/>
          <w:szCs w:val="19"/>
        </w:rPr>
        <w:t xml:space="preserve">Ses faiblesses sont majeures. Le fichier ne contient aucun tableau, aucune valeur SI, aucun médicament avec spécialité suisse et posologie, aucune section Sources [Sn] et aucune fenêtre explicative sur les termes. La physiopathologie reste générique, le Bloc 2 de l'Appel A manque, et la monographie D6.1 contient des passages sur la toux et la coqueluche copiés d'un autre SSP. La liste des DX omet les infections intra-abdominales et biliaires, la primo-infection VIH, la tuberculose et la fièvre médicamenteuse.</w:t>
      </w:r>
    </w:p>
    <w:p>
      <w:pPr>
        <w:spacing w:after="100"/>
        <w:jc w:val="both"/>
      </w:pPr>
      <w:r>
        <w:rPr>
          <w:sz w:val="19"/>
          <w:szCs w:val="19"/>
        </w:rPr>
        <w:t xml:space="preserve">Le risque pour le patient vient surtout des urgences sans conduite chiffrée. La méningite bactérienne n'a ni molécules ni doses ni délai d'une heure, la neutropénie fébrile n'est pas définie, l'artérite à cellules géantes ne déclenche pas la corticothérapie immédiate, et le paludisme grave n'a ni critères ni dose d'artésunate. Dans la V5, la dexaméthasone sans rythme (lecture possible de 10 mg par jour) constitue une erreur critique à ne jamais reprendre ; le LRINEC mal additionné et le seuil de parasitémie faussement attribué à l'OMS sont aussi à écarter.</w:t>
      </w:r>
    </w:p>
    <w:p>
      <w:pPr>
        <w:spacing w:after="100"/>
        <w:jc w:val="both"/>
      </w:pPr>
      <w:r>
        <w:rPr>
          <w:sz w:val="19"/>
          <w:szCs w:val="19"/>
        </w:rPr>
        <w:t xml:space="preserve">Les corrections doivent suivre cet ordre : 1) rédiger les conduites d'urgence chiffrées (méningite, neutropénie fébrile, artérite à cellules géantes, paludisme grave, sepsis) ; 2) réviser la liste des 10 DX et produire le Bloc 2 de l'Appel A ; 3) ajouter les tableaux d'interprétation, les schémas pharmacologiques ①–⑥ vérifiés sur l'AIPS et la section Sources ; 4) scinder le fichier en cinq HTML conformes, retirer les attributs title= et archiver les exports Google Docs sous le suffixe _OBSOLETE_.</w:t>
      </w:r>
    </w:p>
    <w:p>
      <w:pPr>
        <w:pStyle w:val="Titre1"/>
        <w:keepNext/>
      </w:pPr>
      <w:r>
        <w:rPr>
          <w:b/>
          <w:color w:val="1A5276"/>
          <w:sz w:val="26"/>
          <w:szCs w:val="26"/>
        </w:rPr>
        <w:t xml:space="preserve">Rapport d'audit linguistique</w:t>
      </w:r>
    </w:p>
    <w:p>
      <w:pPr>
        <w:spacing w:after="100"/>
        <w:jc w:val="both"/>
      </w:pPr>
      <w:r>
        <w:rPr>
          <w:sz w:val="19"/>
          <w:szCs w:val="19"/>
        </w:rPr>
        <w:t xml:space="preserve">Le périmètre audité couvre les sept fichiers du LOT_6 (SSP G6, Fièvre) clonés depuis Drive : cinq Google Docs exportés de la version V5 (Appel A et Parties 1 à 4) et un fichier HTML « LOT_6_V6_Enrichi_8plus_Partie_1_Integral.html », qui réunit les onze monographies, ainsi que le manifeste de clonage. J'ai considéré le fichier V6 comme la version active, car il est le plus récent et le seul au format .html. Les Google Docs V5 sont des versions périmées ; je les ai signalés comme anomalies de structure, et j'en ai relevé en plus les erreurs dangereuses, parce que le V6 les cite comme « document Drive de départ » et qu'ils restent consultables.</w:t>
      </w:r>
    </w:p>
    <w:p>
      <w:pPr>
        <w:spacing w:after="100"/>
        <w:jc w:val="both"/>
      </w:pPr>
      <w:r>
        <w:rPr>
          <w:sz w:val="19"/>
          <w:szCs w:val="19"/>
        </w:rPr>
        <w:t xml:space="preserve">Pour la méthode, j'ai lu le prompt de base V6 en entier, puis j'ai extrait le texte visible de chaque fichier. J'ai compté les balises &lt;details&gt;, &lt;table&gt; et title=, j'ai mesuré la longueur des lignes et j'ai vérifié la balise FIN_FICHIER, la section Sources et la mention de non-validation. Chaque extrait cité a été contrôlé par python3 sur le texte sans balises, aux espaces normalisés, et figure une seule fois dans son fichier. Les affirmations médicales contestées ont été confrontées aux sources européennes et suisses accessibles (ESCMID 2016, Plan de vaccination suisse 2024, Lim et al. 2003, Wong et al. 2004). Quand je n'ai lu qu'un résumé secondaire, la colonne source le précise.</w:t>
      </w:r>
    </w:p>
    <w:p>
      <w:pPr>
        <w:spacing w:after="100"/>
        <w:jc w:val="both"/>
      </w:pPr>
      <w:r>
        <w:rPr>
          <w:sz w:val="19"/>
          <w:szCs w:val="19"/>
        </w:rPr>
        <w:t xml:space="preserve">Le fichier V6 a des forces réelles. Ses phrases sont presque toutes verbales, courtes et correctes, ce qui respecte la règle de style. Il retire les pourcentages inventés, écrit « donnée non trouvée » au lieu d'inventer et renvoie ses lacunes vers le fichier HELP. Il corrige aussi plusieurs pièges dangereux de la V5 : un LRINEC faible n'exclut pas une fasciite, un leucocyte synovial bas n'exclut pas une arthrite septique, et la dengue contre-indique l'aspirine et les AINS.</w:t>
      </w:r>
    </w:p>
    <w:p>
      <w:pPr>
        <w:spacing w:after="100"/>
        <w:jc w:val="both"/>
      </w:pPr>
      <w:r>
        <w:rPr>
          <w:sz w:val="19"/>
          <w:szCs w:val="19"/>
        </w:rPr>
        <w:t xml:space="preserve">En contrepartie, le V6 a perdu presque toute la substance médicale exigée. Il ne contient aucun tableau, aucune fenêtre sémiologique, aucune dose, aucune spécialité suisse et aucun seuil chiffré. Son Bloc 2 manque, et ses sous-titres syndromiques sont des gabarits identiques dans les onze monographies. Les points clés et les paragraphes « Gold standard » recopient des phrases voisines. Il emploie 33 attributs title= interdits et n'a pas de section Sources numérotée ni de mention de non-validation. La monographie D6.1 reprend en outre un texte écrit pour la toux et la coqueluche. Le lot n'existe pas non plus sous la forme de cinq fichiers HTML : le seul fichier HTML porte un nom de Partie 1 alors qu'il contient tout le lot.</w:t>
      </w:r>
    </w:p>
    <w:p>
      <w:pPr>
        <w:spacing w:after="100"/>
        <w:jc w:val="both"/>
      </w:pPr>
      <w:r>
        <w:rPr>
          <w:sz w:val="19"/>
          <w:szCs w:val="19"/>
        </w:rPr>
        <w:t xml:space="preserve">Les Google Docs V5 sont plus riches, mais leur format est invalide et leur contenu comporte des erreurs graves. La dexaméthasone de la méningite est donnée sans le rythme de 6 heures, ce qui conduit à un sous-dosage d'un facteur quatre ; c'est le seul constat critique. Le score LRINEC de l'exemple est mal calculé. L'arbre CURB-65 hospitalise dès un point, et la vaccination antipneumococcique y est présentée comme annuelle. Ces documents contiennent aussi des résidus LaTeX et Markdown, des formules effacées, des pourcentages non sourcés et des fautes de transcription (« rebonds », « réassurance », « non soulignée », « érythme »).</w:t>
      </w:r>
    </w:p>
    <w:p>
      <w:pPr>
        <w:spacing w:after="100"/>
        <w:jc w:val="both"/>
      </w:pPr>
      <w:r>
        <w:rPr>
          <w:sz w:val="19"/>
          <w:szCs w:val="19"/>
        </w:rPr>
        <w:t xml:space="preserve">Le risque pour le patient vient surtout de la V5 encore présente dans Drive : un étudiant qui retiendrait « dexaméthasone 10 mg pendant 4 jours » sous-traiterait une méningite à pneumocoque. Le risque pour l'étudiant vient surtout du V6 : sans seuils, sans doses et sans tableaux d'interprétation, il ne prépare pas aux questions chiffrées de l'examen fédéral.</w:t>
      </w:r>
    </w:p>
    <w:p>
      <w:pPr>
        <w:spacing w:after="100"/>
        <w:jc w:val="both"/>
      </w:pPr>
      <w:r>
        <w:rPr>
          <w:sz w:val="19"/>
          <w:szCs w:val="19"/>
        </w:rPr>
        <w:t xml:space="preserve">Je recommande l'ordre de correction suivant. Il faut d'abord retirer ou corriger la posologie de dexaméthasone et les autres erreurs V5, puis archiver les Google Docs V5 dans CORBEILLE_DOUBLONS_OBSOLETES. Il faut ensuite régénérer le lot en cinq fichiers HTML selon la cadence 2-3-2-3, en gardant le style verbal et la prudence du V6, mais en restaurant les tableaux d'interprétation, les fenêtres sourcées, les schémas thérapeutiques ①–⑥ vérifiés dans l'AIPS, le Bloc 2 complet, la section Sources [Sn] et la mention de non-validation. Les retouches linguistiques légères viennent en dernier.</w:t>
      </w:r>
    </w:p>
    <w:p>
      <w:pPr/>
      <w:r>
        <w:rPr>
          <w:i/>
          <w:color w:val="5D6D7E"/>
          <w:sz w:val="16"/>
          <w:szCs w:val="16"/>
        </w:rPr>
        <w:t xml:space="preserve">Audit produit par IA à partir des sources citées ; il ne remplace pas une validation clinique par un médecin.</w:t>
      </w:r>
    </w:p>
    <w:sectPr>
      <w:pgSz w:w="16838" w:h="11906" w:orient="landscape"/>
      <w:pgMar w:top="850" w:right="850" w:bottom="850" w:left="850" w:header="400" w:footer="400" w:gutter="0"/>
    </w:sectPr>
  </w:body>
</w:document>
</file>

<file path=word/styles.xml><?xml version="1.0" encoding="utf-8"?>
<w:styles xmlns:w="http://schemas.openxmlformats.org/wordprocessingml/2006/main">
  <w:docDefaults>
    <w:rPrDefault>
      <w:rPr>
        <w:rFonts w:ascii="Calibri" w:hAnsi="Calibri" w:eastAsia="Calibri" w:cs="Calibri"/>
        <w:sz w:val="20"/>
        <w:lang w:val="fr-CH"/>
      </w:rPr>
    </w:rPrDefault>
    <w:pPrDefault>
      <w:pPr>
        <w:spacing w:after="80" w:line="264" w:lineRule="auto"/>
      </w:pPr>
    </w:pPrDefault>
  </w:docDefaults>
  <w:style w:type="paragraph" w:default="1" w:styleId="Normal">
    <w:name w:val="Normal"/>
  </w:style>
  <w:style w:type="paragraph" w:styleId="Titre1">
    <w:name w:val="heading 1"/>
    <w:basedOn w:val="Normal"/>
    <w:pPr>
      <w:keepNext/>
      <w:spacing w:before="240" w:after="100"/>
      <w:pBdr>
        <w:bottom w:val="single" w:sz="8" w:space="2" w:color="2980B9"/>
      </w:pBdr>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