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mc="http://schemas.openxmlformats.org/markup-compatibility/2006" mc:Ignorable="w14">
  <w:body>
    <w:p>
      <w:pPr>
        <w:spacing w:after="40"/>
      </w:pPr>
      <w:r>
        <w:rPr>
          <w:b/>
          <w:color w:val="1A5276"/>
          <w:sz w:val="44"/>
          <w:szCs w:val="44"/>
        </w:rPr>
        <w:t xml:space="preserve">HELP_Organi</w:t>
      </w:r>
    </w:p>
    <w:p>
      <w:pPr>
        <w:spacing w:after="40"/>
      </w:pPr>
      <w:r>
        <w:rPr>
          <w:i/>
          <w:color w:val="5D6D7E"/>
          <w:sz w:val="24"/>
          <w:szCs w:val="24"/>
        </w:rPr>
        <w:t xml:space="preserve">Questions de recherche pour Google Gemini — encyclopédie PROFILES 2023 (examen fédéral suisse)</w:t>
      </w:r>
    </w:p>
    <w:p>
      <w:pPr>
        <w:spacing w:after="200"/>
      </w:pPr>
      <w:r>
        <w:rPr>
          <w:color w:val="5D6D7E"/>
          <w:sz w:val="18"/>
          <w:szCs w:val="18"/>
        </w:rPr>
        <w:t xml:space="preserve">Version V1 du 22 octobre 2026 · rédigée par Claude à partir des lacunes de sources de ses lots (217 à 248) et des audits des LOT 1 à 8</w:t>
      </w:r>
    </w:p>
    <w:p>
      <w:pPr>
        <w:pStyle w:val="Titre1"/>
      </w:pPr>
      <w:r>
        <w:rPr>
          <w:b/>
          <w:color w:val="1A5276"/>
          <w:sz w:val="28"/>
          <w:szCs w:val="28"/>
        </w:rPr>
        <w:t xml:space="preserve">1. Consignes pour Gemini</w:t>
      </w:r>
    </w:p>
    <w:p>
      <w:pPr>
        <w:spacing w:after="60"/>
        <w:jc w:val="both"/>
      </w:pPr>
      <w:r>
        <w:rPr>
          <w:sz w:val="19"/>
          <w:szCs w:val="19"/>
        </w:rPr>
        <w:t xml:space="preserve">1. Tu agis comme documentaliste médical suisse. Tu réponds à chaque question de ce document, dans l'ordre, sans en sauter.</w:t>
      </w:r>
    </w:p>
    <w:p>
      <w:pPr>
        <w:spacing w:after="60"/>
        <w:jc w:val="both"/>
      </w:pPr>
      <w:r>
        <w:rPr>
          <w:sz w:val="19"/>
          <w:szCs w:val="19"/>
        </w:rPr>
        <w:t xml:space="preserve">2. Tu cherches d'abord les sources suisses : OFSP, Swissmedic et l'information professionnelle AIPS (swissmedicinfo.ch), Tox Info Suisse, Fedlex, ASSM, FMH, sociétés suisses (SSMIG, SSI, SSED, SSC, SGNOR, SSGO, SSP, SGN…), Obsan et OFS.</w:t>
      </w:r>
    </w:p>
    <w:p>
      <w:pPr>
        <w:spacing w:after="60"/>
        <w:jc w:val="both"/>
      </w:pPr>
      <w:r>
        <w:rPr>
          <w:sz w:val="19"/>
          <w:szCs w:val="19"/>
        </w:rPr>
        <w:t xml:space="preserve">3. Si aucune source suisse n'existe, tu donnes la recommandation européenne la plus récente : ESC, ERS, ERC, EASL, ESCMID, ESE, EULAR, EAACI, KDIGO, EMA. Tu n'utilises jamais une recommandation exclusivement américaine.</w:t>
      </w:r>
    </w:p>
    <w:p>
      <w:pPr>
        <w:spacing w:after="60"/>
        <w:jc w:val="both"/>
      </w:pPr>
      <w:r>
        <w:rPr>
          <w:sz w:val="19"/>
          <w:szCs w:val="19"/>
        </w:rPr>
        <w:t xml:space="preserve">4. Tu compares toujours la version la plus récente avec la version que le cours utilise (indiquée dans « Contexte »). Tu nommes chaque différence de seuil, de dose ou de conduite.</w:t>
      </w:r>
    </w:p>
    <w:p>
      <w:pPr>
        <w:spacing w:after="60"/>
        <w:jc w:val="both"/>
      </w:pPr>
      <w:r>
        <w:rPr>
          <w:sz w:val="19"/>
          <w:szCs w:val="19"/>
        </w:rPr>
        <w:t xml:space="preserve">5. Pour tout médicament, tu donnes la DCI, la spécialité suisse ® réellement autorisée, la dose, la voie, le rythme et les adaptations, d'après l'AIPS. Tu signales un produit non autorisé ou retiré en Suisse.</w:t>
      </w:r>
    </w:p>
    <w:p>
      <w:pPr>
        <w:spacing w:after="60"/>
        <w:jc w:val="both"/>
      </w:pPr>
      <w:r>
        <w:rPr>
          <w:sz w:val="19"/>
          <w:szCs w:val="19"/>
        </w:rPr>
        <w:t xml:space="preserve">6. Tu ne réponds jamais de mémoire. Chaque chiffre porte sa source : titre, organisme, année, URL et date de consultation. Tu cites un extrait mot pour mot.</w:t>
      </w:r>
    </w:p>
    <w:p>
      <w:pPr>
        <w:spacing w:after="60"/>
        <w:jc w:val="both"/>
      </w:pPr>
      <w:r>
        <w:rPr>
          <w:sz w:val="19"/>
          <w:szCs w:val="19"/>
        </w:rPr>
        <w:t xml:space="preserve">7. Si tu ne trouves rien de fiable, tu écris « donnée non trouvée dans les sources consultées » et tu listes les sources consultées. Tu n'inventes jamais.</w:t>
      </w:r>
    </w:p>
    <w:p>
      <w:pPr>
        <w:spacing w:after="60"/>
        <w:jc w:val="both"/>
      </w:pPr>
      <w:r>
        <w:rPr>
          <w:sz w:val="19"/>
          <w:szCs w:val="19"/>
        </w:rPr>
        <w:t xml:space="preserve">8. Tu conserves le numéro de chaque question (ex. B-014). Tu remplis les six lignes du cadre « Réponse » sous chaque question.</w:t>
      </w:r>
    </w:p>
    <w:p>
      <w:pPr>
        <w:spacing w:after="60"/>
        <w:jc w:val="both"/>
      </w:pPr>
      <w:r>
        <w:rPr>
          <w:sz w:val="19"/>
          <w:szCs w:val="19"/>
        </w:rPr>
        <w:t xml:space="preserve">9. Tu écris en français, en phrases verbales courtes et complètes. Tu renvoies le document complété.</w:t>
      </w:r>
    </w:p>
    <w:p>
      <w:pPr>
        <w:pStyle w:val="Titre1"/>
      </w:pPr>
      <w:r>
        <w:rPr>
          <w:b/>
          <w:color w:val="1A5276"/>
          <w:sz w:val="28"/>
          <w:szCs w:val="28"/>
        </w:rPr>
        <w:t xml:space="preserve">2. Mode d'emploi pour Vial</w:t>
      </w:r>
    </w:p>
    <w:p>
      <w:pPr>
        <w:spacing w:after="40"/>
      </w:pPr>
      <w:r>
        <w:rPr>
          <w:sz w:val="19"/>
          <w:szCs w:val="19"/>
        </w:rPr>
        <w:t xml:space="preserve">• Soumets ce document à Gemini et demande-lui de remplir le cadre « Réponse » de chaque question.</w:t>
      </w:r>
    </w:p>
    <w:p>
      <w:pPr>
        <w:spacing w:after="40"/>
      </w:pPr>
      <w:r>
        <w:rPr>
          <w:sz w:val="19"/>
          <w:szCs w:val="19"/>
        </w:rPr>
        <w:t xml:space="preserve">• Rends-moi le document complété : j'audite chaque réponse (source réelle, version, dose AIPS) avant de corriger les cours.</w:t>
      </w:r>
    </w:p>
    <w:p>
      <w:pPr>
        <w:spacing w:after="40"/>
      </w:pPr>
      <w:r>
        <w:rPr>
          <w:sz w:val="19"/>
          <w:szCs w:val="19"/>
        </w:rPr>
        <w:t xml:space="preserve">• Quand une réponse est auditée et intégrée au cours, je coche la case de la question : elle devient un ☒ rouge.</w:t>
      </w:r>
    </w:p>
    <w:p>
      <w:pPr>
        <w:spacing w:after="40"/>
      </w:pPr>
      <w:r>
        <w:rPr>
          <w:sz w:val="19"/>
          <w:szCs w:val="19"/>
        </w:rPr>
        <w:t xml:space="preserve">• L'emplacement de chaque question renvoie au fichier et au point exacts du cours : la correction se fait sans relire le lot.</w:t>
      </w:r>
    </w:p>
    <w:p>
      <w:pPr>
        <w:pStyle w:val="Titre1"/>
      </w:pPr>
      <w:r>
        <w:rPr>
          <w:b/>
          <w:color w:val="1A5276"/>
          <w:sz w:val="28"/>
          <w:szCs w:val="28"/>
        </w:rPr>
        <w:t xml:space="preserve">3. Synthèse</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1000"/>
        <w:gridCol w:w="7400"/>
        <w:gridCol w:w="1500"/>
        <w:gridCol w:w="1500"/>
        <w:gridCol w:w="1500"/>
        <w:gridCol w:w="1500"/>
      </w:tblGrid>
      <w:tr>
        <w:trPr>
          <w:tblHeader/>
          <w:cantSplit/>
        </w:trPr>
        <w:tc>
          <w:tcPr>
            <w:tcW w:w="1000" w:type="dxa"/>
            <w:shd w:val="clear" w:color="auto" w:fill="1A5276"/>
            <w:vAlign w:val="top"/>
          </w:tcPr>
          <w:p>
            <w:pPr>
              <w:spacing w:after="0"/>
            </w:pPr>
            <w:r>
              <w:rPr>
                <w:b/>
                <w:color w:val="FFFFFF"/>
                <w:sz w:val="17"/>
                <w:szCs w:val="17"/>
              </w:rPr>
              <w:t xml:space="preserve">Groupe</w:t>
            </w:r>
          </w:p>
        </w:tc>
        <w:tc>
          <w:tcPr>
            <w:tcW w:w="7400" w:type="dxa"/>
            <w:shd w:val="clear" w:color="auto" w:fill="1A5276"/>
            <w:vAlign w:val="top"/>
          </w:tcPr>
          <w:p>
            <w:pPr>
              <w:spacing w:after="0"/>
            </w:pPr>
            <w:r>
              <w:rPr>
                <w:b/>
                <w:color w:val="FFFFFF"/>
                <w:sz w:val="17"/>
                <w:szCs w:val="17"/>
              </w:rPr>
              <w:t xml:space="preserve">Périmètre</w:t>
            </w:r>
          </w:p>
        </w:tc>
        <w:tc>
          <w:tcPr>
            <w:tcW w:w="1500" w:type="dxa"/>
            <w:shd w:val="clear" w:color="auto" w:fill="1A5276"/>
            <w:vAlign w:val="top"/>
          </w:tcPr>
          <w:p>
            <w:pPr>
              <w:spacing w:after="0"/>
            </w:pPr>
            <w:r>
              <w:rPr>
                <w:b/>
                <w:color w:val="FFFFFF"/>
                <w:sz w:val="17"/>
                <w:szCs w:val="17"/>
              </w:rPr>
              <w:t xml:space="preserve">Critique</w:t>
            </w:r>
          </w:p>
        </w:tc>
        <w:tc>
          <w:tcPr>
            <w:tcW w:w="1500" w:type="dxa"/>
            <w:shd w:val="clear" w:color="auto" w:fill="1A5276"/>
            <w:vAlign w:val="top"/>
          </w:tcPr>
          <w:p>
            <w:pPr>
              <w:spacing w:after="0"/>
            </w:pPr>
            <w:r>
              <w:rPr>
                <w:b/>
                <w:color w:val="FFFFFF"/>
                <w:sz w:val="17"/>
                <w:szCs w:val="17"/>
              </w:rPr>
              <w:t xml:space="preserve">Haute</w:t>
            </w:r>
          </w:p>
        </w:tc>
        <w:tc>
          <w:tcPr>
            <w:tcW w:w="1500" w:type="dxa"/>
            <w:shd w:val="clear" w:color="auto" w:fill="1A5276"/>
            <w:vAlign w:val="top"/>
          </w:tcPr>
          <w:p>
            <w:pPr>
              <w:spacing w:after="0"/>
            </w:pPr>
            <w:r>
              <w:rPr>
                <w:b/>
                <w:color w:val="FFFFFF"/>
                <w:sz w:val="17"/>
                <w:szCs w:val="17"/>
              </w:rPr>
              <w:t xml:space="preserve">Moyenne</w:t>
            </w:r>
          </w:p>
        </w:tc>
        <w:tc>
          <w:tcPr>
            <w:tcW w:w="1500" w:type="dxa"/>
            <w:shd w:val="clear" w:color="auto" w:fill="1A5276"/>
            <w:vAlign w:val="top"/>
          </w:tcPr>
          <w:p>
            <w:pPr>
              <w:spacing w:after="0"/>
            </w:pPr>
            <w:r>
              <w:rPr>
                <w:b/>
                <w:color w:val="FFFFFF"/>
                <w:sz w:val="17"/>
                <w:szCs w:val="17"/>
              </w:rPr>
              <w:t xml:space="preserve">Total</w:t>
            </w:r>
          </w:p>
        </w:tc>
      </w:tr>
      <w:tr>
        <w:trPr>
          <w:cantSplit/>
        </w:trPr>
        <w:tc>
          <w:tcPr>
            <w:tcW w:w="1000" w:type="dxa"/>
            <w:vAlign w:val="top"/>
          </w:tcPr>
          <w:p>
            <w:pPr>
              <w:spacing w:after="0"/>
            </w:pPr>
            <w:r>
              <w:rPr>
                <w:sz w:val="17"/>
                <w:szCs w:val="17"/>
              </w:rPr>
              <w:t xml:space="preserve">A</w:t>
            </w:r>
          </w:p>
        </w:tc>
        <w:tc>
          <w:tcPr>
            <w:tcW w:w="7400" w:type="dxa"/>
            <w:vAlign w:val="top"/>
          </w:tcPr>
          <w:p>
            <w:pPr>
              <w:spacing w:after="0"/>
            </w:pPr>
            <w:r>
              <w:rPr>
                <w:sz w:val="17"/>
                <w:szCs w:val="17"/>
              </w:rPr>
              <w:t xml:space="preserve">Audits des LOT 1 à 8 (Gemini, SSP G1–G8)</w:t>
            </w:r>
          </w:p>
        </w:tc>
        <w:tc>
          <w:tcPr>
            <w:tcW w:w="1500" w:type="dxa"/>
            <w:vAlign w:val="top"/>
          </w:tcPr>
          <w:p>
            <w:pPr>
              <w:spacing w:after="0"/>
            </w:pPr>
            <w:r>
              <w:rPr>
                <w:sz w:val="17"/>
                <w:szCs w:val="17"/>
              </w:rPr>
              <w:t xml:space="preserve">18</w:t>
            </w:r>
          </w:p>
        </w:tc>
        <w:tc>
          <w:tcPr>
            <w:tcW w:w="1500" w:type="dxa"/>
            <w:vAlign w:val="top"/>
          </w:tcPr>
          <w:p>
            <w:pPr>
              <w:spacing w:after="0"/>
            </w:pPr>
            <w:r>
              <w:rPr>
                <w:sz w:val="17"/>
                <w:szCs w:val="17"/>
              </w:rPr>
              <w:t xml:space="preserve">30</w:t>
            </w:r>
          </w:p>
        </w:tc>
        <w:tc>
          <w:tcPr>
            <w:tcW w:w="1500" w:type="dxa"/>
            <w:vAlign w:val="top"/>
          </w:tcPr>
          <w:p>
            <w:pPr>
              <w:spacing w:after="0"/>
            </w:pPr>
            <w:r>
              <w:rPr>
                <w:sz w:val="17"/>
                <w:szCs w:val="17"/>
              </w:rPr>
              <w:t xml:space="preserve">34</w:t>
            </w:r>
          </w:p>
        </w:tc>
        <w:tc>
          <w:tcPr>
            <w:tcW w:w="1500" w:type="dxa"/>
            <w:vAlign w:val="top"/>
          </w:tcPr>
          <w:p>
            <w:pPr>
              <w:spacing w:after="0"/>
            </w:pPr>
            <w:r>
              <w:rPr>
                <w:sz w:val="17"/>
                <w:szCs w:val="17"/>
              </w:rPr>
              <w:t xml:space="preserve">82</w:t>
            </w:r>
          </w:p>
        </w:tc>
      </w:tr>
      <w:tr>
        <w:trPr>
          <w:cantSplit/>
        </w:trPr>
        <w:tc>
          <w:tcPr>
            <w:tcW w:w="1000" w:type="dxa"/>
            <w:vAlign w:val="top"/>
          </w:tcPr>
          <w:p>
            <w:pPr>
              <w:spacing w:after="0"/>
            </w:pPr>
            <w:r>
              <w:rPr>
                <w:sz w:val="17"/>
                <w:szCs w:val="17"/>
              </w:rPr>
              <w:t xml:space="preserve">B</w:t>
            </w:r>
          </w:p>
        </w:tc>
        <w:tc>
          <w:tcPr>
            <w:tcW w:w="7400" w:type="dxa"/>
            <w:vAlign w:val="top"/>
          </w:tcPr>
          <w:p>
            <w:pPr>
              <w:spacing w:after="0"/>
            </w:pPr>
            <w:r>
              <w:rPr>
                <w:sz w:val="17"/>
                <w:szCs w:val="17"/>
              </w:rPr>
              <w:t xml:space="preserve">Lots Claude 227 à 231</w:t>
            </w:r>
          </w:p>
        </w:tc>
        <w:tc>
          <w:tcPr>
            <w:tcW w:w="1500" w:type="dxa"/>
            <w:vAlign w:val="top"/>
          </w:tcPr>
          <w:p>
            <w:pPr>
              <w:spacing w:after="0"/>
            </w:pPr>
            <w:r>
              <w:rPr>
                <w:sz w:val="17"/>
                <w:szCs w:val="17"/>
              </w:rPr>
              <w:t xml:space="preserve">7</w:t>
            </w:r>
          </w:p>
        </w:tc>
        <w:tc>
          <w:tcPr>
            <w:tcW w:w="1500" w:type="dxa"/>
            <w:vAlign w:val="top"/>
          </w:tcPr>
          <w:p>
            <w:pPr>
              <w:spacing w:after="0"/>
            </w:pPr>
            <w:r>
              <w:rPr>
                <w:sz w:val="17"/>
                <w:szCs w:val="17"/>
              </w:rPr>
              <w:t xml:space="preserve">29</w:t>
            </w:r>
          </w:p>
        </w:tc>
        <w:tc>
          <w:tcPr>
            <w:tcW w:w="1500" w:type="dxa"/>
            <w:vAlign w:val="top"/>
          </w:tcPr>
          <w:p>
            <w:pPr>
              <w:spacing w:after="0"/>
            </w:pPr>
            <w:r>
              <w:rPr>
                <w:sz w:val="17"/>
                <w:szCs w:val="17"/>
              </w:rPr>
              <w:t xml:space="preserve">30</w:t>
            </w:r>
          </w:p>
        </w:tc>
        <w:tc>
          <w:tcPr>
            <w:tcW w:w="1500" w:type="dxa"/>
            <w:vAlign w:val="top"/>
          </w:tcPr>
          <w:p>
            <w:pPr>
              <w:spacing w:after="0"/>
            </w:pPr>
            <w:r>
              <w:rPr>
                <w:sz w:val="17"/>
                <w:szCs w:val="17"/>
              </w:rPr>
              <w:t xml:space="preserve">66</w:t>
            </w:r>
          </w:p>
        </w:tc>
      </w:tr>
      <w:tr>
        <w:trPr>
          <w:cantSplit/>
        </w:trPr>
        <w:tc>
          <w:tcPr>
            <w:tcW w:w="1000" w:type="dxa"/>
            <w:vAlign w:val="top"/>
          </w:tcPr>
          <w:p>
            <w:pPr>
              <w:spacing w:after="0"/>
            </w:pPr>
            <w:r>
              <w:rPr>
                <w:sz w:val="17"/>
                <w:szCs w:val="17"/>
              </w:rPr>
              <w:t xml:space="preserve">C</w:t>
            </w:r>
          </w:p>
        </w:tc>
        <w:tc>
          <w:tcPr>
            <w:tcW w:w="7400" w:type="dxa"/>
            <w:vAlign w:val="top"/>
          </w:tcPr>
          <w:p>
            <w:pPr>
              <w:spacing w:after="0"/>
            </w:pPr>
            <w:r>
              <w:rPr>
                <w:sz w:val="17"/>
                <w:szCs w:val="17"/>
              </w:rPr>
              <w:t xml:space="preserve">Lots Claude 232 à 236</w:t>
            </w:r>
          </w:p>
        </w:tc>
        <w:tc>
          <w:tcPr>
            <w:tcW w:w="1500" w:type="dxa"/>
            <w:vAlign w:val="top"/>
          </w:tcPr>
          <w:p>
            <w:pPr>
              <w:spacing w:after="0"/>
            </w:pPr>
            <w:r>
              <w:rPr>
                <w:sz w:val="17"/>
                <w:szCs w:val="17"/>
              </w:rPr>
              <w:t xml:space="preserve">9</w:t>
            </w:r>
          </w:p>
        </w:tc>
        <w:tc>
          <w:tcPr>
            <w:tcW w:w="1500" w:type="dxa"/>
            <w:vAlign w:val="top"/>
          </w:tcPr>
          <w:p>
            <w:pPr>
              <w:spacing w:after="0"/>
            </w:pPr>
            <w:r>
              <w:rPr>
                <w:sz w:val="17"/>
                <w:szCs w:val="17"/>
              </w:rPr>
              <w:t xml:space="preserve">36</w:t>
            </w:r>
          </w:p>
        </w:tc>
        <w:tc>
          <w:tcPr>
            <w:tcW w:w="1500" w:type="dxa"/>
            <w:vAlign w:val="top"/>
          </w:tcPr>
          <w:p>
            <w:pPr>
              <w:spacing w:after="0"/>
            </w:pPr>
            <w:r>
              <w:rPr>
                <w:sz w:val="17"/>
                <w:szCs w:val="17"/>
              </w:rPr>
              <w:t xml:space="preserve">25</w:t>
            </w:r>
          </w:p>
        </w:tc>
        <w:tc>
          <w:tcPr>
            <w:tcW w:w="1500" w:type="dxa"/>
            <w:vAlign w:val="top"/>
          </w:tcPr>
          <w:p>
            <w:pPr>
              <w:spacing w:after="0"/>
            </w:pPr>
            <w:r>
              <w:rPr>
                <w:sz w:val="17"/>
                <w:szCs w:val="17"/>
              </w:rPr>
              <w:t xml:space="preserve">70</w:t>
            </w:r>
          </w:p>
        </w:tc>
      </w:tr>
      <w:tr>
        <w:trPr>
          <w:cantSplit/>
        </w:trPr>
        <w:tc>
          <w:tcPr>
            <w:tcW w:w="1000" w:type="dxa"/>
            <w:vAlign w:val="top"/>
          </w:tcPr>
          <w:p>
            <w:pPr>
              <w:spacing w:after="0"/>
            </w:pPr>
            <w:r>
              <w:rPr>
                <w:sz w:val="17"/>
                <w:szCs w:val="17"/>
              </w:rPr>
              <w:t xml:space="preserve">D</w:t>
            </w:r>
          </w:p>
        </w:tc>
        <w:tc>
          <w:tcPr>
            <w:tcW w:w="7400" w:type="dxa"/>
            <w:vAlign w:val="top"/>
          </w:tcPr>
          <w:p>
            <w:pPr>
              <w:spacing w:after="0"/>
            </w:pPr>
            <w:r>
              <w:rPr>
                <w:sz w:val="17"/>
                <w:szCs w:val="17"/>
              </w:rPr>
              <w:t xml:space="preserve">Lots Claude 237 à 241</w:t>
            </w:r>
          </w:p>
        </w:tc>
        <w:tc>
          <w:tcPr>
            <w:tcW w:w="1500" w:type="dxa"/>
            <w:vAlign w:val="top"/>
          </w:tcPr>
          <w:p>
            <w:pPr>
              <w:spacing w:after="0"/>
            </w:pPr>
            <w:r>
              <w:rPr>
                <w:sz w:val="17"/>
                <w:szCs w:val="17"/>
              </w:rPr>
              <w:t xml:space="preserve">6</w:t>
            </w:r>
          </w:p>
        </w:tc>
        <w:tc>
          <w:tcPr>
            <w:tcW w:w="1500" w:type="dxa"/>
            <w:vAlign w:val="top"/>
          </w:tcPr>
          <w:p>
            <w:pPr>
              <w:spacing w:after="0"/>
            </w:pPr>
            <w:r>
              <w:rPr>
                <w:sz w:val="17"/>
                <w:szCs w:val="17"/>
              </w:rPr>
              <w:t xml:space="preserve">33</w:t>
            </w:r>
          </w:p>
        </w:tc>
        <w:tc>
          <w:tcPr>
            <w:tcW w:w="1500" w:type="dxa"/>
            <w:vAlign w:val="top"/>
          </w:tcPr>
          <w:p>
            <w:pPr>
              <w:spacing w:after="0"/>
            </w:pPr>
            <w:r>
              <w:rPr>
                <w:sz w:val="17"/>
                <w:szCs w:val="17"/>
              </w:rPr>
              <w:t xml:space="preserve">46</w:t>
            </w:r>
          </w:p>
        </w:tc>
        <w:tc>
          <w:tcPr>
            <w:tcW w:w="1500" w:type="dxa"/>
            <w:vAlign w:val="top"/>
          </w:tcPr>
          <w:p>
            <w:pPr>
              <w:spacing w:after="0"/>
            </w:pPr>
            <w:r>
              <w:rPr>
                <w:sz w:val="17"/>
                <w:szCs w:val="17"/>
              </w:rPr>
              <w:t xml:space="preserve">85</w:t>
            </w:r>
          </w:p>
        </w:tc>
      </w:tr>
      <w:tr>
        <w:trPr>
          <w:cantSplit/>
        </w:trPr>
        <w:tc>
          <w:tcPr>
            <w:tcW w:w="1000" w:type="dxa"/>
            <w:vAlign w:val="top"/>
          </w:tcPr>
          <w:p>
            <w:pPr>
              <w:spacing w:after="0"/>
            </w:pPr>
            <w:r>
              <w:rPr>
                <w:sz w:val="17"/>
                <w:szCs w:val="17"/>
              </w:rPr>
              <w:t xml:space="preserve">E</w:t>
            </w:r>
          </w:p>
        </w:tc>
        <w:tc>
          <w:tcPr>
            <w:tcW w:w="7400" w:type="dxa"/>
            <w:vAlign w:val="top"/>
          </w:tcPr>
          <w:p>
            <w:pPr>
              <w:spacing w:after="0"/>
            </w:pPr>
            <w:r>
              <w:rPr>
                <w:sz w:val="17"/>
                <w:szCs w:val="17"/>
              </w:rPr>
              <w:t xml:space="preserve">Lots Claude 242 à 246</w:t>
            </w:r>
          </w:p>
        </w:tc>
        <w:tc>
          <w:tcPr>
            <w:tcW w:w="1500" w:type="dxa"/>
            <w:vAlign w:val="top"/>
          </w:tcPr>
          <w:p>
            <w:pPr>
              <w:spacing w:after="0"/>
            </w:pPr>
            <w:r>
              <w:rPr>
                <w:sz w:val="17"/>
                <w:szCs w:val="17"/>
              </w:rPr>
              <w:t xml:space="preserve">20</w:t>
            </w:r>
          </w:p>
        </w:tc>
        <w:tc>
          <w:tcPr>
            <w:tcW w:w="1500" w:type="dxa"/>
            <w:vAlign w:val="top"/>
          </w:tcPr>
          <w:p>
            <w:pPr>
              <w:spacing w:after="0"/>
            </w:pPr>
            <w:r>
              <w:rPr>
                <w:sz w:val="17"/>
                <w:szCs w:val="17"/>
              </w:rPr>
              <w:t xml:space="preserve">48</w:t>
            </w:r>
          </w:p>
        </w:tc>
        <w:tc>
          <w:tcPr>
            <w:tcW w:w="1500" w:type="dxa"/>
            <w:vAlign w:val="top"/>
          </w:tcPr>
          <w:p>
            <w:pPr>
              <w:spacing w:after="0"/>
            </w:pPr>
            <w:r>
              <w:rPr>
                <w:sz w:val="17"/>
                <w:szCs w:val="17"/>
              </w:rPr>
              <w:t xml:space="preserve">31</w:t>
            </w:r>
          </w:p>
        </w:tc>
        <w:tc>
          <w:tcPr>
            <w:tcW w:w="1500" w:type="dxa"/>
            <w:vAlign w:val="top"/>
          </w:tcPr>
          <w:p>
            <w:pPr>
              <w:spacing w:after="0"/>
            </w:pPr>
            <w:r>
              <w:rPr>
                <w:sz w:val="17"/>
                <w:szCs w:val="17"/>
              </w:rPr>
              <w:t xml:space="preserve">99</w:t>
            </w:r>
          </w:p>
        </w:tc>
      </w:tr>
      <w:tr>
        <w:trPr>
          <w:cantSplit/>
        </w:trPr>
        <w:tc>
          <w:tcPr>
            <w:tcW w:w="1000" w:type="dxa"/>
            <w:vAlign w:val="top"/>
          </w:tcPr>
          <w:p>
            <w:pPr>
              <w:spacing w:after="0"/>
            </w:pPr>
            <w:r>
              <w:rPr>
                <w:sz w:val="17"/>
                <w:szCs w:val="17"/>
              </w:rPr>
              <w:t xml:space="preserve">F</w:t>
            </w:r>
          </w:p>
        </w:tc>
        <w:tc>
          <w:tcPr>
            <w:tcW w:w="7400" w:type="dxa"/>
            <w:vAlign w:val="top"/>
          </w:tcPr>
          <w:p>
            <w:pPr>
              <w:spacing w:after="0"/>
            </w:pPr>
            <w:r>
              <w:rPr>
                <w:sz w:val="17"/>
                <w:szCs w:val="17"/>
              </w:rPr>
              <w:t xml:space="preserve">Lots Claude 247, 248 et dizaine 02 (217 à 226)</w:t>
            </w:r>
          </w:p>
        </w:tc>
        <w:tc>
          <w:tcPr>
            <w:tcW w:w="1500" w:type="dxa"/>
            <w:vAlign w:val="top"/>
          </w:tcPr>
          <w:p>
            <w:pPr>
              <w:spacing w:after="0"/>
            </w:pPr>
            <w:r>
              <w:rPr>
                <w:sz w:val="17"/>
                <w:szCs w:val="17"/>
              </w:rPr>
              <w:t xml:space="preserve">6</w:t>
            </w:r>
          </w:p>
        </w:tc>
        <w:tc>
          <w:tcPr>
            <w:tcW w:w="1500" w:type="dxa"/>
            <w:vAlign w:val="top"/>
          </w:tcPr>
          <w:p>
            <w:pPr>
              <w:spacing w:after="0"/>
            </w:pPr>
            <w:r>
              <w:rPr>
                <w:sz w:val="17"/>
                <w:szCs w:val="17"/>
              </w:rPr>
              <w:t xml:space="preserve">70</w:t>
            </w:r>
          </w:p>
        </w:tc>
        <w:tc>
          <w:tcPr>
            <w:tcW w:w="1500" w:type="dxa"/>
            <w:vAlign w:val="top"/>
          </w:tcPr>
          <w:p>
            <w:pPr>
              <w:spacing w:after="0"/>
            </w:pPr>
            <w:r>
              <w:rPr>
                <w:sz w:val="17"/>
                <w:szCs w:val="17"/>
              </w:rPr>
              <w:t xml:space="preserve">59</w:t>
            </w:r>
          </w:p>
        </w:tc>
        <w:tc>
          <w:tcPr>
            <w:tcW w:w="1500" w:type="dxa"/>
            <w:vAlign w:val="top"/>
          </w:tcPr>
          <w:p>
            <w:pPr>
              <w:spacing w:after="0"/>
            </w:pPr>
            <w:r>
              <w:rPr>
                <w:sz w:val="17"/>
                <w:szCs w:val="17"/>
              </w:rPr>
              <w:t xml:space="preserve">135</w:t>
            </w:r>
          </w:p>
        </w:tc>
      </w:tr>
      <w:tr>
        <w:trPr>
          <w:cantSplit/>
        </w:trPr>
        <w:tc>
          <w:tcPr>
            <w:tcW w:w="1000" w:type="dxa"/>
            <w:shd w:val="clear" w:color="auto" w:fill="EAECEE"/>
            <w:vAlign w:val="top"/>
          </w:tcPr>
          <w:p>
            <w:pPr>
              <w:spacing w:after="0"/>
            </w:pPr>
            <w:r>
              <w:rPr>
                <w:sz w:val="17"/>
                <w:szCs w:val="17"/>
              </w:rPr>
              <w:t xml:space="preserve">Total</w:t>
            </w:r>
          </w:p>
        </w:tc>
        <w:tc>
          <w:tcPr>
            <w:tcW w:w="7400" w:type="dxa"/>
            <w:shd w:val="clear" w:color="auto" w:fill="EAECEE"/>
            <w:vAlign w:val="top"/>
          </w:tcPr>
          <w:p>
            <w:pPr>
              <w:spacing w:after="0"/>
            </w:pPr>
            <w:r>
              <w:rPr>
                <w:sz w:val="17"/>
                <w:szCs w:val="17"/>
              </w:rPr>
              <w:t xml:space="preserve"/>
            </w:r>
          </w:p>
        </w:tc>
        <w:tc>
          <w:tcPr>
            <w:tcW w:w="1500" w:type="dxa"/>
            <w:shd w:val="clear" w:color="auto" w:fill="EAECEE"/>
            <w:vAlign w:val="top"/>
          </w:tcPr>
          <w:p>
            <w:pPr>
              <w:spacing w:after="0"/>
            </w:pPr>
            <w:r>
              <w:rPr>
                <w:sz w:val="17"/>
                <w:szCs w:val="17"/>
              </w:rPr>
              <w:t xml:space="preserve">66</w:t>
            </w:r>
          </w:p>
        </w:tc>
        <w:tc>
          <w:tcPr>
            <w:tcW w:w="1500" w:type="dxa"/>
            <w:shd w:val="clear" w:color="auto" w:fill="EAECEE"/>
            <w:vAlign w:val="top"/>
          </w:tcPr>
          <w:p>
            <w:pPr>
              <w:spacing w:after="0"/>
            </w:pPr>
            <w:r>
              <w:rPr>
                <w:sz w:val="17"/>
                <w:szCs w:val="17"/>
              </w:rPr>
              <w:t xml:space="preserve">246</w:t>
            </w:r>
          </w:p>
        </w:tc>
        <w:tc>
          <w:tcPr>
            <w:tcW w:w="1500" w:type="dxa"/>
            <w:shd w:val="clear" w:color="auto" w:fill="EAECEE"/>
            <w:vAlign w:val="top"/>
          </w:tcPr>
          <w:p>
            <w:pPr>
              <w:spacing w:after="0"/>
            </w:pPr>
            <w:r>
              <w:rPr>
                <w:sz w:val="17"/>
                <w:szCs w:val="17"/>
              </w:rPr>
              <w:t xml:space="preserve">225</w:t>
            </w:r>
          </w:p>
        </w:tc>
        <w:tc>
          <w:tcPr>
            <w:tcW w:w="1500" w:type="dxa"/>
            <w:shd w:val="clear" w:color="auto" w:fill="EAECEE"/>
            <w:vAlign w:val="top"/>
          </w:tcPr>
          <w:p>
            <w:pPr>
              <w:spacing w:after="0"/>
            </w:pPr>
            <w:r>
              <w:rPr>
                <w:sz w:val="17"/>
                <w:szCs w:val="17"/>
              </w:rPr>
              <w:t xml:space="preserve">537</w:t>
            </w:r>
          </w:p>
        </w:tc>
      </w:tr>
    </w:tbl>
    <w:p>
      <w:pPr>
        <w:spacing w:after="120"/>
      </w:pPr>
    </w:p>
    <w:p>
      <w:pPr>
        <w:pStyle w:val="Titre1"/>
      </w:pPr>
      <w:r>
        <w:rPr>
          <w:b/>
          <w:color w:val="1A5276"/>
          <w:sz w:val="28"/>
          <w:szCs w:val="28"/>
        </w:rPr>
        <w:t xml:space="preserve">4. Groupe A — Audits des LOT 1 à 8 (Gemini, SSP G1–G8)</w:t>
      </w: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A-007  ·  priorité Critique  ·  dose</w:t>
            </w:r>
          </w:p>
        </w:tc>
        <w:tc>
          <w:tcPr>
            <w:tcW w:w="11200" w:type="dxa"/>
            <w:shd w:val="clear" w:color="auto" w:fill="FADBD8"/>
            <w:vAlign w:val="top"/>
          </w:tcPr>
          <w:p>
            <w:pPr>
              <w:spacing w:after="0"/>
            </w:pPr>
            <w:r>
              <w:rPr>
                <w:sz w:val="17"/>
                <w:szCs w:val="17"/>
              </w:rPr>
              <w:t xml:space="preserve">LOT 1 · SSP G1 · LOT_1_Appel_B_V4_Argon_Expert_Complet__export_GoogleDoc.html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3 › D1.6 › point 11.B › patient inconscient ; constats L1-M43, L1-M21, L1-M20, L1-M14</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La V4 donne au patient inconscient un volume de glucose n'apportant que 8–10 g ; la V6 ne donne ni dose, ni voie, ni spécialité. L'audit s'appuie sur le guide britannique JBDS-IP 2018 (75–100 mL de glucose 20 % en 15 min, ou glucagon 1 mg IM, GlucaGen®, Baqsimi® 3 mg) et sur l'IHSG 2017 (&lt; 3,0 mmol/L) ; le cours cite l'ADA 2026.</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recommandation suisse (SSED/SGED, protocole d'un hôpital universitaire suisse) ou européenne la plus récente fixe la conduite devant une hypoglycémie sévère de l'adulte : quantité de glucose en grammes, concentration et volume, vitesse, glucagon IM/SC ou nasal, contrôle et répétition, seuils de définition (niveaux 1–3) ? Quelles spécialités sont autorisées en Suisse (GlucaGen® HypoKit, Baqsimi®, Ogluo®, glucose 10/20/40/50 %) et quelle est leur dose adulte et pédiatrique selon l'AIPS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A-001  ·  priorité Haute  ·  autorisation</w:t>
            </w:r>
          </w:p>
        </w:tc>
        <w:tc>
          <w:tcPr>
            <w:tcW w:w="11200" w:type="dxa"/>
            <w:shd w:val="clear" w:color="auto" w:fill="FDEBD0"/>
            <w:vAlign w:val="top"/>
          </w:tcPr>
          <w:p>
            <w:pPr>
              <w:spacing w:after="0"/>
            </w:pPr>
            <w:r>
              <w:rPr>
                <w:sz w:val="17"/>
                <w:szCs w:val="17"/>
              </w:rPr>
              <w:t xml:space="preserve">LOT 1 · SSP G1 · LOT_1_V6_Enrichi_8plus_Partie_1_Integral.html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Fichier entier › point 11.B des 11 monographies (exemple D1.7) ; constats L1-M15, L1-M31, L1-M32, L1-M35, L1-L48, L1-L25</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V4 donne BOTOX® 100 U par aisselle, 20 à 40 points espacés de 1,5 cm, et présente l'usage palmaire comme une référence ; la V6 ne donne aucune dose. L'audit a lu l'AIPS BOTOX® (n° 52433, état mai 2025) via ODDB : 50 U par aisselle, hyperhidrose axillaire primaire de l'adulte seulement, répétition après 16 semaines au plus tôt. La durée d'effet (6–9 ou 6–12 mois) reste non sourcée.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dans l'AIPS suisse actuelle de BOTOX® (et des autres toxines botuliniques autorisées en Suisse, p. ex. Dysport®, Xeomin®), l'indication exacte dans l'hyperhidrose (axillaire, palmaire), la dose par aisselle, la dilution, la technique d'injection, l'intervalle minimal entre deux séances et la durée d'effet attendue ? L'usage palmaire est-il hors étiquette en Suisse et la LAMal le rembourse-t-elle (Liste des spécialités, limitation) ? Quelle place la recommandation suisse ou l'AWMF 2023 (S1 013-059) donne-t-elle à la toxine botulique par rapport au chlorure d'aluminium et à l'iontophorèse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A-008  ·  priorité Haute  ·  dose</w:t>
            </w:r>
          </w:p>
        </w:tc>
        <w:tc>
          <w:tcPr>
            <w:tcW w:w="11200" w:type="dxa"/>
            <w:shd w:val="clear" w:color="auto" w:fill="FDEBD0"/>
            <w:vAlign w:val="top"/>
          </w:tcPr>
          <w:p>
            <w:pPr>
              <w:spacing w:after="0"/>
            </w:pPr>
            <w:r>
              <w:rPr>
                <w:sz w:val="17"/>
                <w:szCs w:val="17"/>
              </w:rPr>
              <w:t xml:space="preserve">LOT 1 · SSP G1 · LOT_1_Appel_B_V4_Argon_Expert_Complet__export_GoogleDoc.html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3 › D1.7 › point 11.B › 1re intention curative ; constats L1-M44</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La V4 cite le « méthimazole » (non commercialisé en Suisse), omet l'agranulocytose et affirme que le propranolol « arrête immédiatement les sueurs » ; l'audit renvoie à l'ETA 2018 et à Néo-Mercazole® selon l'AIPS.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doses initiales et d'entretien du carbimazole (Néo-Mercazole®) et du propylthiouracile prévoit l'AIPS suisse dans la maladie de Basedow, avec surveillance (hémogramme, transaminases) et consigne d'arrêt en cas de fièvre ou d'angine ? Quel bêtabloquant et quelle dose recommande-t-on ? Existe-t-il une version de la recommandation ETA plus récente que 2018 et qu'a-t-elle changé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A-009  ·  priorité Haute  ·  dose</w:t>
            </w:r>
          </w:p>
        </w:tc>
        <w:tc>
          <w:tcPr>
            <w:tcW w:w="11200" w:type="dxa"/>
            <w:shd w:val="clear" w:color="auto" w:fill="FDEBD0"/>
            <w:vAlign w:val="top"/>
          </w:tcPr>
          <w:p>
            <w:pPr>
              <w:spacing w:after="0"/>
            </w:pPr>
            <w:r>
              <w:rPr>
                <w:sz w:val="17"/>
                <w:szCs w:val="17"/>
              </w:rPr>
              <w:t xml:space="preserve">LOT 1 · SSP G1 · LOT_1_Appel_B_V4_Argon_Expert_Complet__export_GoogleDoc.html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4 › D1.8 › point 11.B › pharmacologique ; constats L1-M45, L1-L35, L2-M20</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Benadon® 40 mg/j en pyridoxine « systématique » (Benadon® n'existe qu'en 300 mg en Suisse) et ne donne pas le nombre de comprimés de Rimstar® selon le poids ; l'audit a lu l'AIPS Rimstar® (avril 2026). Même lacune au LOT_2 (D2.4 › point 11.B, co-prescription de pyridoxine).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recommandation de la Ligue pulmonaire suisse / Centre de compétence tuberculose (manuel tuberculose, édition la plus récente) pour le traitement de la tuberculose sensible : schéma, dose de Rimstar® par tranche de poids, durée, dose de pyridoxine et groupes à risque concernés ? Quelle spécialité ou préparation suisse permet la dose prophylactique de pyridoxine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A-010  ·  priorité Haute  ·  conduite</w:t>
            </w:r>
          </w:p>
        </w:tc>
        <w:tc>
          <w:tcPr>
            <w:tcW w:w="11200" w:type="dxa"/>
            <w:shd w:val="clear" w:color="auto" w:fill="FDEBD0"/>
            <w:vAlign w:val="top"/>
          </w:tcPr>
          <w:p>
            <w:pPr>
              <w:spacing w:after="0"/>
            </w:pPr>
            <w:r>
              <w:rPr>
                <w:sz w:val="17"/>
                <w:szCs w:val="17"/>
              </w:rPr>
              <w:t xml:space="preserve">LOT 1 · SSP G1 · LOT_1_Appel_B_V4_Argon_Expert_Complet__export_GoogleDoc.html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4 › D1.10 › point 11.B › préparation chirurgicale ; constats L1-M46, L1-L38</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La V4 propose l'urapidil oral (Ebrantil® n'existe qu'en injectable en Suisse) et la doxazosine 2–16 mg sans source ; l'audit propose Cardura® CR 4 mg et cite la prise de position ESH 2020 (Lenders et al.).</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schéma de préparation préopératoire du phéochromocytome recommande la source européenne la plus récente (ESE/ESH, consensus 2020 ou ultérieur) : molécule, dose initiale, titration, durée, cibles tensionnelles, apport hydrosodé, place des bêtabloquants et des inhibiteurs calciques ? Quelles formes de doxazosine et de phénoxybenzamine sont disponibles en Suisse selon l'AIPS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A-002  ·  priorité Moyenne  ·  autorisation</w:t>
            </w:r>
          </w:p>
        </w:tc>
        <w:tc>
          <w:tcPr>
            <w:tcW w:w="11200" w:type="dxa"/>
            <w:shd w:val="clear" w:color="auto" w:fill="EBF5FB"/>
            <w:vAlign w:val="top"/>
          </w:tcPr>
          <w:p>
            <w:pPr>
              <w:spacing w:after="0"/>
            </w:pPr>
            <w:r>
              <w:rPr>
                <w:sz w:val="17"/>
                <w:szCs w:val="17"/>
              </w:rPr>
              <w:t xml:space="preserve">LOT 1 · SSP G1 · LOT_1_Appel_B_V4_Argon_Part1_D1.1_D1.2__export_GoogleDoc.html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D1.1 › point 11.B › 1re intention (2 occurrences, aussi dans le fichier V4 Expert Complet, D1.1 › 11.B : « SweatStop®, Odaban® ») ; constats L1-M36, L1-M38, L1-L54, L1-L26, L1-L51, L1-L24</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Perspirex (« Perspirx »), SweatStop®, Odaban®, Excipial® DeoForte comme spécialités ®, présente Axhidrox® comme une recherche 2026 et attribue 82 % de réduction stable au traitement par micro-ondes sans source ; il qualifie l'application sur peau humide de « brûlure chimique sévère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topiques de l'hyperhidrose sont autorisés par Swissmedic (statut de médicament ou de cosmétique du chlorure d'aluminium hexahydraté, concentration, préparation magistrale) et quelle est l'AIPS d'Axhidrox® (glycopyrronium 2,2 mg/pression) : indication, schéma, contre-indications, remboursement ? Quel rythme d'application du chlorure d'aluminium recommande l'AWMF 2023 ou une source suisse ? Quelle étude publiée (auteur, année, NCT) chiffre l'efficacité du traitement par micro-ondes (miraDry®) et est-il disponible en Suisse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A-003  ·  priorité Moyenne  ·  dose</w:t>
            </w:r>
          </w:p>
        </w:tc>
        <w:tc>
          <w:tcPr>
            <w:tcW w:w="11200" w:type="dxa"/>
            <w:shd w:val="clear" w:color="auto" w:fill="EBF5FB"/>
            <w:vAlign w:val="top"/>
          </w:tcPr>
          <w:p>
            <w:pPr>
              <w:spacing w:after="0"/>
            </w:pPr>
            <w:r>
              <w:rPr>
                <w:sz w:val="17"/>
                <w:szCs w:val="17"/>
              </w:rPr>
              <w:t xml:space="preserve">LOT 1 · SSP G1 · LOT_1_Appel_B_V4_Argon_Part1_D1.1_D1.2__export_GoogleDoc.html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D1.1 › point 11.B › 3e ligne systémique (aussi fichier V4 Expert Complet, D1.4 › 11.B, « Ditropan® 2,5 mg/j ») ; constats L1-M37</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Ditropan® 2,5 mg/j per os (non autorisé en Suisse selon l'audit) et Kentera® comme comprimé (c'est un patch) pour l'hyperhidrose ; l'audit propose Oxybutynin Macure® 5 mg hors étiquette.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spécialités d'oxybutynine orale et d'autres anticholinergiques systémiques (glycopyrronium, méthanthéline) sont autorisées en Suisse, et quelle dose initiale, titration et contre-indications recommande-t-on dans l'hyperhidrose (usage hors étiquette) selon l'AIPS et l'AWMF 2023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A-004  ·  priorité Moyenne  ·  épidémiologie</w:t>
            </w:r>
          </w:p>
        </w:tc>
        <w:tc>
          <w:tcPr>
            <w:tcW w:w="11200" w:type="dxa"/>
            <w:shd w:val="clear" w:color="auto" w:fill="EBF5FB"/>
            <w:vAlign w:val="top"/>
          </w:tcPr>
          <w:p>
            <w:pPr>
              <w:spacing w:after="0"/>
            </w:pPr>
            <w:r>
              <w:rPr>
                <w:sz w:val="17"/>
                <w:szCs w:val="17"/>
              </w:rPr>
              <w:t xml:space="preserve">LOT 1 · SSP G1 · LOT_1_V6_Enrichi_8plus_Partie_1_Integral.html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SSP G1 › point 2 Épidémiologie ; constats L1-M24, L1-M28, L1-L20, L1-M33, L1-L28, L1-M25</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L'Appel A donne 1–3 %, 0,6–2,8 %, 10–41 % (soins primaires nord-américains), un pic à 41–55 ans, 12 % des enfants, un âge d'atténuation de 40 ans (45 ans dans la V4) et « 95 % des cas », sans source ; les badges de fréquence des 10 DX citent AAFP, ADA ou « Revue Médicale Suisse » sans URL. La V6 a tout remplacé par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données publiées suisses, à défaut européennes, chiffrent la prévalence de l'hyperhidrose primaire (axillaire, palmaire), des sueurs nocturnes en soins primaires et l'âge de début et d'atténuation spontanée ? Donne pour chaque chiffre la population, l'année, l'auteur et l'URL.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A-005  ·  priorité Moyenne  ·  recommandation</w:t>
            </w:r>
          </w:p>
        </w:tc>
        <w:tc>
          <w:tcPr>
            <w:tcW w:w="11200" w:type="dxa"/>
            <w:shd w:val="clear" w:color="auto" w:fill="EBF5FB"/>
            <w:vAlign w:val="top"/>
          </w:tcPr>
          <w:p>
            <w:pPr>
              <w:spacing w:after="0"/>
            </w:pPr>
            <w:r>
              <w:rPr>
                <w:sz w:val="17"/>
                <w:szCs w:val="17"/>
              </w:rPr>
              <w:t xml:space="preserve">LOT 1 · SSP G1 · LOT_1_V6_Enrichi_8plus_Partie_1_Integral.html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D1.2 › point 8 Critères ; constats L1-M23, L1-M40, L1-L49, L1-M41, L1-L50</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âge habituel » pour le diagnostic clinique de ménopause, un seuil d'œstradiol de 20 pg/mL (≈ 73 pmol/L, calcul dérivé), une durée des bouffées vasomotrices de 7,4 ans (cohorte américaine) présentée comme suisse et un âge médian « en Suisse » sans source ; l'audit cite NICE NG23 2024 et ESHRE POI 2024.</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recommandation suisse (SSGO / Société suisse de ménopause, avis d'experts) ou européenne (EMAS, ESHRE 2024) définit le diagnostic clinique de la ménopause (âge, durée d'aménorrhée), le diagnostic d'insuffisance ovarienne prématurée (seuil de FSH, nombre de dosages, intervalle) et l'utilité d'un dosage d'œstradiol (seuil en pmol/L) ? Quels chiffres européens ou suisses donnent l'âge médian de la ménopause et la durée moyenne des symptômes vasomoteurs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A-006  ·  priorité Moyenne  ·  autorisation</w:t>
            </w:r>
          </w:p>
        </w:tc>
        <w:tc>
          <w:tcPr>
            <w:tcW w:w="11200" w:type="dxa"/>
            <w:shd w:val="clear" w:color="auto" w:fill="EBF5FB"/>
            <w:vAlign w:val="top"/>
          </w:tcPr>
          <w:p>
            <w:pPr>
              <w:spacing w:after="0"/>
            </w:pPr>
            <w:r>
              <w:rPr>
                <w:sz w:val="17"/>
                <w:szCs w:val="17"/>
              </w:rPr>
              <w:t xml:space="preserve">LOT 1 · SSP G1 · LOT_1_Appel_B_V4_Argon_Expert_Complet__export_GoogleDoc.html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1 › D1.2 › point 11.B › pharmacologique ; constats L1-M39, L1-L52</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Estramon® (non autorisé en Suisse, l'audit propose Estradot® 50 µg/24 h) et les essais OASIS sans NCT ni statut d'autorisation ; la V4 mentionne le fézolinétant (Veoza®) autorisé par Swissmedic.</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spécialités suisses d'estradiol transdermique et de progestatif (Estradot®, Oestrogel®, Utrogestan®…) recommande l'avis d'experts suisse pour les symptômes vasomoteurs, avec dose initiale et schéma ? Quel est le statut Swissmedic en 2026 de l'élinzanétant (essais OASIS 1–4, NCT) et du fézolinétant (Veoza®) : indication, dose, surveillance hépatique, remboursement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A-011  ·  priorité Moyenne  ·  recommandation</w:t>
            </w:r>
          </w:p>
        </w:tc>
        <w:tc>
          <w:tcPr>
            <w:tcW w:w="11200" w:type="dxa"/>
            <w:shd w:val="clear" w:color="auto" w:fill="EBF5FB"/>
            <w:vAlign w:val="top"/>
          </w:tcPr>
          <w:p>
            <w:pPr>
              <w:spacing w:after="0"/>
            </w:pPr>
            <w:r>
              <w:rPr>
                <w:sz w:val="17"/>
                <w:szCs w:val="17"/>
              </w:rPr>
              <w:t xml:space="preserve">LOT 1 · SSP G1 · LOT_1_V6_Enrichi_8plus_Partie_1_Integral.html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D1.9 › point 8 Critères ; constats L1-M22, L1-L37</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ne chiffre pas les symptômes B du lymphome et affirme un « standard suisse » de traitement sans source ni NCT ; l'audit cite ESMO 2018 et Lugano 2014.</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sont les critères chiffrés des symptômes B (fièvre, sueurs, perte de poids, durée) selon la classification de Lugano et la recommandation ESMO la plus récente du lymphome de Hodgkin, et quel traitement de première ligne recommandent l'ESMO et le groupe suisse SAKK en 2026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A-021  ·  priorité Critique  ·  dose</w:t>
            </w:r>
          </w:p>
        </w:tc>
        <w:tc>
          <w:tcPr>
            <w:tcW w:w="11200" w:type="dxa"/>
            <w:shd w:val="clear" w:color="auto" w:fill="FADBD8"/>
            <w:vAlign w:val="top"/>
          </w:tcPr>
          <w:p>
            <w:pPr>
              <w:spacing w:after="0"/>
            </w:pPr>
            <w:r>
              <w:rPr>
                <w:sz w:val="17"/>
                <w:szCs w:val="17"/>
              </w:rPr>
              <w:t xml:space="preserve">LOT 2 · SSP G2 · LOT_2_Appel_B_V4_Argon_Partie_4_D2.8_a_D2.10__export_GoogleDoc.html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D2.10 › point 14 Pièges ; constats L2-M31, L2-L49</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point 14 associe la dose prophylactique du cotrimoxazole (Bactrim® forte 800/160 mg, 1 cp/j ou 3×/semaine) au « traitement » de la pneumocystose ; l'audit cite EACS (TMP 5 mg/kg + SMX 25 mg/kg 3×/j ≥ 21 jours).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sont, selon la version la plus récente des guidelines EACS et l'AIPS suisse de Bactrim®, la prophylaxie primaire de la pneumocystose (seuil de CD4, dose, arrêt) et le traitement curatif (dose par kg, rythme, durée, voie, adaptation rénale, corticothérapie selon la PaO2) ? Existe-t-il une recommandation suisse (SSI, Cohorte VIH suisse) qui diffère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A-012  ·  priorité Haute  ·  conduite</w:t>
            </w:r>
          </w:p>
        </w:tc>
        <w:tc>
          <w:tcPr>
            <w:tcW w:w="11200" w:type="dxa"/>
            <w:shd w:val="clear" w:color="auto" w:fill="FDEBD0"/>
            <w:vAlign w:val="top"/>
          </w:tcPr>
          <w:p>
            <w:pPr>
              <w:spacing w:after="0"/>
            </w:pPr>
            <w:r>
              <w:rPr>
                <w:sz w:val="17"/>
                <w:szCs w:val="17"/>
              </w:rPr>
              <w:t xml:space="preserve">LOT 2 · SSP G2 · LOT_2_Appel_A_Plan_et_Liste_Fédéral__export_GoogleDoc.html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10 Arbre décisionnel ; constats L2-M07, L2-M10, L2-M13, L2-L25, L2-L59, L2-M08</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L'arbre envoie toute masse persistante vers une exérèse d'emblée ; le point 8 omet le ganglion sus-claviculaire et attribue des critères à la SSMIG, à l'OFSP, à la SSI et à la SAKK sans document identifiable. L'audit cite les guidelines britanniques 2016, Fijten 1988 et Hanzalová &amp; Matter, Swiss Med Wkly 2024 (malignité 1,1–8,1 %).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recommandation suisse ou européenne définit la démarche devant une adénopathie périphérique ou une masse cervicale de l'adulte : seuils de taille, localisations suspectes, délai d'observation, place de l'échographie, de la cytoponction échoguidée et de la biopsie-exérèse, orientation ORL ? Quels chiffres suisses donnent la probabilité de malignité en soins primaires ? Existe-t-il un document SSMIG, SSI ou SAKK portant sur ces critères (titre, année, URL)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A-014  ·  priorité Haute  ·  autorisation</w:t>
            </w:r>
          </w:p>
        </w:tc>
        <w:tc>
          <w:tcPr>
            <w:tcW w:w="11200" w:type="dxa"/>
            <w:shd w:val="clear" w:color="auto" w:fill="FDEBD0"/>
            <w:vAlign w:val="top"/>
          </w:tcPr>
          <w:p>
            <w:pPr>
              <w:spacing w:after="0"/>
            </w:pPr>
            <w:r>
              <w:rPr>
                <w:sz w:val="17"/>
                <w:szCs w:val="17"/>
              </w:rPr>
              <w:t xml:space="preserve">LOT 2 · SSP G2 · LOT_2_Appel_B_V4_Argon_Partie_2_D2.3_a_D2.5__export_GoogleDoc.html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D2.3 › point 11.B › corticoïdes (4 autres occurrences : D2.5 point 11.B R-CHOP ; D2.9 point 11.B et point 14 ; D2.1 point 14) ; constats L2-M14, L2-L48, L3-M33, L3-M44, L3-L30</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Prednisone (Spiricort®) » dans 5 occurrences au LOT_2 (D2.3, D2.5, D2.9, D2.1) et 2 au LOT_3 (D3.5 › point 5, D3.7 › 11.B, 40 mg/j) ; l'audit a vérifié que Spiricort® contient de la prednisolone (H02AB06).</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spécialités de prednisone et de prednisolone sont autorisées et commercialisées en Suisse en 2026 (nom, dosages, titulaire) et quelle équivalence de dose l'AIPS indique-t-elle entre prednisone, prednisolone, méthylprednisolone et dexaméthasone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A-017  ·  priorité Haute  ·  autorisation</w:t>
            </w:r>
          </w:p>
        </w:tc>
        <w:tc>
          <w:tcPr>
            <w:tcW w:w="11200" w:type="dxa"/>
            <w:shd w:val="clear" w:color="auto" w:fill="FDEBD0"/>
            <w:vAlign w:val="top"/>
          </w:tcPr>
          <w:p>
            <w:pPr>
              <w:spacing w:after="0"/>
            </w:pPr>
            <w:r>
              <w:rPr>
                <w:sz w:val="17"/>
                <w:szCs w:val="17"/>
              </w:rPr>
              <w:t xml:space="preserve">LOT 2 · SSP G2 · LOT_2_Appel_B_V4_Argon_Partie_2_D2.3_a_D2.5__export_GoogleDoc.html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D2.5 › point 11.D › thérapies cellulaires CAR-T ; constats L2-M21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présente le tisagenlecleucel (Kymriah®) en 2e ligne du lymphome B diffus à grandes cellules ; l'audit a vérifié qu'il n'est autorisé qu'après deux lignes ou plus.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indications exactes Swissmedic a-t-il autorisées en 2026 pour Yescarta®, Breyanzi® et Kymriah® dans le lymphome B diffus à grandes cellules (ligne, rechute précoce, réfractaire), et lesquelles la LAMal rembourse-t-elle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A-013  ·  priorité Moyenne  ·  dose</w:t>
            </w:r>
          </w:p>
        </w:tc>
        <w:tc>
          <w:tcPr>
            <w:tcW w:w="11200" w:type="dxa"/>
            <w:shd w:val="clear" w:color="auto" w:fill="EBF5FB"/>
            <w:vAlign w:val="top"/>
          </w:tcPr>
          <w:p>
            <w:pPr>
              <w:spacing w:after="0"/>
            </w:pPr>
            <w:r>
              <w:rPr>
                <w:sz w:val="17"/>
                <w:szCs w:val="17"/>
              </w:rPr>
              <w:t xml:space="preserve">LOT 2 · SSP G2 · LOT_2_Appel_A_Plan_et_Liste_Fédéral__export_GoogleDoc.html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11 › B- Moyens et méthodes ; constats L2-M11, L2-L17</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point 11.B cite l'amoxicilline-acide clavulanique sans spécialité, dose, voie, durée, adaptation rénale ni contre-indication.</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dose adulte et pédiatrique, quelle durée et quelle adaptation rénale l'AIPS d'Augmentin® (et des génériques suisses) prévoit-elle, et quelle recommandation SSI (guidelines.ch) précise l'antibiothérapie d'une adénite ou d'un abcès cutané cervical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A-015  ·  priorité Moyenne  ·  dose</w:t>
            </w:r>
          </w:p>
        </w:tc>
        <w:tc>
          <w:tcPr>
            <w:tcW w:w="11200" w:type="dxa"/>
            <w:shd w:val="clear" w:color="auto" w:fill="EBF5FB"/>
            <w:vAlign w:val="top"/>
          </w:tcPr>
          <w:p>
            <w:pPr>
              <w:spacing w:after="0"/>
            </w:pPr>
            <w:r>
              <w:rPr>
                <w:sz w:val="17"/>
                <w:szCs w:val="17"/>
              </w:rPr>
              <w:t xml:space="preserve">LOT 2 · SSP G2 · LOT_2_Appel_B_V4_Argon_Partie_1_D2.1_a_D2.2__export_GoogleDoc.html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D2.2 › point 11.B › Moyens pharmacologiques › anesthésie locale ; constats L2-M15</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lidocaïne avec adrénaline 1:100 000 (Rapidocain® mit Epinephrin contient 5 µg/mL, soit 1:200 000) et une dose maximale de 7 mg/kg non tirée de l'AIPS.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dose maximale de lidocaïne avec et sans adrénaline donne l'AIPS suisse de Rapidocain® et Rapidocain® mit Epinephrin (mg/kg et mg absolus), et quelles contre-indications (extrémités, bloc digital) mentionne-t-elle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A-016  ·  priorité Moyenne  ·  dose</w:t>
            </w:r>
          </w:p>
        </w:tc>
        <w:tc>
          <w:tcPr>
            <w:tcW w:w="11200" w:type="dxa"/>
            <w:shd w:val="clear" w:color="auto" w:fill="EBF5FB"/>
            <w:vAlign w:val="top"/>
          </w:tcPr>
          <w:p>
            <w:pPr>
              <w:spacing w:after="0"/>
            </w:pPr>
            <w:r>
              <w:rPr>
                <w:sz w:val="17"/>
                <w:szCs w:val="17"/>
              </w:rPr>
              <w:t xml:space="preserve">LOT 2 · SSP G2 · LOT_2_Appel_B_V4_Argon_Partie_2_D2.3_a_D2.5__export_GoogleDoc.html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D2.3 › point 11.B › Moyens pharmacologiques symptomatiques ; constats L2-M19</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fixe un seuil « ALAT &gt; 2 fois la norme » pour préférer l'ibuprofène au paracétamol dans la mononucléose, sans source.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adaptations hépatiques prévoient les AIPS de Dafalgan® (paracétamol) et d'Irfen® (ibuprofène) : dose maximale, seuils de transaminases ou de Child-Pugh, poids &lt; 50 kg ? Une source suisse ou européenne recommande-t-elle un antalgique préférentiel en cas de cytolyse hépatique de la mononucléose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A-018  ·  priorité Moyenne  ·  autorisation</w:t>
            </w:r>
          </w:p>
        </w:tc>
        <w:tc>
          <w:tcPr>
            <w:tcW w:w="11200" w:type="dxa"/>
            <w:shd w:val="clear" w:color="auto" w:fill="EBF5FB"/>
            <w:vAlign w:val="top"/>
          </w:tcPr>
          <w:p>
            <w:pPr>
              <w:spacing w:after="0"/>
            </w:pPr>
            <w:r>
              <w:rPr>
                <w:sz w:val="17"/>
                <w:szCs w:val="17"/>
              </w:rPr>
              <w:t xml:space="preserve">LOT 2 · SSP G2 · LOT_2_Appel_B_V4_Argon_Partie_2_D2.3_a_D2.5__export_GoogleDoc.html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D2.5 › point 11.B R-CHOP (et D2.5 point 14 ; spécialités analogues en D2.7 et D2.8 : Cisplatin Ebewe®, Velbe®, Bleo-cell®, Detimedac®) ; constats L2-M22</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Oncovin® (autorisation inactive selon l'audit), Adriblastin®, Velbe®, Bleo-cell®, Detimedac® et Cisplatin Ebewe®, non vérifiés dans l'AIPS.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Lesquelles des spécialités Oncovin®, Adriblastin®, Velbe®, Bleo-cell®, Detimedac® et Cisplatin Ebewe® sont autorisées et commercialisées en Suisse en 2026 ? Pour chaque DCI (vincristine, doxorubicine, vinblastine, bléomycine, dacarbazine, cisplatine), quelle spécialité suisse existe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A-019  ·  priorité Moyenne  ·  recommandation</w:t>
            </w:r>
          </w:p>
        </w:tc>
        <w:tc>
          <w:tcPr>
            <w:tcW w:w="11200" w:type="dxa"/>
            <w:shd w:val="clear" w:color="auto" w:fill="EBF5FB"/>
            <w:vAlign w:val="top"/>
          </w:tcPr>
          <w:p>
            <w:pPr>
              <w:spacing w:after="0"/>
            </w:pPr>
            <w:r>
              <w:rPr>
                <w:sz w:val="17"/>
                <w:szCs w:val="17"/>
              </w:rPr>
              <w:t xml:space="preserve">LOT 2 · SSP G2 · LOT_2_Appel_B_V4_Argon_Partie_4_D2.8_a_D2.10__export_GoogleDoc.html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D2.8 › point 11.D › Recherche 2026 ; constats L2-M25, L2-M26</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affirme que SWOG S1826 et GHSG HD21 ont montré une supériorité « sur l'ABVD et le BEACOPP » et interdit « à vie » une FiO2 &gt; 30 % après bléomycine ; l'audit précise N-AVD vs BV-AVD et BrECADD vs eBEACOPP.</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recommandation ESMO (ou EHA/GHSG) la plus récente pour le lymphome de Hodgkin avancé de l'adulte (ABVD, BrECADD, N-AVD) et ces schémas sont-ils autorisés ou utilisés en Suisse ? Quelle source européenne encadre l'oxygénothérapie peropératoire après bléomycine (seuil de FiO2, durée du risque)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A-020  ·  priorité Moyenne  ·  recommandation</w:t>
            </w:r>
          </w:p>
        </w:tc>
        <w:tc>
          <w:tcPr>
            <w:tcW w:w="11200" w:type="dxa"/>
            <w:shd w:val="clear" w:color="auto" w:fill="EBF5FB"/>
            <w:vAlign w:val="top"/>
          </w:tcPr>
          <w:p>
            <w:pPr>
              <w:spacing w:after="0"/>
            </w:pPr>
            <w:r>
              <w:rPr>
                <w:sz w:val="17"/>
                <w:szCs w:val="17"/>
              </w:rPr>
              <w:t xml:space="preserve">LOT 2 · SSP G2 · LOT_2_Appel_B_V4_Argon_Partie_4_D2.8_a_D2.10__export_GoogleDoc.html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D2.9 › point 13 Points clés ; constats L2-M29, L2-M30, L2-L34</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fonde le diagnostic de sarcoïdose sur l'ATS 2020, attribue une VPP &gt; 95 % au rapport CD4/CD8 &gt; 3,5 et donne des seuils d'hypercalciurie (7,5 et 6,2 mmol/24 h) sans source.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recommandation européenne (ERS 2021 pour le traitement, ERS/WASOG pour le diagnostic) définit les critères diagnostiques de la sarcoïdose, la place du lavage broncho-alvéolaire (performance du rapport CD4/CD8) et le bilan phosphocalcique (seuils d'hypercalciurie)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A-022  ·  priorité Moyenne  ·  recommandation</w:t>
            </w:r>
          </w:p>
        </w:tc>
        <w:tc>
          <w:tcPr>
            <w:tcW w:w="11200" w:type="dxa"/>
            <w:shd w:val="clear" w:color="auto" w:fill="EBF5FB"/>
            <w:vAlign w:val="top"/>
          </w:tcPr>
          <w:p>
            <w:pPr>
              <w:spacing w:after="0"/>
            </w:pPr>
            <w:r>
              <w:rPr>
                <w:sz w:val="17"/>
                <w:szCs w:val="17"/>
              </w:rPr>
              <w:t xml:space="preserve">LOT 2 · SSP G2 · LOT_2_Appel_B_V4_Argon_Partie_4_D2.8_a_D2.10__export_GoogleDoc.html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D2.10 › point 14 Pièges ; constats L2-M33, L2-L47, L2-L38</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affirme qu'un test rapide capillaire ne détecte que les anticorps, qualifie l'absence de transmission sous traitement de « zéro absolu, consensus suisse validé mondialement », et a perdu le chiffre de charge virale du pic de primo-infection.</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tests de dépistage du VIH (laboratoire 4e génération, tests rapides, autotests) recommande l'OFSP en 2026, avec leur fenêtre diagnostique ? Quelle est la formulation actuelle de la Commission fédérale pour les questions liées aux infections sexuellement transmissibles (CFIST, ancien « Swiss statement » 2008) sur la non-transmission (seuil et durée de charge virale indétectable) ? Quel ordre de grandeur de virémie la littérature européenne donne-t-elle au pic de la primo-infection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A-023  ·  priorité Moyenne  ·  seuil</w:t>
            </w:r>
          </w:p>
        </w:tc>
        <w:tc>
          <w:tcPr>
            <w:tcW w:w="11200" w:type="dxa"/>
            <w:shd w:val="clear" w:color="auto" w:fill="EBF5FB"/>
            <w:vAlign w:val="top"/>
          </w:tcPr>
          <w:p>
            <w:pPr>
              <w:spacing w:after="0"/>
            </w:pPr>
            <w:r>
              <w:rPr>
                <w:sz w:val="17"/>
                <w:szCs w:val="17"/>
              </w:rPr>
              <w:t xml:space="preserve">LOT 2 · SSP G2 · LOT_2_Appel_B_V4_Argon_Partie_2_D2.3_a_D2.5__export_GoogleDoc.html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D2.5 › point 7.2 Syndrome de lyse tumorale ; constats L2-L30</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décrit le syndrome de lyse tumorale avec une hyperkaliémie &gt; 6,0 mmol/L sans attribuer les critères de Cairo-Bishop.</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sont les critères biologiques et cliniques exacts du syndrome de lyse tumorale (Cairo-Bishop et mise à jour éventuelle), et quelle recommandation européenne la plus récente fixe sa prévention (hydratation, allopurinol, rasburicase)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A-024  ·  priorité Moyenne  ·  autre</w:t>
            </w:r>
          </w:p>
        </w:tc>
        <w:tc>
          <w:tcPr>
            <w:tcW w:w="11200" w:type="dxa"/>
            <w:shd w:val="clear" w:color="auto" w:fill="EBF5FB"/>
            <w:vAlign w:val="top"/>
          </w:tcPr>
          <w:p>
            <w:pPr>
              <w:spacing w:after="0"/>
            </w:pPr>
            <w:r>
              <w:rPr>
                <w:sz w:val="17"/>
                <w:szCs w:val="17"/>
              </w:rPr>
              <w:t xml:space="preserve">LOT 2 · SSP G2 · LOT_2_Appel_B_V4_Argon_Partie_3_D2.6_a_D2.7__export_GoogleDoc.html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D2.7 › point 11.D › Recherche 2026 ; constats L2-M24</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affirme un essai de phase III de mRNA-4157/V940 dans les carcinomes des voies aérodigestives supérieures, sans NCT ; l'audit n'en a trouvé aucun.</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essais de mRNA-4157/V940 (intismeran autogène) existent en 2026 dans les carcinomes épidermoïdes de la tête et du cou (phase, NCT, statut)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A-026  ·  priorité Critique  ·  conduite</w:t>
            </w:r>
          </w:p>
        </w:tc>
        <w:tc>
          <w:tcPr>
            <w:tcW w:w="11200" w:type="dxa"/>
            <w:shd w:val="clear" w:color="auto" w:fill="FADBD8"/>
            <w:vAlign w:val="top"/>
          </w:tcPr>
          <w:p>
            <w:pPr>
              <w:spacing w:after="0"/>
            </w:pPr>
            <w:r>
              <w:rPr>
                <w:sz w:val="17"/>
                <w:szCs w:val="17"/>
              </w:rPr>
              <w:t xml:space="preserve">LOT 3 · SSP G3 · LOT_3_V6_Enrichi_8plus_Partie_1_Integral.html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D3.1 › 11. Prise en charge › 11.B. Moyens ; constats L3-M11, L3-L21, L3-L55, L3-L27, L3-L29</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La V5 a perdu le seuil de kaliémie (« Si : ») et donne un débit de KCl de 20–40 mmol/h ; la V6 écrit « hypokaliémie importante » sans seuil ; le seuil d'osmolalité de l'EHH diffère entre V5 (320 efficace) et V6 (300 efficace/320 totale) ; une spécialité citée en D3.1 › 11.D n'a pas de statut Swissmedic. L'audit cite le consensus 2024 ADA/EASD/JBDS (KCl 10 mmol/h).</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protocole de prise en charge de l'acidocétose diabétique et de l'état hyperglycémique hyperosmolaire recommande la source européenne la plus récente (consensus 2024 EASD/JBDS, protocole SSED ou d'un hôpital universitaire suisse) : remplissage, seuils de kaliémie avant insuline, débit maximal de KCl par voie périphérique et centrale, insuline (débit, voie), ajout de glucose, critères diagnostiques (pH, bicarbonate, osmolalité efficace et totale)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A-028  ·  priorité Critique  ·  conduite</w:t>
            </w:r>
          </w:p>
        </w:tc>
        <w:tc>
          <w:tcPr>
            <w:tcW w:w="11200" w:type="dxa"/>
            <w:shd w:val="clear" w:color="auto" w:fill="FADBD8"/>
            <w:vAlign w:val="top"/>
          </w:tcPr>
          <w:p>
            <w:pPr>
              <w:spacing w:after="0"/>
            </w:pPr>
            <w:r>
              <w:rPr>
                <w:sz w:val="17"/>
                <w:szCs w:val="17"/>
              </w:rPr>
              <w:t xml:space="preserve">LOT 3 · SSP G3 · LOT_3_V6_Enrichi_8plus_Partie_1_Integral.html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D3.4 › 9. Examens › fenêtre « Consulter la hiérarchie des examens » › 2e intention ; constats L3-M13, L3-M36, L3-L31, L5-M19, L5-M20, L5-L50, L5-L51, L5-M26</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LOT_3 (D3.4) limite le bolus de NaCl 3 % à une répétition et vise 4–6 mmol/L ; LOT_5 (D5.4, fenêtre 3.4 et point 11.B.1) donne 100 mL en 10 min dans le tableau et 150 mL en 20 min au point 11.B, un objectif de 1–2 mmol/L/h, une classification fausse et une conduite sous thiazidique non sourcée. Le texte intégral de l'ESE/ESICM/ERBP 2014 n'a pas été lu (résumés secondaires).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recommande exactement la recommandation européenne sur l'hyponatrémie (Spasovski 2014) et toute mise à jour postérieure (ESE, ERA, consensus 2023–2025, essai SALSA) pour l'hyponatrémie symptomatique sévère et modérée : volume et concentration du bolus, durée, nombre de répétitions, objectif de la première heure, limites à 24 et 48 h, classification (légère, modérée, profonde), conduite en cas de surcorrection, cas particulier de l'hyponatrémie aux thiazidiques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A-029  ·  priorité Critique  ·  dose</w:t>
            </w:r>
          </w:p>
        </w:tc>
        <w:tc>
          <w:tcPr>
            <w:tcW w:w="11200" w:type="dxa"/>
            <w:shd w:val="clear" w:color="auto" w:fill="FADBD8"/>
            <w:vAlign w:val="top"/>
          </w:tcPr>
          <w:p>
            <w:pPr>
              <w:spacing w:after="0"/>
            </w:pPr>
            <w:r>
              <w:rPr>
                <w:sz w:val="17"/>
                <w:szCs w:val="17"/>
              </w:rPr>
              <w:t xml:space="preserve">LOT 3 · SSP G3 · LOT_3_V6_Enrichi_8plus_Partie_1_Integral.html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D3.7 › 11. Prise en charge › 11.B. Moyens ; constats L3-M14, L3-M45, L3-M46, L3-M53, L3-L39, L3-L25, L5-M25, L5-M24</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La V6 n'a aucun traitement de l'hypercalcémie ; la V5 propose le dénosumab 60 mg chez l'insuffisant rénal sévère, une calcitonine selon la notice américaine et une contre-indication du zolédronate &lt; 35 mL/min (ostéoporose) ; les seuils de calcémie ont disparu. LOT_5 (D5.4) donne une classification non sourcée (2,65–2,99) et écrit « PTHrP bas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recommandation européenne la plus récente (ESE, consensus hypercalcémie, ESMO pour l'hypercalcémie maligne) fixe la classification de l'hypercalcémie (seuils en mmol/L, calcium ionisé), l'hydratation, le bisphosphonate (acide zolédronique Zometa® 4 mg, pamidronate) et son adaptation rénale, la calcitonine (spécialité suisse disponible ?) et le dénosumab (Xgeva® 120 mg : indication suisse, usage hors étiquette, risque d'hypocalcémie si DFGe &lt; 30) ? Quel profil PTH/PTHrP caractérise l'hypercalcémie humorale maligne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A-031  ·  priorité Critique  ·  conduite</w:t>
            </w:r>
          </w:p>
        </w:tc>
        <w:tc>
          <w:tcPr>
            <w:tcW w:w="11200" w:type="dxa"/>
            <w:shd w:val="clear" w:color="auto" w:fill="FADBD8"/>
            <w:vAlign w:val="top"/>
          </w:tcPr>
          <w:p>
            <w:pPr>
              <w:spacing w:after="0"/>
            </w:pPr>
            <w:r>
              <w:rPr>
                <w:sz w:val="17"/>
                <w:szCs w:val="17"/>
              </w:rPr>
              <w:t xml:space="preserve">LOT 3 · SSP G3 · LOT_3_Appel_A_V5_Ultra_Pedagogique_Plan_et_Liste__export_GoogleDoc.html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11. Prise en charge › B- Moyens et méthodes ; constats L3-M26, L3-M54, L3-M55, L3-M19, L3-M16</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L'Appel A recommande sans réserve régime hyposodé et thiazidique dans la résistance à l'AVP ; la Partie 4 prescrit &lt; 6 g NaCl/j et Moduretic® (amiloride + 50 mg HCT) en 1re intention sous lithium ; l'amiloride n'a pas de dose ; seule une association Comilorid-Mepha® mite a été retrouvée. L'audit cite l'AIPS Quilonorm® retard.</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prise en charge recommandée (source européenne ou suisse la plus récente) de la résistance rénale à l'AVP induite par le lithium : amiloride (dose, spécialité suisse monocomposant ou association disponible), place des thiazidiques et des AINS, apport sodé, rythme de contrôle de la lithiémie ? Quelles spécialités d'amiloride (seul ou associé) sont commercialisées en Suisse en 2026 et Moduretic® existe-t-il encore ? Que dit l'AIPS de Quilonorm® retard sur le régime hyposodé et les diurétiques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A-025  ·  priorité Haute  ·  seuil</w:t>
            </w:r>
          </w:p>
        </w:tc>
        <w:tc>
          <w:tcPr>
            <w:tcW w:w="11200" w:type="dxa"/>
            <w:shd w:val="clear" w:color="auto" w:fill="FDEBD0"/>
            <w:vAlign w:val="top"/>
          </w:tcPr>
          <w:p>
            <w:pPr>
              <w:spacing w:after="0"/>
            </w:pPr>
            <w:r>
              <w:rPr>
                <w:sz w:val="17"/>
                <w:szCs w:val="17"/>
              </w:rPr>
              <w:t xml:space="preserve">LOT 3 · SSP G3 · LOT_3_V6_Enrichi_8plus_Partie_1_Integral.html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SSP G3 › 8. Critères ; constats L3-M09, L3-M10, L3-M25, L3-M28, L3-M37, L3-M39, L3-M59, L3-L41, L3-L64</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La V6 a supprimé les seuils de copeptine et définit la polyurie par « souvent » ; l'audit propose &gt; 50 mL/kg/24 h, copeptine stimulée par NaCl 3 % ≤ 4,9 pmol/L (précision 96,5 %), basale ≥ 21,4 pmol/L, arginine 3,8 pmol/L (Fenske NEJM 2018, Refardt CARGOx). La V5 donne des seuils 2,6 et 2,6–4,9 pmol/L (déficit complet/partiel, « spécificité 100 % ») et des sensibilités/spécificités non retrouvées.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recommandation européenne ou suisse la plus récente (ESE, Société suisse d'endocrinologie, revue de consensus bâloise) définit la polyurie, l'algorithme du syndrome polyurie-polydipsie et les seuils de copeptine (basale, après NaCl 3 %, après arginine, après glucagon), avec conditions de prélèvement, sensibilité et spécificité ? Quels seuils distinguent déficit complet et partiel en AVP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A-027  ·  priorité Haute  ·  seuil</w:t>
            </w:r>
          </w:p>
        </w:tc>
        <w:tc>
          <w:tcPr>
            <w:tcW w:w="11200" w:type="dxa"/>
            <w:shd w:val="clear" w:color="auto" w:fill="FDEBD0"/>
            <w:vAlign w:val="top"/>
          </w:tcPr>
          <w:p>
            <w:pPr>
              <w:spacing w:after="0"/>
            </w:pPr>
            <w:r>
              <w:rPr>
                <w:sz w:val="17"/>
                <w:szCs w:val="17"/>
              </w:rPr>
              <w:t xml:space="preserve">LOT 3 · SSP G3 · LOT_3_V6_Enrichi_8plus_Partie_1_Integral.html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D3.2 › 11. Prise en charge › 11.B. Moyens ; constats L3-M12, L3-M31, L3-L17</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ne chiffre pas la vitesse de correction de l'hypernatrémie et fusionne les limites de l'hyponatrémie et de l'hypernatrémie ; l'audit propose ≤ 10 mmol/L/24 h (0,5 mmol/L/h) d'après la Revue Médicale Suisse 2023 et une revue 2024.</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source suisse ou européenne la plus récente fixe la vitesse maximale de correction de l'hypernatrémie aiguë (&lt; 48 h) et chronique, le rythme de contrôle de la natrémie et le soluté de choix ? Les données récentes (études 2019–2025) remettent-elles en cause la limite de 10 mmol/L/24 h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A-030  ·  priorité Haute  ·  dose</w:t>
            </w:r>
          </w:p>
        </w:tc>
        <w:tc>
          <w:tcPr>
            <w:tcW w:w="11200" w:type="dxa"/>
            <w:shd w:val="clear" w:color="auto" w:fill="FDEBD0"/>
            <w:vAlign w:val="top"/>
          </w:tcPr>
          <w:p>
            <w:pPr>
              <w:spacing w:after="0"/>
            </w:pPr>
            <w:r>
              <w:rPr>
                <w:sz w:val="17"/>
                <w:szCs w:val="17"/>
              </w:rPr>
              <w:t xml:space="preserve">LOT 3 · SSP G3 · LOT_3_V6_Enrichi_8plus_Partie_1_Integral.html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D3.9 › 11. Prise en charge › 11.B. Moyens ; constats L3-M15, L3-M27</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La desmopressine est citée sans spécialité, forme, dose ni rythme ; l'audit propose Minirin® (comprimés, Melt, spray, injectable) et Nocutil® spray (10–40 µg/j).</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spécialités de desmopressine sont autorisées en Suisse pour le déficit en AVP (Minirin®, Minirin® Melt, Nocutil®, forme injectable) et quelles doses initiales, titrations, surveillances de la natrémie et mises en garde (hyponatrémie, sujet âgé) prévoit leur AIPS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A-037  ·  priorité Haute  ·  conduite</w:t>
            </w:r>
          </w:p>
        </w:tc>
        <w:tc>
          <w:tcPr>
            <w:tcW w:w="11200" w:type="dxa"/>
            <w:shd w:val="clear" w:color="auto" w:fill="FDEBD0"/>
            <w:vAlign w:val="top"/>
          </w:tcPr>
          <w:p>
            <w:pPr>
              <w:spacing w:after="0"/>
            </w:pPr>
            <w:r>
              <w:rPr>
                <w:sz w:val="17"/>
                <w:szCs w:val="17"/>
              </w:rPr>
              <w:t xml:space="preserve">LOT 3 · SSP G3 · LOT_3_V6_Enrichi_8plus_Partie_1_Integral.html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D3.6 › 11. Prise en charge › 11.B. Moyens ; constats L3-M21, L3-M49, L3-M50</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La V6 ne cite aucun médicament ni seuil pour l'hyponatrémie hypervolémique ; l'audit propose spironolactone 100–400 mg/j ± furosémide 40–160 mg/j, restriction hydrique si natrémie &lt; 125 mmol/L, sel 80–120 mmol/j (EASL 2018) et un usage exceptionnel du tolvaptan.</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version la plus récente des recommandations EASL sur la cirrhose décompensée (2018 ou ultérieure) et ESC sur l'insuffisance cardiaque fixe la conduite de l'hyponatrémie hypervolémique : seuil de restriction hydrique, doses de diurétiques, apport sodé, place du tolvaptan (Samsca® : autorisation et mises en garde suisses)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A-032  ·  priorité Moyenne  ·  épidémiologie</w:t>
            </w:r>
          </w:p>
        </w:tc>
        <w:tc>
          <w:tcPr>
            <w:tcW w:w="11200" w:type="dxa"/>
            <w:shd w:val="clear" w:color="auto" w:fill="EBF5FB"/>
            <w:vAlign w:val="top"/>
          </w:tcPr>
          <w:p>
            <w:pPr>
              <w:spacing w:after="0"/>
            </w:pPr>
            <w:r>
              <w:rPr>
                <w:sz w:val="17"/>
                <w:szCs w:val="17"/>
              </w:rPr>
              <w:t xml:space="preserve">LOT 3 · SSP G3 · LOT_3_V6_Enrichi_8plus_Partie_1_Integral.html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D3.8 › 2. Épidémiologie ; constats L3-M17, L3-M20, L3-M24, L3-L61, L3-M22</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donne « 60 % des cas », « ~500 000 personnes diabétiques », « 4 cas pour 100 000 » et des badges de 60 % à 0,7 % sans source ; la V6 met « donnée non trouvée » partout et D3.8 contient une phrase sur la fatigue issue d'un autre lot. L'audit cite Christ-Crain 2019 (déficit en AVP ≈ 1/25 000) et l'Obsan.</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données suisses (Obsan, OFS, Enquête suisse sur la santé) chiffrent la prévalence du diabète sucré et de la maladie rénale chronique, et quelles données européennes chiffrent la prévalence du déficit en AVP, de la polydipsie primaire et de l'hyperparathyroïdie primaire ? Donne année, population et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A-033  ·  priorité Moyenne  ·  recommandation</w:t>
            </w:r>
          </w:p>
        </w:tc>
        <w:tc>
          <w:tcPr>
            <w:tcW w:w="11200" w:type="dxa"/>
            <w:shd w:val="clear" w:color="auto" w:fill="EBF5FB"/>
            <w:vAlign w:val="top"/>
          </w:tcPr>
          <w:p>
            <w:pPr>
              <w:spacing w:after="0"/>
            </w:pPr>
            <w:r>
              <w:rPr>
                <w:sz w:val="17"/>
                <w:szCs w:val="17"/>
              </w:rPr>
              <w:t xml:space="preserve">LOT 3 · SSP G3 · LOT_3_Appel_A_V5_Ultra_Pedagogique_Plan_et_Liste__export_GoogleDoc.html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D3.1 (source) ; même problème en D3.7 (« source : Endocrine Society ») et en Partie 3 › D3.7 › 11.B ; constats L3-M23</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L'Appel A fonde le diabète sur l'ADA et l'hypercalcémie sur l'Endocrine Society.</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recommandations suisses (SSED/SGED, Swiss Recommendations for type 2 diabetes) et européennes (EASD, ESE, workshop international 2022 sur l'hyperparathyroïdie primaire) servent de référence en 2026 pour le diagnostic du diabète (seuils de glycémie et d'HbA1c) et de l'hyperparathyroïdie primaire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A-034  ·  priorité Moyenne  ·  autre</w:t>
            </w:r>
          </w:p>
        </w:tc>
        <w:tc>
          <w:tcPr>
            <w:tcW w:w="11200" w:type="dxa"/>
            <w:shd w:val="clear" w:color="auto" w:fill="EBF5FB"/>
            <w:vAlign w:val="top"/>
          </w:tcPr>
          <w:p>
            <w:pPr>
              <w:spacing w:after="0"/>
            </w:pPr>
            <w:r>
              <w:rPr>
                <w:sz w:val="17"/>
                <w:szCs w:val="17"/>
              </w:rPr>
              <w:t xml:space="preserve">LOT 3 · SSP G3 · LOT_3_Appel_B_V5_Ultra_Pedagogique_Partie_2_D3.3_a_D3.5__export_GoogleDoc.html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D3.4 › 11. Prise en charge › D- Pronostic et Recherche 2026 ; constats L3-M34, L3-L32, L3-M38, L3-L34</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La V5 attribue à un essai bâlois l'efficacité du sémaglutide (Ozempic®/Wegovy®) dans la polydipsie primaire « réfractaire » ; l'audit a vérifié Winzeler JCI 2021 (dulaglutide, 34 patients, 3 semaines). Le cours affirme aussi l'exclusivité de la clozapine sans source.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études (auteur, année, NCT) évaluent en 2026 les agonistes du GLP-1 (dulaglutide, sémaglutide) et la clozapine dans la polydipsie primaire, et une recommandation européenne leur donne-t-elle une place ? Quel est leur statut d'indication en Suisse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A-035  ·  priorité Moyenne  ·  recommandation</w:t>
            </w:r>
          </w:p>
        </w:tc>
        <w:tc>
          <w:tcPr>
            <w:tcW w:w="11200" w:type="dxa"/>
            <w:shd w:val="clear" w:color="auto" w:fill="EBF5FB"/>
            <w:vAlign w:val="top"/>
          </w:tcPr>
          <w:p>
            <w:pPr>
              <w:spacing w:after="0"/>
            </w:pPr>
            <w:r>
              <w:rPr>
                <w:sz w:val="17"/>
                <w:szCs w:val="17"/>
              </w:rPr>
              <w:t xml:space="preserve">LOT 3 · SSP G3 · LOT_3_Appel_B_V5_Ultra_Pedagogique_Partie_2_D3.3_a_D3.5__export_GoogleDoc.html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D3.3 › 11. Prise en charge › B- Moyens (atteintes systémiques) ; constats L3-M42, L3-L42, L3-M43</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présente le rituximab comme traitement du Sjögren sans signaler l'usage hors étiquette et affirme que des essais « valident » l'ianalumab, le dazodalibep et le nipocalimab.</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place la recommandation EULAR la plus récente (2020 ou mise à jour) donne-t-elle au rituximab dans le syndrome de Sjögren, quel est son statut Swissmedic dans cette indication (art. 71a OAMal) et quels essais de phase III (NCT, résultats) concernent l'ianalumab, le dazodalibep et le nipocalimab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A-036  ·  priorité Moyenne  ·  conduite</w:t>
            </w:r>
          </w:p>
        </w:tc>
        <w:tc>
          <w:tcPr>
            <w:tcW w:w="11200" w:type="dxa"/>
            <w:shd w:val="clear" w:color="auto" w:fill="EBF5FB"/>
            <w:vAlign w:val="top"/>
          </w:tcPr>
          <w:p>
            <w:pPr>
              <w:spacing w:after="0"/>
            </w:pPr>
            <w:r>
              <w:rPr>
                <w:sz w:val="17"/>
                <w:szCs w:val="17"/>
              </w:rPr>
              <w:t xml:space="preserve">LOT 3 · SSP G3 · LOT_3_Appel_B_V5_Ultra_Pedagogique_Partie_2_D3.3_a_D3.5__export_GoogleDoc.html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D3.5 › point 11 › B- Moyens non médicamenteux ; constats L3-L37, L3-M52, L3-L36</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reprend un délai d'arrêt périopératoire des gliflozines de 3–4 jours (FDA), affirme sans source un effet correcteur des gliflozines sur l'hyponatrémie de l'IC et un facteur « divise par trois » en D3.5 point 12.</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disent les AIPS suisses de Jardiance® et Forxiga® (mises en garde) et la recommandation suisse ou européenne la plus récente sur l'arrêt des inhibiteurs SGLT2 avant chirurgie ou en situation aiguë (délai, reprise, cétonémie) ? Existe-t-il des données publiées sur l'effet des gliflozines sur la natrémie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A-038  ·  priorité Moyenne  ·  autre</w:t>
            </w:r>
          </w:p>
        </w:tc>
        <w:tc>
          <w:tcPr>
            <w:tcW w:w="11200" w:type="dxa"/>
            <w:shd w:val="clear" w:color="auto" w:fill="EBF5FB"/>
            <w:vAlign w:val="top"/>
          </w:tcPr>
          <w:p>
            <w:pPr>
              <w:spacing w:after="0"/>
            </w:pPr>
            <w:r>
              <w:rPr>
                <w:sz w:val="17"/>
                <w:szCs w:val="17"/>
              </w:rPr>
              <w:t xml:space="preserve">LOT 3 · SSP G3 · LOT_3_Appel_B_V5_Ultra_Pedagogique_Partie_4_D3.8_a_D3.10__export_GoogleDoc.html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D3.9 › 11. Prise en charge › D- Pronostic et Recherche 2026 ; constats L3-M57</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La V5 date de façon erronée la démonstration du déficit en ocytocine dans le déficit en AVP ; l'audit cite Atila, Lancet Diabetes Endocrinol 2023, et un essai de substitution « planifié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essais de substitution par ocytocine dans le déficit en AVP (équipe de Bâle, Christ-Crain) sont enregistrés ou publiés en 2026 (NCT, phase, résultats)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A-039  ·  priorité Critique  ·  dose</w:t>
            </w:r>
          </w:p>
        </w:tc>
        <w:tc>
          <w:tcPr>
            <w:tcW w:w="11200" w:type="dxa"/>
            <w:shd w:val="clear" w:color="auto" w:fill="FADBD8"/>
            <w:vAlign w:val="top"/>
          </w:tcPr>
          <w:p>
            <w:pPr>
              <w:spacing w:after="0"/>
            </w:pPr>
            <w:r>
              <w:rPr>
                <w:sz w:val="17"/>
                <w:szCs w:val="17"/>
              </w:rPr>
              <w:t xml:space="preserve">LOT 4 · SSP G4 · LOT_4_Appel_B_V5_Ultra_Pedagogique_Partie_4_DX.8_a_DX.10__export_GoogleDoc.html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D4.10 › point 10 « Arbre décisionnel » ; constats L4-M55, L4-M56, L4-M57, L4-L26, L4-L27, L4-L28, L4-L68, L4-M74, L4-M58, L4-L29</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Les doses d'hydrocortisone de la crise surrénalienne, du kit d'auto-injection, de la couverture périopératoire et le seuil au-delà duquel la fludrocortisone devient inutile ont disparu (V5 et V6). L'audit propose 100 mg IV puis 200 mg/24 h, kit 100 mg IM/SC, 100 mg à l'induction, ≥ 50 mg/24 h, d'après Husebye 2014, DGE et Bornstein 2016 (Endocrine Society).</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recommandation européenne la plus récente (ESE 2024/2025 sur l'insuffisance surrénalienne, consensus Husebye 2014) ou suisse (SSED) fixe : la dose d'hydrocortisone en crise (bolus, entretien, voie, enfant), le remplissage, la dose du kit d'urgence, la couverture périopératoire selon le type de chirurgie, les règles de maladie et le seuil d'hydrocortisone au-delà duquel la fludrocortisone est superflue ? Quelle présentation de Solu-Cortef® est disponible en Suisse et que dit son AIPS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A-046  ·  priorité Critique  ·  seuil</w:t>
            </w:r>
          </w:p>
        </w:tc>
        <w:tc>
          <w:tcPr>
            <w:tcW w:w="11200" w:type="dxa"/>
            <w:shd w:val="clear" w:color="auto" w:fill="FADBD8"/>
            <w:vAlign w:val="top"/>
          </w:tcPr>
          <w:p>
            <w:pPr>
              <w:spacing w:after="0"/>
            </w:pPr>
            <w:r>
              <w:rPr>
                <w:sz w:val="17"/>
                <w:szCs w:val="17"/>
              </w:rPr>
              <w:t xml:space="preserve">LOT 4 · SSP G4 · LOT_4_Appel_B_V5_Ultra_Pedagogique_Partie_3_DX.6_a_DX.7__export_GoogleDoc.html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D4.6 › point 11.B › ARNI ; constats L4-M38, L4-M39, L4-L20, L4-M40, L4-M44, L4-M45, L4-M54, L4-L48, L4-L49, L4-L50</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présente l'IEC comme alternative à l'ARNI sans le délai de 36 h, a perdu les seuils de kaliémie et de créatinine d'arrêt de l'ARM, fixe une hausse de créatinine tolérée à 30 % et une FC cible de 50–60 bpm, intègre l'omecamtiv mecarbil (demande EMA retirée en 2024). L'audit cite l'ESC 2021.</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règles de titration et de sécurité fixent la recommandation ESC la plus récente sur l'insuffisance cardiaque (2021, mise à jour 2023, et version 2025 si publiée) et les AIPS suisses d'Entresto®, de la spironolactone et de l'éplérénone : délai d'arrêt de l'IEC, dose initiale réduite, seuils de kaliémie et de créatinine pour réduire ou arrêter l'ARM, hausse de créatinine tolérée sous bloqueurs du SRAA, FC seuil pour l'ivabradine ? Quel est le statut Swissmedic de l'omecamtiv mecarbil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A-047  ·  priorité Critique  ·  seuil</w:t>
            </w:r>
          </w:p>
        </w:tc>
        <w:tc>
          <w:tcPr>
            <w:tcW w:w="11200" w:type="dxa"/>
            <w:shd w:val="clear" w:color="auto" w:fill="FADBD8"/>
            <w:vAlign w:val="top"/>
          </w:tcPr>
          <w:p>
            <w:pPr>
              <w:spacing w:after="0"/>
            </w:pPr>
            <w:r>
              <w:rPr>
                <w:sz w:val="17"/>
                <w:szCs w:val="17"/>
              </w:rPr>
              <w:t xml:space="preserve">LOT 4 · SSP G4 · LOT_4_Appel_B_V5_Ultra_Pedagogique_Partie_3_DX.6_a_DX.7__export_GoogleDoc.html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D4.7 › point 11.B › moyens non médicamenteux ; constats L4-M48, L4-L21, L4-M49, L4-L22, L3-M47, L4-M52, L4-M51, L4-L51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Les seuils de DFGe pour la metformine et les conditions d'initiation de la finérénone ont disparu ; LOT_3 (D3.6 › 11.D) donne la dose de finérénone de la néphropathie diabétique au lieu de FINEARTS-HF (20/40 mg selon DFGe) ; Evrenzo® est présenté comme disponible sans statut Swissmedic ; le contraste iodé est dit contre-indiqué de façon absolue. L'audit cite KDIGO 2022 et ESUR 10.0 (2018).</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disent les AIPS suisses de la metformine (seuils de DFGe pour réduire ou arrêter) et de Kerendia® (indications suisses : néphropathie diabétique, insuffisance cardiaque à FEVG ≥ 40 % ; seuils de kaliémie et de DFGe d'initiation et d'arrêt ; doses) ? Evrenzo® (roxadustat) est-il autorisé en Suisse ? Quelle version la plus récente des recommandations ESUR fixe la prévention de la néphropathie aux produits de contraste iodés et le choix du gadolinium selon le DFGe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A-040  ·  priorité Haute  ·  autorisation</w:t>
            </w:r>
          </w:p>
        </w:tc>
        <w:tc>
          <w:tcPr>
            <w:tcW w:w="11200" w:type="dxa"/>
            <w:shd w:val="clear" w:color="auto" w:fill="FDEBD0"/>
            <w:vAlign w:val="top"/>
          </w:tcPr>
          <w:p>
            <w:pPr>
              <w:spacing w:after="0"/>
            </w:pPr>
            <w:r>
              <w:rPr>
                <w:sz w:val="17"/>
                <w:szCs w:val="17"/>
              </w:rPr>
              <w:t xml:space="preserve">LOT 4 · SSP G4 · LOT_4_V6_Enrichi_8plus_Partie_1_Integral.html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D4.10 › Consulter les références et leur portée ; constats L4-M08, L4-M12, L4-M59, L4-M71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diagnostic de l'Addison s'appuie sur l'Endocrine Society ; l'autorisation suisse de Plenadren®, Alkindi® et Efmody® n'est pas vérifiée et le cours affirme sans source qu'Efmody® et les pompes « améliorent considérablement » la fatigue.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critères diagnostiques de l'insuffisance surrénalienne (cortisol basal, test au Synacthène® : dose, temps, seuils selon la méthode de dosage) recommande la source européenne la plus récente ? Plenadren®, Alkindi® et Efmody® sont-ils autorisés par Swissmedic (indication, dose) et quelle étude chiffre leur effet sur la fatigue ou la qualité de vie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A-041  ·  priorité Haute  ·  dose</w:t>
            </w:r>
          </w:p>
        </w:tc>
        <w:tc>
          <w:tcPr>
            <w:tcW w:w="11200" w:type="dxa"/>
            <w:shd w:val="clear" w:color="auto" w:fill="FDEBD0"/>
            <w:vAlign w:val="top"/>
          </w:tcPr>
          <w:p>
            <w:pPr>
              <w:spacing w:after="0"/>
            </w:pPr>
            <w:r>
              <w:rPr>
                <w:sz w:val="17"/>
                <w:szCs w:val="17"/>
              </w:rPr>
              <w:t xml:space="preserve">LOT 4 · SSP G4 · LOT_4_Appel_B_V5_Ultra_Pedagogique_Partie_1_DX.1_a_DX.2__export_GoogleDoc.html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D4.1 › point 11.B › pharmacologie 1re intention ; constats L4-M17, L4-M18, L4-M19, L4-M20, L4-M21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associe Maltofer® au sulfate ferreux, exprime la formule de Ganzoni en g/dL, ne donne ni dose unique maximale ni surveillance de Ferinject®, attribue à l'OFS des prévalences de carence martiale sans publication ; l'audit cite Stoffel 2017 (ETH Zurich) sur l'hepcidine.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posologie de Ferinject® (dose cumulée selon poids et hémoglobine, dose unique maximale, perfusion, surveillance d'hypersensibilité et d'hypophosphatémie) donne l'AIPS suisse ? Quels sels de fer oraux sont commercialisés en Suisse (Tardyferon®, Maltofer®, Ferro sanol®…) avec leur teneur en fer élémentaire, et quel schéma (quotidien ou un jour sur deux) recommande une source suisse (SSH, Swiss Medical Forum) ? Quelles données suisses chiffrent la prévalence de la carence martiale et de l'anémie ferriprive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A-043  ·  priorité Haute  ·  recommandation</w:t>
            </w:r>
          </w:p>
        </w:tc>
        <w:tc>
          <w:tcPr>
            <w:tcW w:w="11200" w:type="dxa"/>
            <w:shd w:val="clear" w:color="auto" w:fill="FDEBD0"/>
            <w:vAlign w:val="top"/>
          </w:tcPr>
          <w:p>
            <w:pPr>
              <w:spacing w:after="0"/>
            </w:pPr>
            <w:r>
              <w:rPr>
                <w:sz w:val="17"/>
                <w:szCs w:val="17"/>
              </w:rPr>
              <w:t xml:space="preserve">LOT 4 · SSP G4 · LOT_4_Appel_B_V5_Ultra_Pedagogique_Partie_2_DX.3_a_DX.5__export_GoogleDoc.html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D4.3 › point 8 « Diagnostic positif et critères » ; constats L4-M27, L4-M28, L4-M29, L4-M30, L4-M31, L4-M75, L4-L44, L4-L45, L4-L73</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fonde le SAOS sur une société américaine, reprend le critère d'observance Medicare (4 h sur 70 % des nuits) comme critère LAMal, attribue une baisse d'IAH au sémaglutide, invoque la LCR sans article et un Epworth ≥ 16 sans source, et présente la stimulation hypoglosse comme recherche ; la V6 a supprimé HypnoLaus.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recommandation de la Société suisse de pneumologie / Société suisse de recherche sur le sommeil définit le diagnostic et le traitement du SAOS (seuils d'IAH, polygraphie ou polysomnographie) ? Quelles conditions de remboursement fixe la MiGeL en vigueur pour la CPAP (essai, observance exigée) ? Quelle directive suisse encadre l'aptitude à la conduite en cas de SAOS (article LCR/OAC, recommandation de la SSMT) ? Le tirzépatide (Mounjaro®/Zepbound®) a-t-il l'indication SAOS en Suisse ? Quelle prévalence donne HypnoLaus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A-048  ·  priorité Haute  ·  seuil</w:t>
            </w:r>
          </w:p>
        </w:tc>
        <w:tc>
          <w:tcPr>
            <w:tcW w:w="11200" w:type="dxa"/>
            <w:shd w:val="clear" w:color="auto" w:fill="FDEBD0"/>
            <w:vAlign w:val="top"/>
          </w:tcPr>
          <w:p>
            <w:pPr>
              <w:spacing w:after="0"/>
            </w:pPr>
            <w:r>
              <w:rPr>
                <w:sz w:val="17"/>
                <w:szCs w:val="17"/>
              </w:rPr>
              <w:t xml:space="preserve">LOT 4 · SSP G4 · LOT_4_Appel_B_V5_Ultra_Pedagogique_Partie_3_DX.6_a_DX.7__export_GoogleDoc.html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D4.7 › point 5 › critères AEIOU ; constats L4-M47, L4-L23, L4-M50</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Les seuils des indications de dialyse urgente (pH, kaliémie) et les définitions KDIGO de la MRC (DFGe, ACR) ont disparu à la conversion ; l'audit propose pH &lt; 7,15 et K+ &gt; 6,5 mmol/L d'après KDIGO 2012, à vérifier.</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seuils (pH, bicarbonate, kaliémie, surcharge, urémie, intoxications dialysables) définissent l'indication de dialyse en urgence selon KDIGO AKI (version la plus récente) ou une source européenne (ERA) ou suisse (SSN), et quelles valeurs de DFGe et d'ACR définissent et font adresser la MRC selon KDIGO 2024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A-050  ·  priorité Haute  ·  recommandation</w:t>
            </w:r>
          </w:p>
        </w:tc>
        <w:tc>
          <w:tcPr>
            <w:tcW w:w="11200" w:type="dxa"/>
            <w:shd w:val="clear" w:color="auto" w:fill="FDEBD0"/>
            <w:vAlign w:val="top"/>
          </w:tcPr>
          <w:p>
            <w:pPr>
              <w:spacing w:after="0"/>
            </w:pPr>
            <w:r>
              <w:rPr>
                <w:sz w:val="17"/>
                <w:szCs w:val="17"/>
              </w:rPr>
              <w:t xml:space="preserve">LOT 4 · SSP G4 · LOT_4_Appel_A_V5_Ultra_Pedagogique_Plan_et_Liste__export_GoogleDoc.html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8 « Diagnostic positif et critères » ; constats L4-M10, L4-M11, L4-M66, L4-M67, L4-M69, L4-L56</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attribue à l'OMS des critères de fatigue chronique, assimile le pacing à l'activité physique graduée, fusionne IOM 2015 (6 mois) et NICE NG206 (3 mois) en les disant « adoptés en Suisse », donne 0,3–0,8 % attribué à l'OFSP avec un calcul faux, et prescrit ivabradine, propranolol et midodrine (Gutron®) dans le POTS sans signaler l'usage hors indication.</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Existe-t-il une recommandation ou prise de position suisse (OFSP, ASSM, Association ME/CFS Suisse, SSMIG) sur le diagnostic et la prise en charge de l'EM/SFC, avec critères et place de l'activité physique ? Quelle prévalence suisse ou européenne est publiée ? Quelle est l'AIPS de Gutron® (indication, dose, contre-indications) et quelle source européenne recommande les traitements du POTS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A-042  ·  priorité Moyenne  ·  recommandation</w:t>
            </w:r>
          </w:p>
        </w:tc>
        <w:tc>
          <w:tcPr>
            <w:tcW w:w="11200" w:type="dxa"/>
            <w:shd w:val="clear" w:color="auto" w:fill="EBF5FB"/>
            <w:vAlign w:val="top"/>
          </w:tcPr>
          <w:p>
            <w:pPr>
              <w:spacing w:after="0"/>
            </w:pPr>
            <w:r>
              <w:rPr>
                <w:sz w:val="17"/>
                <w:szCs w:val="17"/>
              </w:rPr>
              <w:t xml:space="preserve">LOT 4 · SSP G4 · LOT_4_Appel_B_V5_Ultra_Pedagogique_Partie_1_DX.1_a_DX.2__export_GoogleDoc.html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D4.2 › point 2 « Épidémiologie » ; constats L4-M23, L4-M24, L4-M25, L4-L34, L4-L35, L4-L36</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donne une prévalence du burn-out sans source, présente le micro-dosage de psilocybine et Spravato® comme recherche 2026, omet les contre-indications de la sertraline (Zoloft®) et classe mal le PHQ-9.</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données suisses (Job-Stress-Index de Promotion Santé Suisse, Obsan) chiffrent l'épuisement professionnel et la dépression ? Quelles contre-indications, interactions et mises en garde (QT, risque suicidaire &lt; 25 ans, adaptation hépatique) figurent dans l'AIPS de Zoloft® ? Quelles sont les classes validées du PHQ-9 ? Quel est le statut suisse de la psilocybine (usage limité, art. 8 LStup) et de Spravato® en 2026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A-044  ·  priorité Moyenne  ·  recommandation</w:t>
            </w:r>
          </w:p>
        </w:tc>
        <w:tc>
          <w:tcPr>
            <w:tcW w:w="11200" w:type="dxa"/>
            <w:shd w:val="clear" w:color="auto" w:fill="EBF5FB"/>
            <w:vAlign w:val="top"/>
          </w:tcPr>
          <w:p>
            <w:pPr>
              <w:spacing w:after="0"/>
            </w:pPr>
            <w:r>
              <w:rPr>
                <w:sz w:val="17"/>
                <w:szCs w:val="17"/>
              </w:rPr>
              <w:t xml:space="preserve">LOT 4 · SSP G4 · LOT_4_Appel_B_V5_Ultra_Pedagogique_Partie_2_DX.3_a_DX.5__export_GoogleDoc.html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D4.4 › point 11.D « Recherche 2026 » ; constats L4-M33, L4-L41, L4-L46</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présente le génotypage DIO2 et la bithérapie T4/T3 comme validés, qualifie Novothyral® de liothyronine retard, attribue la prévention de la carence en iode à la fluoration et donne un ratio femme/homme 8:1 sans source.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position la plus récente de l'ETA (2012 ou mise à jour) sur la combinaison lévothyroxine-liothyronine et le génotypage DIO2 ? Novothyral® ou une liothyronine sont-ils autorisés en Suisse ? Quelles données suisses chiffrent la prévalence de l'hypothyroïdie et l'iodation du sel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A-045  ·  priorité Moyenne  ·  recommandation</w:t>
            </w:r>
          </w:p>
        </w:tc>
        <w:tc>
          <w:tcPr>
            <w:tcW w:w="11200" w:type="dxa"/>
            <w:shd w:val="clear" w:color="auto" w:fill="EBF5FB"/>
            <w:vAlign w:val="top"/>
          </w:tcPr>
          <w:p>
            <w:pPr>
              <w:spacing w:after="0"/>
            </w:pPr>
            <w:r>
              <w:rPr>
                <w:sz w:val="17"/>
                <w:szCs w:val="17"/>
              </w:rPr>
              <w:t xml:space="preserve">LOT 4 · SSP G4 · LOT_4_Appel_B_V5_Ultra_Pedagogique_Partie_2_DX.3_a_DX.5__export_GoogleDoc.html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D4.5 › point 11.D « Recherche 2026 » ; constats L4-M35, L4-M36</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attribue à la SSI des critères de Hoagland et annonce des vaccins ARNm contre l'EBV en phase II/III sans NCT.</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critères diagnostiques de la mononucléose infectieuse (clinique, lymphocytose atypique, sérologie VCA/EBNA) recommande une source suisse ou européenne récente ? Quels essais vaccinaux contre l'EBV (NCT, phase) existent en 2026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A-049  ·  priorité Moyenne  ·  recommandation</w:t>
            </w:r>
          </w:p>
        </w:tc>
        <w:tc>
          <w:tcPr>
            <w:tcW w:w="11200" w:type="dxa"/>
            <w:shd w:val="clear" w:color="auto" w:fill="EBF5FB"/>
            <w:vAlign w:val="top"/>
          </w:tcPr>
          <w:p>
            <w:pPr>
              <w:spacing w:after="0"/>
            </w:pPr>
            <w:r>
              <w:rPr>
                <w:sz w:val="17"/>
                <w:szCs w:val="17"/>
              </w:rPr>
              <w:t xml:space="preserve">LOT 4 · SSP G4 · LOT_4_Appel_B_V5_Ultra_Pedagogique_Partie_4_DX.8_a_DX.10__export_GoogleDoc.html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D4.8 › point 11.B › fatigue oncologique ; constats L4-M62, L4-M63, L4-M64, L4-L52, L4-L53</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prescrit dexaméthasone et méthylphénidate dans la fatigue oncologique sans signaler l'usage hors indication, présente vaccins ARNm et anti-GDF-15 comme routiniers, donne des prévalences sans source et confond les critères IMWG du myélome. L'audit cite ESMO 2020 et Groarke NEJM 2024.</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recommande la version la plus récente de l'ESMO sur la fatigue liée au cancer (2020 ou ultérieure) : dexaméthasone (dose, durée), méthylphénidate (statut hors indication en Suisse), activité physique ? Quels sont les critères IMWG actuels du myélome (CRAB, SLiM) ? Quel est le stade de développement du ponsegromab (NCT)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A-051  ·  priorité Moyenne  ·  épidémiologie</w:t>
            </w:r>
          </w:p>
        </w:tc>
        <w:tc>
          <w:tcPr>
            <w:tcW w:w="11200" w:type="dxa"/>
            <w:shd w:val="clear" w:color="auto" w:fill="EBF5FB"/>
            <w:vAlign w:val="top"/>
          </w:tcPr>
          <w:p>
            <w:pPr>
              <w:spacing w:after="0"/>
            </w:pPr>
            <w:r>
              <w:rPr>
                <w:sz w:val="17"/>
                <w:szCs w:val="17"/>
              </w:rPr>
              <w:t xml:space="preserve">LOT 4 · SSP G4 · LOT_4_Appel_A_V5_Ultra_Pedagogique_Plan_et_Liste__export_GoogleDoc.html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D4.1 à D4.10 › badges de fréquence (10 occurrences) ; constats L4-M09, L4-M14, L4-M15, L4-M16</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Les badges de fréquence des 10 DX (25 % à 0,5 %) et la prévalence de la fatigue en consultation n'ont aucune source ; la liste des drapeaux rouges est incomplète ; seuls Hb, VGM et ferritine ont un tableau. L'audit cite Stadje BMC Fam Pract 2016.</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études suisses ou européennes de soins primaires chiffrent la fatigue comme motif de consultation et la fréquence de ses causes (anémie, dépression, SAOS, hypothyroïdie, cancer…) ? Quelle recommandation de médecine de famille (SSMIG, DEGAM S3 « Müdigkeit ») fixe le bilan minimal et les drapeaux rouges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A-054  ·  priorité Critique  ·  dose</w:t>
            </w:r>
          </w:p>
        </w:tc>
        <w:tc>
          <w:tcPr>
            <w:tcW w:w="11200" w:type="dxa"/>
            <w:shd w:val="clear" w:color="auto" w:fill="FADBD8"/>
            <w:vAlign w:val="top"/>
          </w:tcPr>
          <w:p>
            <w:pPr>
              <w:spacing w:after="0"/>
            </w:pPr>
            <w:r>
              <w:rPr>
                <w:sz w:val="17"/>
                <w:szCs w:val="17"/>
              </w:rPr>
              <w:t xml:space="preserve">LOT 5 · SSP G5 · LOT_5_Appel_B_V5_Ultra_Pedagogique_Partie_2_DX.3_a_DX.5__export_GoogleDoc.html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D5.4 › point 11.B › Hyperkaliémie menaçante › gluconate de calcium ; constats L5-M21, L5-M22, L5-L62, L5-M23, L5-L61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donne 10 mL de gluconate de calcium 10 % (≈ 2,2 mmol), 10 UI d'insuline avec 100 g de glucose et attribue le sel calcique à Resonium® A (sel sodique). L'audit cite l'ERC 2021 relu via des synthèses secondaires (30 mL de gluconate 10 %, 25 g de glucose).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recommande la version la plus récente de l'ERC (Guidelines 2025, circonstances particulières) et de la recommandation européenne ou suisse sur l'hyperkaliémie (ERA, protocole d'un hôpital universitaire suisse) : dose de gluconate ou chlorure de calcium, insuline-glucose (UI, grammes, surveillance glycémique), salbutamol, bicarbonate, résines (polystyrène sulfonate sodique ou calcique), patiromer (Veltassa®) et cyclosilicate de zirconium (Lokelma®) ? Quelles résines sont autorisées en Suisse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A-052  ·  priorité Haute  ·  dose</w:t>
            </w:r>
          </w:p>
        </w:tc>
        <w:tc>
          <w:tcPr>
            <w:tcW w:w="11200" w:type="dxa"/>
            <w:shd w:val="clear" w:color="auto" w:fill="FDEBD0"/>
            <w:vAlign w:val="top"/>
          </w:tcPr>
          <w:p>
            <w:pPr>
              <w:spacing w:after="0"/>
            </w:pPr>
            <w:r>
              <w:rPr>
                <w:sz w:val="17"/>
                <w:szCs w:val="17"/>
              </w:rPr>
              <w:t xml:space="preserve">LOT 5 · SSP G5 · LOT_5_Appel_B_V5_Ultra_Pedagogique_Partie_1_DX.1_a_DX.2__export_GoogleDoc.html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D5.1 › point 11.B › antiviraux › Oseltamivir ; constats L5-M10, L5-M11, L5-M12, L5-M13, L5-L37, L5-L39</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L'adaptation rénale de l'oseltamivir est fausse, celle du nirmatrelvir/ritonavir manque (relues dans les RCP européens, à confirmer dans l'AIPS) ; le cours affirme un vaccin combiné ARNm grippe/COVID-19 au plan suisse 2026 et des chiffres Sentinella (35 %) sans bulletin.</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adaptations rénales et doses donnent les AIPS suisses de Tamiflu® (oseltamivir) et de Paxlovid® (DFGe, hémodialyse, enfant) ? Quelles indications de traitement antiviral de la grippe et de la COVID-19 recommandent l'OFSP et la SSI en 2026 ? Un vaccin combiné grippe/COVID-19 est-il autorisé par Swissmedic ou recommandé par l'OFSP/CFV ? Quels chiffres Sentinella de la dernière saison donnent les consultations pour syndrome grippal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A-053  ·  priorité Haute  ·  seuil</w:t>
            </w:r>
          </w:p>
        </w:tc>
        <w:tc>
          <w:tcPr>
            <w:tcW w:w="11200" w:type="dxa"/>
            <w:shd w:val="clear" w:color="auto" w:fill="FDEBD0"/>
            <w:vAlign w:val="top"/>
          </w:tcPr>
          <w:p>
            <w:pPr>
              <w:spacing w:after="0"/>
            </w:pPr>
            <w:r>
              <w:rPr>
                <w:sz w:val="17"/>
                <w:szCs w:val="17"/>
              </w:rPr>
              <w:t xml:space="preserve">LOT 5 · SSP G5 · LOT_5_Appel_B_V5_Ultra_Pedagogique_Partie_1_DX.1_a_DX.2__export_GoogleDoc.html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D5.2 › Fenêtre 3.2 › tableau › ligne Score ACB ; constats L5-M15, L5-M16, L5-M17, L5-L42, L5-L43, L5-L44, L5-L40, L5-L41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Periactin® (cyproheptadine) sans statut suisse vérifié (compendium inaccessible), résume mal les critères de Hunter (texte non relu), attribue 50 % au score ACB ≥ 3, donne un seuil de digoxine probablement en mauvaise unité, des prévalences d'effets indésirables attribuées à « Swissmedic et SSMIG » et un passeport pharmacogénétique suisse 2026 sans source.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La cyproheptadine est-elle autorisée en Suisse (spécialité, importation, recommandation de Tox Info Suisse) et à quelle dose traite-t-on un syndrome sérotoninergique ? Quels sont les critères de Hunter exacts ? Quel est l'intervalle thérapeutique et toxique de la digoxine en nmol/L selon l'AIPS suisse ? Quelles données suisses chiffrent les hospitalisations liées aux effets indésirables médicamenteux et quel est l'état de la pharmacogénétique en Suisse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A-055  ·  priorité Haute  ·  recommandation</w:t>
            </w:r>
          </w:p>
        </w:tc>
        <w:tc>
          <w:tcPr>
            <w:tcW w:w="11200" w:type="dxa"/>
            <w:shd w:val="clear" w:color="auto" w:fill="FDEBD0"/>
            <w:vAlign w:val="top"/>
          </w:tcPr>
          <w:p>
            <w:pPr>
              <w:spacing w:after="0"/>
            </w:pPr>
            <w:r>
              <w:rPr>
                <w:sz w:val="17"/>
                <w:szCs w:val="17"/>
              </w:rPr>
              <w:t xml:space="preserve">LOT 5 · SSP G5 · LOT_5_Appel_A_V5_Ultra_Pedagogique_Plan_et_Liste__export_GoogleDoc.html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3 › Fenêtre 3.1 qSOFA &amp; NEWS-2 › explicitation ; constats L5-M07, L5-M08, L5-M09, L5-M27, L5-M30, L5-M31, L5-M32, L5-L63, L5-L28</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présente le qSOFA comme outil de dépistage, emploie « sepsis sévère », donne des seuils rénaux SOFA faux, cite Fortum® (spécialité suisse : Fortam®), et affirme un triage suisse 2026 par suPAR/MR-proADM et une identification BioFire en &lt; 1 h sans source. L'audit cite la Surviving Sepsis Campaign 2026.</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sont les recommandations les plus récentes (Surviving Sepsis Campaign 2026, recommandations suisses SSMI/SSI ou plan sepsis suisse) sur le dépistage (NEWS2, qSOFA), l'antibiothérapie probabiliste dans l'heure, le remplissage et les vasopresseurs ? Quelle dose de ceftazidime (Fortam®) donne l'AIPS suisse ? Le suPAR, la MR-proADM et les panels moléculaires rapides ont-ils une place recommandée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A-057  ·  priorité Haute  ·  recommandation</w:t>
            </w:r>
          </w:p>
        </w:tc>
        <w:tc>
          <w:tcPr>
            <w:tcW w:w="11200" w:type="dxa"/>
            <w:shd w:val="clear" w:color="auto" w:fill="FDEBD0"/>
            <w:vAlign w:val="top"/>
          </w:tcPr>
          <w:p>
            <w:pPr>
              <w:spacing w:after="0"/>
            </w:pPr>
            <w:r>
              <w:rPr>
                <w:sz w:val="17"/>
                <w:szCs w:val="17"/>
              </w:rPr>
              <w:t xml:space="preserve">LOT 5 · SSP G5 · LOT_5_Appel_B_V5_Ultra_Pedagogique_Partie_3_DX.6_a_DX.7__export_GoogleDoc.html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D5.6 › point 12 Prévention ; constats L5-M35, L5-M36, L5-M38, L5-L75, L5-L76, L5-L78, L5-L81, L5-L82</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Lipitor® (spécialité suisse : Sortis®), Aspirine Cardio® en IV, des proportions de SCA attribuées à des registres SSC/ESC non identifiés et contradictoires, des délais de coronarographie non lus dans l'ESC 2023 et confond Wellens et de Winter.</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recommande la version la plus récente de l'ESC sur les syndromes coronariens aigus (2023 ou ultérieure) : dose orale et IV d'acide acétylsalicylique (spécialité IV suisse, p. ex. Aspégic®), délais de coronarographie (immédiate, &lt; 24 h, sélective), aspects ECG à haut risque (Wellens, de Winter) ? Quelles données du registre suisse AMIS Plus décrivent la répartition STEMI/NSTEMI et la mortalité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A-058  ·  priorité Haute  ·  conduite</w:t>
            </w:r>
          </w:p>
        </w:tc>
        <w:tc>
          <w:tcPr>
            <w:tcW w:w="11200" w:type="dxa"/>
            <w:shd w:val="clear" w:color="auto" w:fill="FDEBD0"/>
            <w:vAlign w:val="top"/>
          </w:tcPr>
          <w:p>
            <w:pPr>
              <w:spacing w:after="0"/>
            </w:pPr>
            <w:r>
              <w:rPr>
                <w:sz w:val="17"/>
                <w:szCs w:val="17"/>
              </w:rPr>
              <w:t xml:space="preserve">LOT 5 · SSP G5 · LOT_5_Appel_B_V5_Ultra_Pedagogique_Partie_3_DX.6_a_DX.7__export_GoogleDoc.html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D5.7 › Fenêtre 3.7 › explicitation des critères ; constats L5-M33, L5-M39, L5-M40, L5-L77, L5-L83, L6-M16</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LOT_5 (D5.7) présente les critères ACR 1990 sous l'étiquette ACR/EULAR 2022, attribue 70 % de rémission au tocilizumab en 1re ligne, cite Mepram® (non retrouvé) et une incidence sans source. LOT_6 (D6.8 › point 9) ne dit pas que la corticothérapie précède la biopsie ; l'audit cite EULAR 2018 (prednisone 40–60 mg/j, bolus de méthylprednisolone).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recommande la version la plus récente de l'EULAR sur les vascularites des gros vaisseaux (2018 ou mise à jour) pour l'artérite à cellules géantes : dose initiale de prednisone, bolus IV en cas de perte visuelle, délai de la biopsie ou de l'échographie, décroissance, place du tocilizumab (indication et limitation suisses, résultats GiACTA) et prophylaxie gastrique ? Quelle incidence européenne est publiée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A-059  ·  priorité Haute  ·  dose</w:t>
            </w:r>
          </w:p>
        </w:tc>
        <w:tc>
          <w:tcPr>
            <w:tcW w:w="11200" w:type="dxa"/>
            <w:shd w:val="clear" w:color="auto" w:fill="FDEBD0"/>
            <w:vAlign w:val="top"/>
          </w:tcPr>
          <w:p>
            <w:pPr>
              <w:spacing w:after="0"/>
            </w:pPr>
            <w:r>
              <w:rPr>
                <w:sz w:val="17"/>
                <w:szCs w:val="17"/>
              </w:rPr>
              <w:t xml:space="preserve">LOT 5 · SSP G5 · LOT_5_Appel_B_V5_Ultra_Pedagogique_Partie_4_DX.8_a_DX.10__export_GoogleDoc__v2.html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D5.9 › point 11.B.2 › Endocardite à Staphylococcus aureus ; constats L5-M45, L5-M47, L5-L97, L5-L98, L5-L99, L5-L104, L5-L102, L6-M24</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associe un aminoside à l'endocardite staphylococcique sur valve native, cite Orbénine® (spécialité française ; en Suisse Floxapen®), mélange les schémas streptococciques de 2 et 4 semaines, annonce des « scores d'Eichhorn » et une ESC « 2025 » introuvables, présente la phagothérapie comme établie et donne une incidence suisse sans source. LOT_6 (D6.6 › point 12) ne nomme ni patients à haut risque ni schéma de prophylaxie ; l'audit cite Sendi et al., Swiss Med Wkly 2021 (SSI/SSC) et l'ESC 2023.</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schémas antibiotiques recommande la version la plus récente de l'ESC sur l'endocardite (2023 ou ultérieure) : streptocoques (2 ou 4 semaines, critères), Staphylococcus aureus sur valve native et prothèse (flucloxacilline, rifampicine, gentamicine) ? Quelle dose de flucloxacilline (Floxapen®) donne l'AIPS suisse ? Quelle est l'incidence de l'endocardite en Suisse et quel essai de phagothérapie existe (NCT) ? La recommandation suisse de prophylaxie de l'endocardite (Sendi 2021) a-t-elle été mise à jour, et diffère-t-elle de l'ESC 2023 (patients à haut risque, gestes, amoxicilline 2 g, alternative en cas d'allergie)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A-060  ·  priorité Haute  ·  conduite</w:t>
            </w:r>
          </w:p>
        </w:tc>
        <w:tc>
          <w:tcPr>
            <w:tcW w:w="11200" w:type="dxa"/>
            <w:shd w:val="clear" w:color="auto" w:fill="FDEBD0"/>
            <w:vAlign w:val="top"/>
          </w:tcPr>
          <w:p>
            <w:pPr>
              <w:spacing w:after="0"/>
            </w:pPr>
            <w:r>
              <w:rPr>
                <w:sz w:val="17"/>
                <w:szCs w:val="17"/>
              </w:rPr>
              <w:t xml:space="preserve">LOT 5 · SSP G5 · LOT_5_Appel_B_V5_Ultra_Pedagogique_Partie_4_DX.8_a_DX.10__export_GoogleDoc__v2.html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D5.10 › Fenêtre 3.10 › exemple clinique › prise en charge ; constats L5-M48, L5-M49, L5-M50, L5-M53, L5-L103, L5-L107, L5-L108</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propose l'oxygène normobare seul avec une HbCO de 28–34 % alors que son tableau fixe l'OHB au-delà de 25 %, cite des chiffres de Tox Info Suisse incohérents, rend les détecteurs de CO « obligatoires » et ne cite que le CDC. L'audit cite l'ECHM 2016 relu via synthèses.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critères d'oxygénothérapie hyperbare dans l'intoxication au CO fixe la conférence de consensus européenne la plus récente (ECHM 2016 ou ultérieure) et quelle conduite recommande Tox Info Suisse (grossesse, enfant, durée d'O2 normobare) ? Quels centres hyperbares suisses sont disponibles ? Combien de cas d'intoxication au CO rapporte le dernier rapport annuel de Tox Info Suisse ? Une base légale suisse ou cantonale impose-t-elle des détecteurs de CO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A-056  ·  priorité Moyenne  ·  épidémiologie</w:t>
            </w:r>
          </w:p>
        </w:tc>
        <w:tc>
          <w:tcPr>
            <w:tcW w:w="11200" w:type="dxa"/>
            <w:shd w:val="clear" w:color="auto" w:fill="EBF5FB"/>
            <w:vAlign w:val="top"/>
          </w:tcPr>
          <w:p>
            <w:pPr>
              <w:spacing w:after="0"/>
            </w:pPr>
            <w:r>
              <w:rPr>
                <w:sz w:val="17"/>
                <w:szCs w:val="17"/>
              </w:rPr>
              <w:t xml:space="preserve">LOT 5 · SSP G5 · LOT_5_Appel_A_V5_Ultra_Pedagogique_Plan_et_Liste__export_GoogleDoc.html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badges des DX.1 à DX.10 ; constats L5-M04, L5-M06, L5-L24, L5-L25, L5-L55, L5-L56, L5-L57</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Les badges des 10 DX totalisent exactement 100 % ; les chiffres 8–15 %, &gt; 20 %, &gt; 30 % sont attribués à la SSMIG et à la Revue Médicale Suisse ; ceux du sepsis, du trouble panique et des troubles électrolytiques à la SSI, la SSCM, l'OFSP, la SSPP et la SSN, sans document.</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données suisses ou européennes chiffrent : les motifs « malaise / sensation de maladie » en soins primaires, l'incidence et la mortalité du sepsis en Suisse (OFS, plan national), la prévalence du trouble panique (Obsan, ESS) et la fréquence de l'hyponatrémie chez les patients hospitalisés ? Donne année, population et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A-061  ·  priorité Moyenne  ·  recommandation</w:t>
            </w:r>
          </w:p>
        </w:tc>
        <w:tc>
          <w:tcPr>
            <w:tcW w:w="11200" w:type="dxa"/>
            <w:shd w:val="clear" w:color="auto" w:fill="EBF5FB"/>
            <w:vAlign w:val="top"/>
          </w:tcPr>
          <w:p>
            <w:pPr>
              <w:spacing w:after="0"/>
            </w:pPr>
            <w:r>
              <w:rPr>
                <w:sz w:val="17"/>
                <w:szCs w:val="17"/>
              </w:rPr>
              <w:t xml:space="preserve">LOT 5 · SSP G5 · LOT_5_Appel_B_V5_Ultra_Pedagogique_Partie_4_DX.8_a_DX.10__export_GoogleDoc__v2.html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D5.8 › 10. Arbre décisionnel ; constats L5-L96, L5-L100, L5-L101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traitement de l'hypoglycémie de l'arbre D5.8 est illisible ; le pourcentage de réduction du délirium par un programme de prévention et les fréquences attribuées à la SPSG n'ont pas de source.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recommandation suisse ou européenne la plus récente (SPSG, European Delirium Association, NICE CG103 en comparaison) fixe la prévention et le dépistage du délirium (4AT, CAM) ? Quelles données chiffrent l'effet des programmes multicomposantes (HELP) et la prévalence du délirium à l'hôpital en Suisse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A-062  ·  priorité Moyenne  ·  recommandation</w:t>
            </w:r>
          </w:p>
        </w:tc>
        <w:tc>
          <w:tcPr>
            <w:tcW w:w="11200" w:type="dxa"/>
            <w:shd w:val="clear" w:color="auto" w:fill="EBF5FB"/>
            <w:vAlign w:val="top"/>
          </w:tcPr>
          <w:p>
            <w:pPr>
              <w:spacing w:after="0"/>
            </w:pPr>
            <w:r>
              <w:rPr>
                <w:sz w:val="17"/>
                <w:szCs w:val="17"/>
              </w:rPr>
              <w:t xml:space="preserve">LOT 5 · SSP G5 · LOT_5_Appel_B_V5_Ultra_Pedagogique_Partie_2_DX.3_a_DX.5__export_GoogleDoc.html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D5.3 › 1. Définition et sémantique de la plainte ; constats L5-L59, L5-L60</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définit le trouble à symptomatologie somatique par l'absence de substrat organique et le pic d'attaque de panique par « &lt; 10 minutes » (DSM-IV) ; l'audit renvoie à la CIM-11 non relue.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définitions la CIM-11 (6C20 trouble de détresse corporelle ; 6B01 trouble panique) et le DSM-5-TR donnent-elles, et quelle recommandation suisse ou européenne traite leur prise en charge (benzodiazépine de courte durée, ISRS, psychothérapie)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A-063  ·  priorité Critique  ·  dose</w:t>
            </w:r>
          </w:p>
        </w:tc>
        <w:tc>
          <w:tcPr>
            <w:tcW w:w="11200" w:type="dxa"/>
            <w:shd w:val="clear" w:color="auto" w:fill="FADBD8"/>
            <w:vAlign w:val="top"/>
          </w:tcPr>
          <w:p>
            <w:pPr>
              <w:spacing w:after="0"/>
            </w:pPr>
            <w:r>
              <w:rPr>
                <w:sz w:val="17"/>
                <w:szCs w:val="17"/>
              </w:rPr>
              <w:t xml:space="preserve">LOT 6 · SSP G6 · LOT_6_Appel_B_V5_Ultra_Pedagogique_Partie_3_DX.5_a_DX.7__export_GoogleDoc.html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Appel B V5 Partie 3 › D6.5 › point 11.B › « Corticothérapie préalable anti-inflammatoire » ; constats L6-M04, L6-L34, L6-M11, L6-L16, L6-L41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La V5 donne la dexaméthasone 10 mg sans rythme (lue 10 mg/j), la vancomycine sans dose, l'ampicilline IM devant un purpura fulminans ; la V6 n'a aucune molécule ni dose. L'audit cite la DGN/AWMF 2023 et l'ESCMID 2016 lue via résumé secondaire.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recommandation la plus récente (ESCMID, DGN/AWMF 2023, SSI/guidelines.ch) pour la méningite bactérienne communautaire de l'adulte : délai, antibiothérapie probabiliste (ceftriaxone, amoxicilline/ampicilline selon âge et immunodépression, vancomycine : indication et dose), dexaméthasone (dose, rythme, durée, arrêt), conduite pré-hospitalière devant un purpura fulminans ; et pour l'encéphalite herpétique (aciclovir : dose et adaptation rénale selon l'AIPS)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A-064  ·  priorité Critique  ·  autorisation</w:t>
            </w:r>
          </w:p>
        </w:tc>
        <w:tc>
          <w:tcPr>
            <w:tcW w:w="11200" w:type="dxa"/>
            <w:shd w:val="clear" w:color="auto" w:fill="FADBD8"/>
            <w:vAlign w:val="top"/>
          </w:tcPr>
          <w:p>
            <w:pPr>
              <w:spacing w:after="0"/>
            </w:pPr>
            <w:r>
              <w:rPr>
                <w:sz w:val="17"/>
                <w:szCs w:val="17"/>
              </w:rPr>
              <w:t xml:space="preserve">LOT 6 · SSP G6 · LOT_6_Appel_B_V5_Ultra_Pedagogique_Partie_4_DX.8_a_DX.10__export_GoogleDoc.html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Appel B V5 Partie 4 › D6.10 › fenêtre 6.10 « Critères de gravité du paludisme (OMS) » ; constats L6-M05, L6-M17</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La V5 attribue à l'OMS une hyperparasitémie de 2 % ; la V6 n'a ni critères de gravité, ni dose d'artésunate, ni statut d'autorisation suisse, ni traitement de l'accès simple. L'audit cite l'OMS et l'EPAR Artesunate Amivas.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critères de gravité du paludisme à P. falciparum retiennent l'OMS et les recommandations européennes ou suisses pour voyageurs (seuil d'hyperparasitémie) ? L'artésunate IV est-il autorisé par Swissmedic ou disponible par importation (pharmacie de garde, réseau suisse), à quelle dose et quel suivi (hémolyse retardée) ? Quels traitements de l'accès simple (Riamet®, Malarone®) et quelles doses recommandent l'OFSP / Swiss TPH ? Combien de cas de paludisme importé déclare l'OFSP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A-065  ·  priorité Haute  ·  conduite</w:t>
            </w:r>
          </w:p>
        </w:tc>
        <w:tc>
          <w:tcPr>
            <w:tcW w:w="11200" w:type="dxa"/>
            <w:shd w:val="clear" w:color="auto" w:fill="FDEBD0"/>
            <w:vAlign w:val="top"/>
          </w:tcPr>
          <w:p>
            <w:pPr>
              <w:spacing w:after="0"/>
            </w:pPr>
            <w:r>
              <w:rPr>
                <w:sz w:val="17"/>
                <w:szCs w:val="17"/>
              </w:rPr>
              <w:t xml:space="preserve">LOT 6 · SSP G6 · LOT_6_V6_Enrichi_8plus_Partie_1_Integral.html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V6 › D6.9 › point 5 « Anamnèse et drapeaux rouges » ; constats L6-M15</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La neutropénie fébrile n'est ni définie ni associée à sa conduite ; l'audit cite l'ESMO 2016 (neutrophiles &lt; 0,5 G/L, T &gt; 38,3 °C ou 2 × &gt; 38,0 °C, bêtalactamine antipseudomonas dans l'heure).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La recommandation ESMO sur la neutropénie fébrile a-t-elle été mise à jour après 2016 ? Quelle définition, quel score de risque (MASCC) et quelle antibiothérapie probabiliste (molécule, dose, délai) recommandent l'ESMO récente et la SSI ou un centre suisse d'oncologie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A-066  ·  priorité Haute  ·  dose</w:t>
            </w:r>
          </w:p>
        </w:tc>
        <w:tc>
          <w:tcPr>
            <w:tcW w:w="11200" w:type="dxa"/>
            <w:shd w:val="clear" w:color="auto" w:fill="FDEBD0"/>
            <w:vAlign w:val="top"/>
          </w:tcPr>
          <w:p>
            <w:pPr>
              <w:spacing w:after="0"/>
            </w:pPr>
            <w:r>
              <w:rPr>
                <w:sz w:val="17"/>
                <w:szCs w:val="17"/>
              </w:rPr>
              <w:t xml:space="preserve">LOT 6 · SSP G6 · LOT_6_V6_Enrichi_8plus_Partie_1_Integral.html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V6 › SSP G6 › point 11.B « Moyens » (même défaut dans les 11 points 11.B) ; constats L6-M10, L6-L15, L6-M14, L6-L25, L6-M23</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Aucun des 11 points 11.B ne décrit un médicament (paracétamol, antibiotiques de la pneumonie, de la pyélonéphrite, de l'érysipèle, de l'arthrite septique) ; le CURB-65 est cité sans items ; le seuil leucocytaire du liquide synovial est vague. L'audit cite Lim 2003 et Margaretten 2007.</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antibiothérapies (molécule, dose, durée) recommandent les guidelines SSI (ssi.guidelines.ch) en vigueur pour la pneumonie communautaire, la pyélonéphrite, l'érysipèle et l'arthrite septique de l'adulte, et quels scores de gravité (CURB-65, PSI) utilisent-elles ? Quelle dose maximale de paracétamol (Dafalgan®) et quelles réductions (hépatopathie, &lt; 50 kg) prévoit l'AIPS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A-069  ·  priorité Haute  ·  recommandation</w:t>
            </w:r>
          </w:p>
        </w:tc>
        <w:tc>
          <w:tcPr>
            <w:tcW w:w="11200" w:type="dxa"/>
            <w:shd w:val="clear" w:color="auto" w:fill="FDEBD0"/>
            <w:vAlign w:val="top"/>
          </w:tcPr>
          <w:p>
            <w:pPr>
              <w:spacing w:after="0"/>
            </w:pPr>
            <w:r>
              <w:rPr>
                <w:sz w:val="17"/>
                <w:szCs w:val="17"/>
              </w:rPr>
              <w:t xml:space="preserve">LOT 6 · SSP G6 · LOT_6_Appel_A_V5_Ultra_Pedagogique_Plan_et_Liste__export_GoogleDoc.html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Appel A V5 › Bloc 1 › point 12 Prévention ; constats L6-L37</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L'Appel A écrit une vaccination antipneumococcique annuelle ; l'audit cite le Plan de vaccination suisse 2024 et le Bulletin OFSP 4/2024 (dose unique de vaccin conjugué dès 65 ans et chez les personnes à risque).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recommande le Plan de vaccination suisse en vigueur (OFSP/CFV, édition 2025 ou 2026) pour la vaccination contre les pneumocoques (vaccin conjugué PCV15, PCV20 ou PCV21, âge, groupes à risque, nombre de doses, rappel) et contre la grippe (groupes cibles, période) ? Quelles différences avec l'édition 2024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A-067  ·  priorité Moyenne  ·  seuil</w:t>
            </w:r>
          </w:p>
        </w:tc>
        <w:tc>
          <w:tcPr>
            <w:tcW w:w="11200" w:type="dxa"/>
            <w:shd w:val="clear" w:color="auto" w:fill="EBF5FB"/>
            <w:vAlign w:val="top"/>
          </w:tcPr>
          <w:p>
            <w:pPr>
              <w:spacing w:after="0"/>
            </w:pPr>
            <w:r>
              <w:rPr>
                <w:sz w:val="17"/>
                <w:szCs w:val="17"/>
              </w:rPr>
              <w:t xml:space="preserve">LOT 6 · SSP G6 · LOT_6_V6_Enrichi_8plus_Partie_1_Integral.html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V6 › SSP G6 › point 8 « Critères » ; constats L6-M18, L6-L17, L6-L23</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point 8 ne donne ni seuil de fièvre par site de mesure, ni définition chiffrée de la fièvre d'origine inconnue, ni valeur pour une « CRP basse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seuils de fièvre par site de mesure (rectal, buccal, tympanique, axillaire) et quelle définition actuelle de la fièvre d'origine inconnue (durée, bilan minimal) retiennent les sources européennes les plus récentes (Bleeker-Rovers, recommandations néerlandaises ou suisses)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A-068  ·  priorité Moyenne  ·  épidémiologie</w:t>
            </w:r>
          </w:p>
        </w:tc>
        <w:tc>
          <w:tcPr>
            <w:tcW w:w="11200" w:type="dxa"/>
            <w:shd w:val="clear" w:color="auto" w:fill="EBF5FB"/>
            <w:vAlign w:val="top"/>
          </w:tcPr>
          <w:p>
            <w:pPr>
              <w:spacing w:after="0"/>
            </w:pPr>
            <w:r>
              <w:rPr>
                <w:sz w:val="17"/>
                <w:szCs w:val="17"/>
              </w:rPr>
              <w:t xml:space="preserve">LOT 6 · SSP G6 · LOT_6_V6_Enrichi_8plus_Partie_1_Integral.html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V6 › SSP G6 › point 2 « Épidémiologie » (11 occurrences de « donnée non trouvée », HELP Q23 à Q43) ; constats L6-M21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L'épidémiologie est « donnée non trouvée » dans les 11 monographies alors que l'OFSP publie des chiffres de déclaration obligatoire ; l'audit ne les a pas recopiés.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nombres annuels de cas (dernière année disponible) publie l'OFSP pour le paludisme importé, les méningococcies et pneumococcies invasives, la salmonellose, la campylobactériose, la tuberculose et la grippe (Sentinella) ? Donne l'URL et l'année.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A-071  ·  priorité Critique  ·  dose</w:t>
            </w:r>
          </w:p>
        </w:tc>
        <w:tc>
          <w:tcPr>
            <w:tcW w:w="11200" w:type="dxa"/>
            <w:shd w:val="clear" w:color="auto" w:fill="FADBD8"/>
            <w:vAlign w:val="top"/>
          </w:tcPr>
          <w:p>
            <w:pPr>
              <w:spacing w:after="0"/>
            </w:pPr>
            <w:r>
              <w:rPr>
                <w:sz w:val="17"/>
                <w:szCs w:val="17"/>
              </w:rPr>
              <w:t xml:space="preserve">LOT 7 · SSP G7 · LOT_7_Appel_A_V5_Ultra_Pedagogique_Plan_et_Liste.html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11.B › fenêtre « Le dispositif et la pharmacologie répondent à des questions différentes » › dernier paragraphe ; constats L7-M06, L7-M07, L7-M08</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L'AIPS Epipen® (septembre 2025) et Adrenalin Sintetica® (novembre 2024) ont été lues ; il manque les doses pédiatriques, la prescription de deux auto-injecteurs, la demi-dose sous antidépresseurs tricycliques ou bêtabloquants, ainsi que le positionnement, l'oxygène, le remplissage et les traitements de 2e ligne (EAACI 2021, HUG 2025).</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recommandent la version la plus récente de l'EAACI sur l'anaphylaxie (2021 ou ultérieure), les recommandations suisses (SSAI, HUG) et l'ERC 2025 : dose d'adrénaline IM adulte et enfant, répétition, perfusion IV, positionnement, remplissage (volume), place et doses des antihistaminiques et corticoïdes, glucagon sous bêtabloquant, durée d'observation ? Quels auto-injecteurs sont autorisés en Suisse (Epipen®, Jext®, Emerade®, adrénaline nasale Neffy®/Eurneffy®) avec leurs doses par poids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A-070  ·  priorité Moyenne  ·  recommandation</w:t>
            </w:r>
          </w:p>
        </w:tc>
        <w:tc>
          <w:tcPr>
            <w:tcW w:w="11200" w:type="dxa"/>
            <w:shd w:val="clear" w:color="auto" w:fill="EBF5FB"/>
            <w:vAlign w:val="top"/>
          </w:tcPr>
          <w:p>
            <w:pPr>
              <w:spacing w:after="0"/>
            </w:pPr>
            <w:r>
              <w:rPr>
                <w:sz w:val="17"/>
                <w:szCs w:val="17"/>
              </w:rPr>
              <w:t xml:space="preserve">LOT 7 · SSP G7 · LOT_7_Appel_A_V5_Ultra_Pedagogique_Plan_et_Liste.html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4 › paragraphe « Les autres causes restent accessibles… » (répété dans Bloc 2 › Algorithme › dernière branche) ; constats L7-M02, L7-M05</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ne nomme ni le carcinome médullaire de la thyroïde ni le VIPome et ne cite aucun médicament ni mécanisme pour les flushs médicamenteux et alcooliques ; la seule source du bilan est La Revue du Praticien 2021 (française), le texte intégral de S2 n'a pas été lu.</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source suisse ou européenne (ENETS pour les tumeurs neuroendocrines, revue suisse) décrit le bilan d'un flush (sérotonine/5-HIAA, chromogranine, calcitonine, VIP, métanéphrines, tryptase) et la liste des médicaments responsables (classes, DCI, mécanisme) ainsi que le mécanisme du flush alcoolique (ALDH2)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A-072  ·  priorité Moyenne  ·  épidémiologie</w:t>
            </w:r>
          </w:p>
        </w:tc>
        <w:tc>
          <w:tcPr>
            <w:tcW w:w="11200" w:type="dxa"/>
            <w:shd w:val="clear" w:color="auto" w:fill="EBF5FB"/>
            <w:vAlign w:val="top"/>
          </w:tcPr>
          <w:p>
            <w:pPr>
              <w:spacing w:after="0"/>
            </w:pPr>
            <w:r>
              <w:rPr>
                <w:sz w:val="17"/>
                <w:szCs w:val="17"/>
              </w:rPr>
              <w:t xml:space="preserve">LOT 7 · SSP G7 · LOT_7_Appel_A_V5_Ultra_Pedagogique_Plan_et_Liste.html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2 › fenêtre « Les indicateurs doivent préciser leur population et leur définition » › tableau › ligne Prévalence ; constats L7-L06</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point 2 ne donne aucun chiffre ; l'audit demande les prévalences publiées dans S10 (symptômes vasomoteurs), S11 (rosacée) et S5 (anaphylaxie).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prévalences ou incidences européennes ou suisses sont publiées pour les symptômes vasomoteurs de la ménopause, la rosacée, l'anaphylaxie et les tumeurs neuroendocrines sécrétantes ? Donne population, année et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A-073  ·  priorité Critique  ·  seuil</w:t>
            </w:r>
          </w:p>
        </w:tc>
        <w:tc>
          <w:tcPr>
            <w:tcW w:w="11200" w:type="dxa"/>
            <w:shd w:val="clear" w:color="auto" w:fill="FADBD8"/>
            <w:vAlign w:val="top"/>
          </w:tcPr>
          <w:p>
            <w:pPr>
              <w:spacing w:after="0"/>
            </w:pPr>
            <w:r>
              <w:rPr>
                <w:sz w:val="17"/>
                <w:szCs w:val="17"/>
              </w:rPr>
              <w:t xml:space="preserve">LOT 8 · SSP G8 · LOT_8_Appel_A_V6_Ultra_Pedagogique_Plan_et_Liste.html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3 › fenêtre « Système de Stadification Suisse (Swiss Staging System) &amp; Critère K+ » ; constats L8-M04, L8-M05, L8-M14, L8-M33, L8-M34, L8-L19, L8-M15</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retient une kaliémie &gt; 8 mmol/L comme critère d'arrêt sur place et de non-ECLS, et cite aussi 12 mmol/L et « 8–12 mmol/L » ; l'audit médical (ERC 2025, ICAR 2023) retient le score HOPE ≥ 10 % et, à défaut, K+ &lt; 7 mmol/L avec Tcc &lt; 30 °C ; l'audit linguistique s'appuie sur l'ERC 2021 dont le texte primaire était inaccessible (HTTP 403) et signale des seuils suisses divergents (7, 8 ou 12 mmol/L).</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seuils de kaliémie et quel rôle du score HOPE retiennent exactement l'ERC 2025 (Special Circumstances, section hypothermie accidentelle et avalanche), l'ICAR MedCom (2023 et ultérieur) et les protocoles suisses (SGNOR/SSMUS, Rega, centres ECLS de Berne, Lausanne, Zurich) pour décider d'un réchauffement par ECLS en hypothermie pure et après avalanche ? Comment ont évolué les seuils 12, 8 et 7 mmol/L entre ERC 2015, 2021 et 2025 ? Quel seuil de température ou de durée fonde l'arrêt de la réanimation après réchauffement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A-074  ·  priorité Critique  ·  conduite</w:t>
            </w:r>
          </w:p>
        </w:tc>
        <w:tc>
          <w:tcPr>
            <w:tcW w:w="11200" w:type="dxa"/>
            <w:shd w:val="clear" w:color="auto" w:fill="FADBD8"/>
            <w:vAlign w:val="top"/>
          </w:tcPr>
          <w:p>
            <w:pPr>
              <w:spacing w:after="0"/>
            </w:pPr>
            <w:r>
              <w:rPr>
                <w:sz w:val="17"/>
                <w:szCs w:val="17"/>
              </w:rPr>
              <w:t xml:space="preserve">LOT 8 · SSP G8 · LOT_8_Appel_B_V6_Ultra_Pedagogique_Partie_1_DX.1_a_DX.2.html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1 › DX.2 › fenêtre « Triage Avalanche ERC/ICAR » ; constats L8-M31, L8-M32, L8-L43, L8-L44, L8-L18</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La fenêtre de triage avalanche retient 35 minutes d'ensevelissement et arrête la réanimation à 45 minutes si les voies aériennes sont obstruées ; l'audit (ICAR 2023, ERC 2025 ; ERC 2021 inaccessible en texte primaire) retient 60 minutes et la présomption d'asphyxie avant ce délai.</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algorithme de prise en charge sur place de la victime d'avalanche en arrêt cardiaque fixent l'ICAR MedCom 2023 (Pasquier et al.) et l'ERC 2025 : seuil de durée d'ensevelissement, rôle de la Tcc si la durée est inconnue, perméabilité des voies aériennes, insufflations initiales, critères de non-réanimation, orientation vers un centre ECLS ? La Rega ou la SSMUS appliquent-elles un algorithme suisse différent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A-075  ·  priorité Critique  ·  dose</w:t>
            </w:r>
          </w:p>
        </w:tc>
        <w:tc>
          <w:tcPr>
            <w:tcW w:w="11200" w:type="dxa"/>
            <w:shd w:val="clear" w:color="auto" w:fill="FADBD8"/>
            <w:vAlign w:val="top"/>
          </w:tcPr>
          <w:p>
            <w:pPr>
              <w:spacing w:after="0"/>
            </w:pPr>
            <w:r>
              <w:rPr>
                <w:sz w:val="17"/>
                <w:szCs w:val="17"/>
              </w:rPr>
              <w:t xml:space="preserve">LOT 8 · SSP G8 · LOT_8_Appel_A_V6_Ultra_Pedagogique_Plan_et_Liste.html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11.B › fenêtre « Médicaments de réanimation » ; constats L8-M08, L8-M09, L8-M10, L8-M11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proscrit l'adrénaline sous 30 °C et ne dose pas l'amiodarone (règle ERC 2021) ; l'audit lit l'ERC 2025 : adrénaline 1 mg IV une seule fois sous 30 °C sauf ECPR imminente, amiodarone 300 mg en dose de charge, intervalle de 6–10 min entre 30 et 35 °C. « Adrenalin® » n'est pas une spécialité suisse vérifiée ; l'amiodarone n'a pas de spécialité.</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règles pharmacologiques de la RCP en hypothermie (adrénaline, amiodarone, nombre de chocs) retient l'ERC 2025 par tranche de température, et en quoi diffèrent-elles de l'ERC 2021 ? Quelles spécialités suisses d'adrénaline et d'amiodarone injectables (Adrenalin Sintetica®, Cordarone®…) sont autorisées et quelle dose IV/IO donne leur AIPS en réanimation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A-076  ·  priorité Critique  ·  conduite</w:t>
            </w:r>
          </w:p>
        </w:tc>
        <w:tc>
          <w:tcPr>
            <w:tcW w:w="11200" w:type="dxa"/>
            <w:shd w:val="clear" w:color="auto" w:fill="FADBD8"/>
            <w:vAlign w:val="top"/>
          </w:tcPr>
          <w:p>
            <w:pPr>
              <w:spacing w:after="0"/>
            </w:pPr>
            <w:r>
              <w:rPr>
                <w:sz w:val="17"/>
                <w:szCs w:val="17"/>
              </w:rPr>
              <w:t xml:space="preserve">LOT 8 · SSP G8 · LOT_8_Appel_A_V6_Ultra_Pedagogique_Plan_et_Liste.html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3 › fenêtre 3.1 › tableau Swiss Staging › ligne HT IV ; constats L8-M06, L8-M07, L8-L20, L8-M12, L8-M13, L8-M39, L8-M41, L8-L51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utilise la stadification suisse ancienne (frisson, « &lt; 28 °C si FV ») ; l'arbre omet les facteurs de risque d'ACR imminent et subordonne le transfert à la kaliémie ; les seuils 32 °C et 30 °C diffèrent entre fichiers. L'audit cite le système suisse révisé (Musi 2021) repris par l'ERC 2025 (AVPU, FC &lt; 45/min, PAS &lt; 90 mmHg, ETCO2 &lt; 1,3 kPa, centre ECLS atteignable en 6 h).</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système de stadification de l'hypothermie accidentelle (système suisse révisé 2021, ICAR, ERC 2025) et quels critères d'orientation directe vers un centre ECLS/ECPR (facteurs de risque d'arrêt, délai de transport, indications d'ECLS chez le patient non en arrêt) sont en vigueur en 2026 ? Comment s'appliquent-ils en Suisse (protocole Rega, centres ECLS)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A-079  ·  priorité Critique  ·  autorisation</w:t>
            </w:r>
          </w:p>
        </w:tc>
        <w:tc>
          <w:tcPr>
            <w:tcW w:w="11200" w:type="dxa"/>
            <w:shd w:val="clear" w:color="auto" w:fill="FADBD8"/>
            <w:vAlign w:val="top"/>
          </w:tcPr>
          <w:p>
            <w:pPr>
              <w:spacing w:after="0"/>
            </w:pPr>
            <w:r>
              <w:rPr>
                <w:sz w:val="17"/>
                <w:szCs w:val="17"/>
              </w:rPr>
              <w:t xml:space="preserve">LOT 8 · SSP G8 · LOT_8_Appel_A_V6_Ultra_Pedagogique_Plan_et_Liste.html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tableau comparatif › ligne DX.3 › conduite immédiate ; constats L8-M25, L8-L25</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tableau comparatif cite Euthyrox® (comprimés) pour le coma myxœdémateux, sans dose ; aucune lévothyroxine IV autorisée en Suisse n'a été trouvée ; l'audit cite L-Thyroxin SERB® 200 µg/mL (Allemagne, 200–500 µg IV le premier jour).</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Existe-t-il en 2026 une lévothyroxine ou une liothyronine IV autorisée en Suisse, ou faut-il l'importer (art. 49 OAMéd) ? Quelle dose de charge et d'entretien IV, quelle hydrocortisone préalable et quelles précautions (sujet âgé, coronaropathie) recommande la source européenne la plus récente (ETA) pour le coma myxœdémateux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A-078  ·  priorité Haute  ·  épidémiologie</w:t>
            </w:r>
          </w:p>
        </w:tc>
        <w:tc>
          <w:tcPr>
            <w:tcW w:w="11200" w:type="dxa"/>
            <w:shd w:val="clear" w:color="auto" w:fill="FDEBD0"/>
            <w:vAlign w:val="top"/>
          </w:tcPr>
          <w:p>
            <w:pPr>
              <w:spacing w:after="0"/>
            </w:pPr>
            <w:r>
              <w:rPr>
                <w:sz w:val="17"/>
                <w:szCs w:val="17"/>
              </w:rPr>
              <w:t xml:space="preserve">LOT 8 · SSP G8 · LOT_8_Appel_A_V6_Ultra_Pedagogique_Plan_et_Liste.html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2 (Épidémiologie) ; constats L8-M16, L8-L15, L8-L47, L8-L32, L8-L49, L8-M22, L8-L13, L8-M37</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200–300 cas annuels et 70 % de survie sous ECLS attribués à un « Registre suisse » non identifié, un tiers de décès traumatiques sur place (Knapp 2025 : 15 %), un « HOPE-Score 2.0 » d'intelligence artificielle, une mortalité « proche de 100 % » et des sources SGNOR 2023 et RMS 2022 introuvables.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données publiées (OFS, International Hypothermia Registry, SLF, études suisses de Berne et Lausanne) chiffrent l'hypothermie accidentelle et les accidents d'avalanche en Suisse, la survie sous ECLS et la part de décès traumatiques ? Existe-t-il un document SGNOR/SSMUS sur l'hypothermie (titre, année, URL) et une version actualisée du score HOPE (publication, validation)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A-080  ·  priorité Haute  ·  autorisation</w:t>
            </w:r>
          </w:p>
        </w:tc>
        <w:tc>
          <w:tcPr>
            <w:tcW w:w="11200" w:type="dxa"/>
            <w:shd w:val="clear" w:color="auto" w:fill="FDEBD0"/>
            <w:vAlign w:val="top"/>
          </w:tcPr>
          <w:p>
            <w:pPr>
              <w:spacing w:after="0"/>
            </w:pPr>
            <w:r>
              <w:rPr>
                <w:sz w:val="17"/>
                <w:szCs w:val="17"/>
              </w:rPr>
              <w:t xml:space="preserve">LOT 8 · SSP G8 · LOT_8_Appel_A_V6_Ultra_Pedagogique_Plan_et_Liste.html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tableau comparatif › ligne DX.5 › conduite immédiate ; constats L8-M26, L8-L27</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ne donne pas la dose de naloxone ; la spécialité suisse est Naloxon OrPha® 0,4 mg/mL, signalée non commercialisée par ch.oddb.org.</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spécialités de naloxone injectable et nasale (Naloxon OrPha®, Nyxoid®…) sont commercialisées en Suisse en 2026, et quelle dose initiale, titration et répétition prévoit leur AIPS dans l'intoxication aux opioïdes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A-081  ·  priorité Haute  ·  dose</w:t>
            </w:r>
          </w:p>
        </w:tc>
        <w:tc>
          <w:tcPr>
            <w:tcW w:w="11200" w:type="dxa"/>
            <w:shd w:val="clear" w:color="auto" w:fill="FDEBD0"/>
            <w:vAlign w:val="top"/>
          </w:tcPr>
          <w:p>
            <w:pPr>
              <w:spacing w:after="0"/>
            </w:pPr>
            <w:r>
              <w:rPr>
                <w:sz w:val="17"/>
                <w:szCs w:val="17"/>
              </w:rPr>
              <w:t xml:space="preserve">LOT 8 · SSP G8 · LOT_8_Appel_A_V6_Ultra_Pedagogique_Plan_et_Liste.html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tableau comparatif › ligne DX.8 › conduite immédiate ; constats L8-M27, L8-L26</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prescrit la thiamine à « forte dose » sans dose ni voie ; ch.oddb.org liste Benerva® en comprimés 100/300 mg et ampoules, dose IV non trouvée.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forme injectable de thiamine est autorisée en Suisse (Benerva® ampoules ou autre) et quelle dose, voie, rythme et durée recommandent l'AIPS et la source européenne la plus récente (EFNS 2010 ou ultérieure) pour la prévention et le traitement de l'encéphalopathie de Wernicke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A-082  ·  priorité Haute  ·  dose</w:t>
            </w:r>
          </w:p>
        </w:tc>
        <w:tc>
          <w:tcPr>
            <w:tcW w:w="11200" w:type="dxa"/>
            <w:shd w:val="clear" w:color="auto" w:fill="FDEBD0"/>
            <w:vAlign w:val="top"/>
          </w:tcPr>
          <w:p>
            <w:pPr>
              <w:spacing w:after="0"/>
            </w:pPr>
            <w:r>
              <w:rPr>
                <w:sz w:val="17"/>
                <w:szCs w:val="17"/>
              </w:rPr>
              <w:t xml:space="preserve">LOT 8 · SSP G8 · LOT_8_Appel_A_V6_Ultra_Pedagogique_Plan_et_Liste.html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tableau comparatif › colonne « Conduite immédiate » (DX.6, DX.7, DX.10) ; constats L8-M28, L8-L28</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tableau comparatif cite glucose 40 % (« G40 »), noradrénaline, hydrocortisone (Solu-Cortef®) et NaCl 0,9 % sans dose ni spécialité.</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solutions de glucose IV sont autorisées en Suisse (10, 20, 40, 50 %) et quelle quantité de glucose en grammes recommande-t-on chez l'adulte hypothermique hypoglycémique ? Quelle dose de noradrénaline et quel remplissage recommande l'ERC 2025 chez le patient hypothermique ? Indique la recommandation suisse en vigueur (société savante ou autorité, titre, année, URL), compare la version la plus récente à celle citée dans le cours et liste les différences ; donne doses, voies, durées et adaptations (rénale, hépatique, pédiatrique, grossesse) selon l'AIPS (swissmedicinfo.ch) ; à défaut de source suisse, cite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A-077  ·  priorité Moyenne  ·  autre</w:t>
            </w:r>
          </w:p>
        </w:tc>
        <w:tc>
          <w:tcPr>
            <w:tcW w:w="11200" w:type="dxa"/>
            <w:shd w:val="clear" w:color="auto" w:fill="EBF5FB"/>
            <w:vAlign w:val="top"/>
          </w:tcPr>
          <w:p>
            <w:pPr>
              <w:spacing w:after="0"/>
            </w:pPr>
            <w:r>
              <w:rPr>
                <w:sz w:val="17"/>
                <w:szCs w:val="17"/>
              </w:rPr>
              <w:t xml:space="preserve">LOT 8 · SSP G8 · LOT_8_Appel_A_V6_Ultra_Pedagogique_Plan_et_Liste.html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7.2 (Syndrome de « Rescue collapse ») ; constats L8-M19, L8-M20, L8-M21, L8-L54, L8-L31, L8-L21, L8-L17, L8-L50</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confond collapsus de sauvetage et afterdrop, fixe une vitesse de réchauffement de 1–2 °C/h et une variation horaire de la kaliémie sans source, attribue 6 % par degré au métabolisme global et une sensibilité de 100 % à la thermométrie œsophagienne ou épitympanique.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sources européennes (ERC 2025, ICAR, revues de Paal ou Brugger) décrivent le collapsus de sauvetage et l'afterdrop, les vitesses de réchauffement attendues selon la méthode (passive, active externe, ECLS), la température des liquides perfusés, l'évolution de la kaliémie au réchauffement et la précision des méthodes de mesure de la Tcc (œsophagienne, épitympanique) ? Quelle variation du métabolisme par degré la physiologie retient-elle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p>
      <w:pPr>
        <w:pStyle w:val="Titre1"/>
      </w:pPr>
      <w:r>
        <w:rPr>
          <w:b/>
          <w:color w:val="1A5276"/>
          <w:sz w:val="28"/>
          <w:szCs w:val="28"/>
        </w:rPr>
        <w:t xml:space="preserve">5. Groupe B — Lots Claude 227 à 231</w:t>
      </w: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B-001  ·  priorité Haute  ·  autorisation</w:t>
            </w:r>
          </w:p>
        </w:tc>
        <w:tc>
          <w:tcPr>
            <w:tcW w:w="11200" w:type="dxa"/>
            <w:shd w:val="clear" w:color="auto" w:fill="FDEBD0"/>
            <w:vAlign w:val="top"/>
          </w:tcPr>
          <w:p>
            <w:pPr>
              <w:spacing w:after="0"/>
            </w:pPr>
            <w:r>
              <w:rPr>
                <w:sz w:val="17"/>
                <w:szCs w:val="17"/>
              </w:rPr>
              <w:t xml:space="preserve">LOT 227 · SSP O7.5 · LOT_227_Appel_A_V5_Ultra_Pedagogique_Plan_et_Liste.html ; LOT_227_Appel_B_V5_Ultra_Pedagogique_Partie_1_DX.1_a_DX.2.html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cadre légal › fenêtre « déclarations à Swissmedic » ; Partie 1 › DX.1 (erreur de médication) › lacune catégorie Swissmedic</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les délais de l'OMéd (15 jours pour les effets et faits graves, 60 jours pour les autres) et écrit qu'aucune catégorie Swissmedic spécifique n'existe pour l'erreur de médication sans effet indésirable.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Selon l'OMéd en vigueur (RS 812.212.21, articles exacts) et la page de pharmacovigilance de Swissmedic (ElViS), une erreur de médication sans effet indésirable doit-elle être déclarée, et sous quelle catégorie ? Donne les délais exacts, le déclarant obligé (médecin, établissement) et l'URL de Swissmedic. Indique aussi le rôle de CIRRNET (Fondation Sécurité des patients Suisse) pour ces erreurs.</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B-002  ·  priorité Haute  ·  recommandation</w:t>
            </w:r>
          </w:p>
        </w:tc>
        <w:tc>
          <w:tcPr>
            <w:tcW w:w="11200" w:type="dxa"/>
            <w:shd w:val="clear" w:color="auto" w:fill="FDEBD0"/>
            <w:vAlign w:val="top"/>
          </w:tcPr>
          <w:p>
            <w:pPr>
              <w:spacing w:after="0"/>
            </w:pPr>
            <w:r>
              <w:rPr>
                <w:sz w:val="17"/>
                <w:szCs w:val="17"/>
              </w:rPr>
              <w:t xml:space="preserve">LOT 227 · SSP O7.5 · LOT_227_Appel_A_V5_Ultra_Pedagogique_Plan_et_Liste.html ; LOT_227_Appel_B_V5_Ultra_Pedagogique_Partie_2_DX.3_a_DX.5.html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fenêtre « communication après un incident (FMH/ASSM) » ; Partie 2 › DX.3 › 9.d deuxième intention et ligne « enfant ou incapable de discernement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 guide juridique ASSM/FMH, qui renvoie à une brochure de la FMH et de ses partenaires sur la communication après un incident ; cette brochure n'a pas été lue. L'information d'un patient enfant ou incapable de discernement n'est pas traitée.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brochure suisse en vigueur sur la communication avec le patient après un incident médical (FMH, Fondation Sécurité des patients Suisse, autres partenaires) ? Donne le titre exact, l'année, l'URL et les étapes recommandées de l'entretien (excuse, explication, suite). Comment informe-t-on, selon cette brochure et le droit suisse (CC art. 377-378), un enfant ou un patient incapable de discernement et son représentant ? Donne la recommandation suisse en vigueur (titre, auteur, année, URL) ; compare la version la plus récente à celle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B-007  ·  priorité Haute  ·  conduite</w:t>
            </w:r>
          </w:p>
        </w:tc>
        <w:tc>
          <w:tcPr>
            <w:tcW w:w="11200" w:type="dxa"/>
            <w:shd w:val="clear" w:color="auto" w:fill="FDEBD0"/>
            <w:vAlign w:val="top"/>
          </w:tcPr>
          <w:p>
            <w:pPr>
              <w:spacing w:after="0"/>
            </w:pPr>
            <w:r>
              <w:rPr>
                <w:sz w:val="17"/>
                <w:szCs w:val="17"/>
              </w:rPr>
              <w:t xml:space="preserve">LOT 227 · SSP O7.5 · LOT_227_Appel_A_V5_Ultra_Pedagogique_Plan_et_Liste.html ; LOT_227_Appel_B_V5_Ultra_Pedagogique_Partie_3_DX.6_a_DX.7.html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tableau DX.7 ; Partie 3 › DX.6-DX.7 › fenêtres « LTr art. 6 al. 2bis », « retrait temporaire de l'activité », « conditions de reprise », « prélèvements inexpliqués de stupéfiants », 9.c Alternatives et C- Surveillance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décrit la conduite face à un collègue sous l'influence de l'alcool ou de substances (cadre de garde, ReMed, autorité, LPMéd art. 37 et 43). Il écrit qu'aucune limite légale d'alcoolémie en service, aucun test sans consentement, aucun critère validé de détournement de stupéfiants et aucun calendrier de reprise n'ont été trouvés.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En Suisse, existe-t-il une limite d'alcoolémie ou une règle de tolérance zéro pour les soignants en service (LTr, OLT 3, directives SUVA, règlements hospitaliers types) ? Un employeur peut-il exiger un dépistage d'alcool ou de drogues chez un médecin, et à quelles conditions (consentement, base légale) ? Quels indicateurs de détournement de stupéfiants les établissements suisses utilisent-ils (LStup, OCStup, Swissmedic) ? Quelles conditions et quel suivi de reprise du travail sont recommandés (durée, contrôles, fréquence) par la FMH, ReMed ou une autorité cantonale ? Donne la recommandation suisse en vigueur (titre, auteur, année, URL) ; compare la version la plus récente à celle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B-008  ·  priorité Haute  ·  conduite</w:t>
            </w:r>
          </w:p>
        </w:tc>
        <w:tc>
          <w:tcPr>
            <w:tcW w:w="11200" w:type="dxa"/>
            <w:shd w:val="clear" w:color="auto" w:fill="FDEBD0"/>
            <w:vAlign w:val="top"/>
          </w:tcPr>
          <w:p>
            <w:pPr>
              <w:spacing w:after="0"/>
            </w:pPr>
            <w:r>
              <w:rPr>
                <w:sz w:val="17"/>
                <w:szCs w:val="17"/>
              </w:rPr>
              <w:t xml:space="preserve">LOT 227 · SSP O7.5 · LOT_227_Appel_B_V5_Ultra_Pedagogique_Partie_3_DX.6_a_DX.7.html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3 › DX.6-DX.7 › fenêtre « droit d'aviser et secret professionnel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que le guide juridique ASSM/FMH décrit le droit d'aviser en cas de danger considérable pour la personne, ses proches ou la collectivité, sans décrire son application à un collègue.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Un médecin peut-il ou doit-il signaler à l'autorité cantonale un collègue inapte qui met des patients en danger ? Précise la base légale (CP art. 321 et levée du secret, LPMéd art. 40 et 41, lois sanitaires cantonales, CC art. 314c et 443) et la procédure de levée du secret professionnel. Donne l'édition la plus récente du guide juridique ASSM/FMH et ses différences avec la version citée.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B-003  ·  priorité Moyenne  ·  recommandation</w:t>
            </w:r>
          </w:p>
        </w:tc>
        <w:tc>
          <w:tcPr>
            <w:tcW w:w="11200" w:type="dxa"/>
            <w:shd w:val="clear" w:color="auto" w:fill="EBF5FB"/>
            <w:vAlign w:val="top"/>
          </w:tcPr>
          <w:p>
            <w:pPr>
              <w:spacing w:after="0"/>
            </w:pPr>
            <w:r>
              <w:rPr>
                <w:sz w:val="17"/>
                <w:szCs w:val="17"/>
              </w:rPr>
              <w:t xml:space="preserve">LOT 227 · SSP O7.5 · LOT_227_Appel_A_V5_Ultra_Pedagogique_Plan_et_Liste.html ; LOT_227_Appel_B_V5_Ultra_Pedagogique_Partie_3_DX.6_a_DX.7.html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fenêtre « art. 22a » ; Partie 3 › DX.6 › piège LPMéd art. 40 et fenêtre « autorité cantonale de surveillance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que l'art. 22a LPers protège le lanceur d'alerte fédéral, que le médecin d'un hôpital cantonal dépend du droit cantonal non lu, et que l'art. 40 LPMéd vise l'exercice sous propre responsabilité professionnelle.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droit protège en Suisse le médecin salarié d'un hôpital public cantonal ou privé qui signale de bonne foi une faute d'un collègue (lanceur d'alerte) ? Cite les bases cantonales types (au moins Vaud, Genève, Neuchâtel, Berne, Zurich) et le CO art. 321a et 328. L'art. 40 LPMéd (devoirs professionnels) s'applique-t-il au médecin assistant depuis la révision LPMéd ? Donne la version de la LPMéd en vigueur au 22.10.2026 et l'URL Fedlex.</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B-004  ·  priorité Moyenne  ·  autre</w:t>
            </w:r>
          </w:p>
        </w:tc>
        <w:tc>
          <w:tcPr>
            <w:tcW w:w="11200" w:type="dxa"/>
            <w:shd w:val="clear" w:color="auto" w:fill="EBF5FB"/>
            <w:vAlign w:val="top"/>
          </w:tcPr>
          <w:p>
            <w:pPr>
              <w:spacing w:after="0"/>
            </w:pPr>
            <w:r>
              <w:rPr>
                <w:sz w:val="17"/>
                <w:szCs w:val="17"/>
              </w:rPr>
              <w:t xml:space="preserve">LOT 227 · SSP O7.5 · LOT_227_Appel_A_V5_Ultra_Pedagogique_Plan_et_Liste.html ; LOT_227_Appel_B_V5_Ultra_Pedagogique_Partie_2_DX.3_a_DX.5.html ; LOT_227_Appel_B_V5_Ultra_Pedagogique_Partie_3_DX.6_a_DX.7.html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audit des lacunes ; Partie 3 › DX.6-DX.7 › fenêtre « ReMed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ReMed (réseau de soutien de la FMH pour médecins) d'après des extraits : réponse en 72 heures, 250 demandes en 2022. Les textes intégraux étaient inaccessibles (erreur 403), et les garanties de confidentialité n'ont pas été lues.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garanties de confidentialité ReMed (FMH) donne-t-il, et ReMed est-il indépendant de l'employeur et de l'autorité de surveillance ? Décris sa procédure, le délai de réponse et les chiffres les plus récents (rapport annuel 2023, 2024 ou 2025), avec la part des demandes liées à la dépendance et à l'épuisement. Donne les URL officielles.</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B-005  ·  priorité Moyenne  ·  épidémiologie</w:t>
            </w:r>
          </w:p>
        </w:tc>
        <w:tc>
          <w:tcPr>
            <w:tcW w:w="11200" w:type="dxa"/>
            <w:shd w:val="clear" w:color="auto" w:fill="EBF5FB"/>
            <w:vAlign w:val="top"/>
          </w:tcPr>
          <w:p>
            <w:pPr>
              <w:spacing w:after="0"/>
            </w:pPr>
            <w:r>
              <w:rPr>
                <w:sz w:val="17"/>
                <w:szCs w:val="17"/>
              </w:rPr>
              <w:t xml:space="preserve">LOT 227 · SSP O7.5 · LOT_227_Appel_B_V5_Ultra_Pedagogique_Partie_3_DX.6_a_DX.7.html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3 › DX.6 (épuisement) › fenêtres « Maslach Burnout Inventory (MBI) », « phénomène d'imposteur » et donnée manquante ASMAC/FMH</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une enquête suisse de 2026 sur le burnout des soignants (« risque élevé », « syndrome de burnout ») sans les seuils du MBI. Les enquêtes de l'ASMAC et de la FMH n'ont pas été lues.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sont les données suisses les plus récentes sur l'épuisement des médecins (enquêtes ASMAC/VSAO, FMH, Obsan ; année, effectif, prévalence) ? Donne les définitions des trois sous-échelles du MBI et les seuils de classement utilisés dans l'enquête suisse de 2026 citée. Donne une définition référencée du phénomène d'imposteur. Fournis les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B-006  ·  priorité Moyenne  ·  épidémiologie</w:t>
            </w:r>
          </w:p>
        </w:tc>
        <w:tc>
          <w:tcPr>
            <w:tcW w:w="11200" w:type="dxa"/>
            <w:shd w:val="clear" w:color="auto" w:fill="EBF5FB"/>
            <w:vAlign w:val="top"/>
          </w:tcPr>
          <w:p>
            <w:pPr>
              <w:spacing w:after="0"/>
            </w:pPr>
            <w:r>
              <w:rPr>
                <w:sz w:val="17"/>
                <w:szCs w:val="17"/>
              </w:rPr>
              <w:t xml:space="preserve">LOT 227 · SSP O7.5 · LOT_227_Appel_A_V5_Ultra_Pedagogique_Plan_et_Liste.html ; LOT_227_Appel_B_V5_Ultra_Pedagogique_Partie_2_DX.3_a_DX.5.html ; LOT_227_Appel_B_V5_Ultra_Pedagogique_Partie_3_DX.6_a_DX.7.html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épidémiologie ; Partie 3 › DX.7 › fenêtre « justification du rang 7 » et audit des lacunes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que la prévalence suisse de la dépendance et de l'intoxication en service chez les médecins, de l'inconduite sexuelle envers les patients, des fraudes et des procédures disciplinaires n'a pas été trouvée.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données suisses existent sur ces quatre points : dépendance ou intoxication en service chez les médecins, inconduite sexuelle envers les patients, fraude, procédures disciplinaires (statistiques des autorités cantonales, de la Commission de déontologie FMH ou de MedReg) ? Donne la source, l'année, l'effectif et l'URL. À défaut, donne les données européennes les plus récentes.</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B-009  ·  priorité Moyenne  ·  recommandation</w:t>
            </w:r>
          </w:p>
        </w:tc>
        <w:tc>
          <w:tcPr>
            <w:tcW w:w="11200" w:type="dxa"/>
            <w:shd w:val="clear" w:color="auto" w:fill="EBF5FB"/>
            <w:vAlign w:val="top"/>
          </w:tcPr>
          <w:p>
            <w:pPr>
              <w:spacing w:after="0"/>
            </w:pPr>
            <w:r>
              <w:rPr>
                <w:sz w:val="17"/>
                <w:szCs w:val="17"/>
              </w:rPr>
              <w:t xml:space="preserve">LOT 227 · SSP O7.5 · LOT_227_Appel_B_V5_Ultra_Pedagogique_Partie_2_DX.3_a_DX.5.html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DX.5 (« deuxième victime ») › signes et lacunes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qu'aucun signe objectif standardisé ni instrument de dépistage de la détresse de la deuxième victime n'a été trouvé.</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instruments validés repèrent la détresse de la deuxième victime (par exemple SVEST, version allemande ou française validée) ? Quelles recommandations suisses (Fondation Sécurité des patients Suisse, FMH, hôpitaux universitaires) organisent le soutien par les pairs ? Donne les titres, les années et les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B-010  ·  priorité Moyenne  ·  recommandation</w:t>
            </w:r>
          </w:p>
        </w:tc>
        <w:tc>
          <w:tcPr>
            <w:tcW w:w="11200" w:type="dxa"/>
            <w:shd w:val="clear" w:color="auto" w:fill="EBF5FB"/>
            <w:vAlign w:val="top"/>
          </w:tcPr>
          <w:p>
            <w:pPr>
              <w:spacing w:after="0"/>
            </w:pPr>
            <w:r>
              <w:rPr>
                <w:sz w:val="17"/>
                <w:szCs w:val="17"/>
              </w:rPr>
              <w:t xml:space="preserve">LOT 227 · SSP O7.5 · LOT_227_Appel_B_V5_Ultra_Pedagogique_Partie_2_DX.3_a_DX.5.html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DX.4 (procédure de sécurité) › fenêtres « sign out » et « écart justifié par l'urgence vitale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 liste de contrôle chirurgicale sans détailler le « sign out ». Il écrit qu'aucune règle ne fixe les étapes qu'on peut omettre en urgence vitale.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est le contenu exact du « sign out » de la liste de contrôle de sécurité chirurgicale de l'OMS et de sa version suisse (programme progress! « La sécurité en chirurgie », Fondation Sécurité des patients Suisse) ? Que prévoit cette version suisse en cas d'urgence vitale ? Donne la version la plus récente, l'année et l'URL.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B-011  ·  priorité Moyenne  ·  épidémiologie</w:t>
            </w:r>
          </w:p>
        </w:tc>
        <w:tc>
          <w:tcPr>
            <w:tcW w:w="11200" w:type="dxa"/>
            <w:shd w:val="clear" w:color="auto" w:fill="EBF5FB"/>
            <w:vAlign w:val="top"/>
          </w:tcPr>
          <w:p>
            <w:pPr>
              <w:spacing w:after="0"/>
            </w:pPr>
            <w:r>
              <w:rPr>
                <w:sz w:val="17"/>
                <w:szCs w:val="17"/>
              </w:rPr>
              <w:t xml:space="preserve">LOT 227 · SSP O7.5 · LOT_227_Appel_B_V5_Ultra_Pedagogique_Partie_1_DX.1_a_DX.2.html ; LOT_227_Appel_A_V5_Ultra_Pedagogique_Plan_et_Liste.html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1 › DX.1 (erreur de médication) › tableau des étapes (préparation) et lacunes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 rapport national et un programme vaudois d'amélioration des contrôles. Il ne donne ni la prévalence suisse nationale des erreurs de médication ni de donnée européenne comparable.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fréquence des erreurs de médication à l'hôpital en Suisse (Fondation Sécurité des patients Suisse, programme progress! « La sécurité de la médication », Obsan, études suisses) ? Donne aussi la donnée européenne de référence la plus récente. Quelles recommandations suisses encadrent la préparation et le double contrôle des médicaments ? Donne les années et les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B-012  ·  priorité Moyenne  ·  épidémiologie</w:t>
            </w:r>
          </w:p>
        </w:tc>
        <w:tc>
          <w:tcPr>
            <w:tcW w:w="11200" w:type="dxa"/>
            <w:shd w:val="clear" w:color="auto" w:fill="EBF5FB"/>
            <w:vAlign w:val="top"/>
          </w:tcPr>
          <w:p>
            <w:pPr>
              <w:spacing w:after="0"/>
            </w:pPr>
            <w:r>
              <w:rPr>
                <w:sz w:val="17"/>
                <w:szCs w:val="17"/>
              </w:rPr>
              <w:t xml:space="preserve">LOT 227 · SSP O7.5 · LOT_227_Appel_B_V5_Ultra_Pedagogique_Partie_1_DX.1_a_DX.2.html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1 › DX.2 (erreur ou retard diagnostique) › fenêtre « présentation atypique » et D- Pronostic</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s'appuie sur une étude bernoise monocentrique (discordance diagnostique, OR de mortalité 2,40). Il n'a trouvé aucune donnée européenne ni aucun essai récent.</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données suisses ou européennes récentes (2022-2026) mesurent la fréquence et les conséquences des erreurs diagnostiques à l'hôpital ou aux urgences ? Existe-t-il une recommandation suisse sur la sécurité diagnostique (Fondation Sécurité des patients Suisse, SSMIG) ? Donne les références et les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B-013  ·  priorité Moyenne  ·  conduite</w:t>
            </w:r>
          </w:p>
        </w:tc>
        <w:tc>
          <w:tcPr>
            <w:tcW w:w="11200" w:type="dxa"/>
            <w:shd w:val="clear" w:color="auto" w:fill="EBF5FB"/>
            <w:vAlign w:val="top"/>
          </w:tcPr>
          <w:p>
            <w:pPr>
              <w:spacing w:after="0"/>
            </w:pPr>
            <w:r>
              <w:rPr>
                <w:sz w:val="17"/>
                <w:szCs w:val="17"/>
              </w:rPr>
              <w:t xml:space="preserve">LOT 227 · SSP O7.5 · LOT_227_Appel_B_V5_Ultra_Pedagogique_Partie_4_DX.8_a_DX.10.html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4 › DX.8 (harcèlement) et DX.10 (inconduite sexuelle) › fenêtres « Trois niveaux de prévention », « incapable de discernement ou de résistance » et « Constatations utilisables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 LEg et le Code pénal. Il n'a trouvé ni programme national de prévention du harcèlement en milieu de soins, ni donnée européenne, ni conduite médico-légale pour examiner la victime.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Existe-t-il un programme ou une recommandation suisse de prévention du harcèlement sexuel dans les hôpitaux (BFEG, SECO, FMH, ASMAC, H+) ? Quelle conduite médico-légale recommande-t-on en Suisse pour examiner et documenter une victime d'abus sexuel (sociétés de médecine légale, centres LAVI, CHUV/HUG) ? Rappelle la définition du CC art. 16 sur la capacité de discernement. Donne les années et les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B-014  ·  priorité Moyenne  ·  autre</w:t>
            </w:r>
          </w:p>
        </w:tc>
        <w:tc>
          <w:tcPr>
            <w:tcW w:w="11200" w:type="dxa"/>
            <w:shd w:val="clear" w:color="auto" w:fill="EBF5FB"/>
            <w:vAlign w:val="top"/>
          </w:tcPr>
          <w:p>
            <w:pPr>
              <w:spacing w:after="0"/>
            </w:pPr>
            <w:r>
              <w:rPr>
                <w:sz w:val="17"/>
                <w:szCs w:val="17"/>
              </w:rPr>
              <w:t xml:space="preserve">LOT 227 · SSP O7.5 · LOT_227_Appel_B_V5_Ultra_Pedagogique_Partie_4_DX.8_a_DX.10.html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4 › DX.9 (fraude) › fenêtre « tribunal arbitral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décrit le tribunal arbitral cantonal saisi par un assureur pour manquement à l'économicité ou fraude ; les règles de procédure de la LAMal art. 89 n'ont pas été relues.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prévoit la LAMal en vigueur au 22.10.2026 (art. 59 sanctions et art. 89 tribunal arbitral) : qui saisit le tribunal, dans quel délai, quelles sanctions possibles (avertissement, restitution, amende, exclusion) ? Cite aussi les articles du CP applicables au faux certificat médical (art. 318) et à l'escroquerie. Donne l'URL Fedlex.</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B-015  ·  priorité Moyenne  ·  conduite</w:t>
            </w:r>
          </w:p>
        </w:tc>
        <w:tc>
          <w:tcPr>
            <w:tcW w:w="11200" w:type="dxa"/>
            <w:shd w:val="clear" w:color="auto" w:fill="EBF5FB"/>
            <w:vAlign w:val="top"/>
          </w:tcPr>
          <w:p>
            <w:pPr>
              <w:spacing w:after="0"/>
            </w:pPr>
            <w:r>
              <w:rPr>
                <w:sz w:val="17"/>
                <w:szCs w:val="17"/>
              </w:rPr>
              <w:t xml:space="preserve">LOT 227 · SSP O7.5 · LOT_227_Appel_B_V5_Ultra_Pedagogique_Partie_3_DX.6_a_DX.7.html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3 › DX.6 › fenêtre « médecin du personnel et médecine du travail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que la protection de la maternité d'une collègue soignante n'a pas été lue.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prévoit l'Ordonnance sur la protection de la maternité (OProMa, RS 822.111.52) pour une médecin enceinte (gardes de nuit, substances dangereuses, rayonnements, analyse de risque) ? Donne la version en vigueur et l'URL Fedlex.</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B-016  ·  priorité Moyenne  ·  seuil</w:t>
            </w:r>
          </w:p>
        </w:tc>
        <w:tc>
          <w:tcPr>
            <w:tcW w:w="11200" w:type="dxa"/>
            <w:shd w:val="clear" w:color="auto" w:fill="EBF5FB"/>
            <w:vAlign w:val="top"/>
          </w:tcPr>
          <w:p>
            <w:pPr>
              <w:spacing w:after="0"/>
            </w:pPr>
            <w:r>
              <w:rPr>
                <w:sz w:val="17"/>
                <w:szCs w:val="17"/>
              </w:rPr>
              <w:t xml:space="preserve">LOT 227 · SSP O7.5 · LOT_227_Appel_B_V5_Ultra_Pedagogique_Partie_3_DX.6_a_DX.7.html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3 › DX.7 › fenêtre « autres affections qui miment l'intoxication » et tableau glycémie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donne les seuils d'hypoglycémie du diabète traité (≤ 3,9 et &lt; 3,0 mmol/L) et écrit que ces seuils ne couvrent pas le sujet non diabétique. L'état de mal non convulsif et l'hypothermie n'y figurent pas.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seuil définit l'hypoglycémie chez un adulte non diabétique (triade de Whipple ; recommandation européenne ou suisse la plus récente) ? Quelles affections qui miment l'ivresse faut-il écarter avant de conclure à une intoxication (dont l'état de mal non convulsif et l'hypothermie), selon une source européenne ou suisse récente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B-021  ·  priorité Critique  ·  seuil</w:t>
            </w:r>
          </w:p>
        </w:tc>
        <w:tc>
          <w:tcPr>
            <w:tcW w:w="11200" w:type="dxa"/>
            <w:shd w:val="clear" w:color="auto" w:fill="FADBD8"/>
            <w:vAlign w:val="top"/>
          </w:tcPr>
          <w:p>
            <w:pPr>
              <w:spacing w:after="0"/>
            </w:pPr>
            <w:r>
              <w:rPr>
                <w:sz w:val="17"/>
                <w:szCs w:val="17"/>
              </w:rPr>
              <w:t xml:space="preserve">LOT 228 · SSP O7.6 · LOT_228_Appel_A_V5_Ultra_Pedagogique_Plan_et_Liste.html ; LOT_228_Appel_B_V5_Ultra_Pedagogique_Partie_2_DX.3_a_DX.5.html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tableau charge virale CMV ; Partie 2 › DX.4 (CMV) › tableau des critères et « Interprétation : hémogramme avant valganciclovir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que les seuils chiffrés de charge virale CMV n'ont pas été trouvés. Il cite comme limites du valganciclovir des plaquettes &lt; 25 000/µl et une hémoglobine &lt; 8 g/dl (IP de Valcyte®).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seuils de charge virale CMV (UI/ml, standard OMS) déclenchent le traitement préemptif après transplantation d'organe solide et de cellules souches, selon la Swiss Transplant Cohort Study, l'ECIL et le consensus international le plus récent ? Donne les doses de valganciclovir et de ganciclovir, avec l'adaptation rénale selon l'IP suisse. Vérifie dans l'IP suisse actuelle de Valcyte® les seuils de PNN, de plaquettes et d'hémoglobine qui contre-indiquent le traitement. Quelles sont les définitions de la maladie à CMV « probable » (Ljungman 2017 ou mise à jour)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B-024  ·  priorité Critique  ·  dose</w:t>
            </w:r>
          </w:p>
        </w:tc>
        <w:tc>
          <w:tcPr>
            <w:tcW w:w="11200" w:type="dxa"/>
            <w:shd w:val="clear" w:color="auto" w:fill="FADBD8"/>
            <w:vAlign w:val="top"/>
          </w:tcPr>
          <w:p>
            <w:pPr>
              <w:spacing w:after="0"/>
            </w:pPr>
            <w:r>
              <w:rPr>
                <w:sz w:val="17"/>
                <w:szCs w:val="17"/>
              </w:rPr>
              <w:t xml:space="preserve">LOT 228 · SSP O7.6 · LOT_228_Appel_B_V5_Ultra_Pedagogique_Partie_3_DX.6_a_DX.7.html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3 › DX.7 (tuberculose) › tableau IGRA, fenêtre « doses à la pesée » et lacunes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calcule les doses antituberculeuses (isoniazide 5 mg/kg max 300 mg, rifampicine 10 mg/kg max 600 mg, pyrazinamide 25 mg/kg max 2 g, éthambutol 15 ou 25 mg/kg). Il n'a trouvé ni le plafond en mg de l'éthambutol, ni le seuil chiffré de l'IGRA, ni le délai minimal entre le début du traitement de l'infection latente et l'anti-TNF.</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Selon le manuel suisse de la tuberculose (Ligue pulmonaire suisse/OFSP, édition la plus récente) et l'IP suisse de Myambutol®, quelle est la dose maximale d'éthambutol en mg/jour ? Quel seuil de positivité (UI/ml) utilisent les IGRA disponibles en Suisse (QuantiFERON-TB Gold Plus, T-SPOT.TB) ? Combien de temps de traitement de l'infection latente faut-il avant de débuter un anti-TNF, et quels schémas sont recommandés (3HR, 4R, 9H) ? Donne les différences avec le guide 2024 cité.</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B-026  ·  priorité Critique  ·  conduite</w:t>
            </w:r>
          </w:p>
        </w:tc>
        <w:tc>
          <w:tcPr>
            <w:tcW w:w="11200" w:type="dxa"/>
            <w:shd w:val="clear" w:color="auto" w:fill="FADBD8"/>
            <w:vAlign w:val="top"/>
          </w:tcPr>
          <w:p>
            <w:pPr>
              <w:spacing w:after="0"/>
            </w:pPr>
            <w:r>
              <w:rPr>
                <w:sz w:val="17"/>
                <w:szCs w:val="17"/>
              </w:rPr>
              <w:t xml:space="preserve">LOT 228 · SSP O7.6 · LOT_228_Appel_A_V5_Ultra_Pedagogique_Plan_et_Liste.html ; LOT_228_Appel_B_V5_Ultra_Pedagogique_Partie_4_DX.8_a_DX.10.html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fenêtre « corps de Howell-Jolly » ; Partie 4 › DX.9 (OPSI) › diagnostics différentiels (paludisme, méningite), tableau frottis sanguin, pronostic</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que la fièvre suffit à traiter l'asplénique et que l'OPSI a une létalité d'environ 50 %. Il ne précise ni la conduite face à une méningite (antibiotique avant ou après la ponction lombaire), ni le diagnostic du paludisme, ni le nombre de corps de Howell-Jolly qui signe l'hyposplénie.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Selon la recommandation suisse la plus récente (OFSP/CFV sur l'asplénie, SSI), quels sont l'antibiotique empirique et sa dose en cas de fièvre chez un asplénique, ainsi que l'antibiothérapie de réserve à domicile ? Quelles vaccinations faut-il ? En cas de suspicion de méningite bactérienne, quand administre-t-on l'antibiotique et la dexaméthasone par rapport au scanner et à la ponction lombaire (ESCMID 2016 ou mise à jour) ? Quel test diagnostique du paludisme recommande-t-on en urgence en Suisse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B-019  ·  priorité Haute  ·  conduite</w:t>
            </w:r>
          </w:p>
        </w:tc>
        <w:tc>
          <w:tcPr>
            <w:tcW w:w="11200" w:type="dxa"/>
            <w:shd w:val="clear" w:color="auto" w:fill="FDEBD0"/>
            <w:vAlign w:val="top"/>
          </w:tcPr>
          <w:p>
            <w:pPr>
              <w:spacing w:after="0"/>
            </w:pPr>
            <w:r>
              <w:rPr>
                <w:sz w:val="17"/>
                <w:szCs w:val="17"/>
              </w:rPr>
              <w:t xml:space="preserve">LOT 228 · SSP O7.6 · LOT_228_Appel_A_V5_Ultra_Pedagogique_Plan_et_Liste.html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9.c Alternatives › ligne « Grossesse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indique que Valcyte® et Cymevene® sont contre-indiqués pendant la grossesse et l'allaitement et que Bactrim® est contre-indiqué au dernier trimestre. L'imagerie et les autres médicaments en grossesse n'ont pas été trouvés.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Chez une femme enceinte immunosupprimée, quelles prophylaxies et quels traitements des infections opportunistes recommande-t-on (PcP, toxoplasmose, CMV, tuberculose) selon les recommandations EACS les plus récentes et les informations professionnelles suisses ? Vérifie la contre-indication de Bactrim® au dernier trimestre dans l'IP suisse actuelle. Donne les différences avec la version EACS citée.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B-020  ·  priorité Haute  ·  seuil</w:t>
            </w:r>
          </w:p>
        </w:tc>
        <w:tc>
          <w:tcPr>
            <w:tcW w:w="11200" w:type="dxa"/>
            <w:shd w:val="clear" w:color="auto" w:fill="FDEBD0"/>
            <w:vAlign w:val="top"/>
          </w:tcPr>
          <w:p>
            <w:pPr>
              <w:spacing w:after="0"/>
            </w:pPr>
            <w:r>
              <w:rPr>
                <w:sz w:val="17"/>
                <w:szCs w:val="17"/>
              </w:rPr>
              <w:t xml:space="preserve">LOT 228 · SSP O7.6 · LOT_228_Appel_B_V5_Ultra_Pedagogique_Partie_1_DX.1_a_DX.2.html ; LOT_228_Appel_B_V5_Ultra_Pedagogique_Partie_2_DX.3_a_DX.5.html ; LOT_228_Appel_A_V5_Ultra_Pedagogique_Plan_et_Liste.html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1 › DX.2 › fenêtre « Gradient alvéolo-artériel » ; Partie 2 › DX.3 (PcP) › tableaux PaO₂, gradient A-a, β-D-glucane, calendrier de surveillance et critères de guérison</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retient pour la PcP une PaO₂ &lt; 70 mmHg (EACS) et un gradient A-a &gt; 35 mmHg pour la prednisone adjuvante, et un β-D-glucane ≥ 80 ng/l sur 2 sérums. La fréquence de surveillance sous cotrimoxazole et les critères de guérison n'ont pas été trouvés.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Selon les recommandations EACS les plus récentes (et, hors VIH, ECIL et la SSI), quels seuils de PaO₂ et de gradient A-a déclenchent les corticoïdes adjuvants dans la PcP ? Donne le schéma de prednisone. Quel seuil et quelle unité de β-D-glucane (Fungitell : pg/ml ou ng/l) retient l'EORTC/MSGERC 2019 ? Selon l'IP suisse de Bactrim®, à quelle fréquence contrôle-t-on kaliémie, créatinine et hémogramme sous fortes doses ? Quelle est la durée du traitement, et quels critères fixent la fin du traitement ou la guérison ? Donne la recommandation suisse en vigueur (titre, auteur, année, URL) ; compare la version la plus récente à celle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B-022  ·  priorité Haute  ·  conduite</w:t>
            </w:r>
          </w:p>
        </w:tc>
        <w:tc>
          <w:tcPr>
            <w:tcW w:w="11200" w:type="dxa"/>
            <w:shd w:val="clear" w:color="auto" w:fill="FDEBD0"/>
            <w:vAlign w:val="top"/>
          </w:tcPr>
          <w:p>
            <w:pPr>
              <w:spacing w:after="0"/>
            </w:pPr>
            <w:r>
              <w:rPr>
                <w:sz w:val="17"/>
                <w:szCs w:val="17"/>
              </w:rPr>
              <w:t xml:space="preserve">LOT 228 · SSP O7.6 · LOT_228_Appel_A_V5_Ultra_Pedagogique_Plan_et_Liste.html ; LOT_228_Appel_B_V5_Ultra_Pedagogique_Partie_2_DX.3_a_DX.5.html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DX.5 (aspergillose) › passage à la biopsie, calendrier de surveillance (bilan avant traitement, suivi radiologique), critères de guérison, mesures environnementales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décrit le bilan avant voriconazole (ECG avec QTc, électrolytes, fonctions rénale et hépatique). Il n'a trouvé ni le critère de biopsie après un LBA non contributif, ni l'intervalle du scanner de contrôle, ni les critères de fin de traitement, ni la recommandation de filtration de l'air.</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Selon la recommandation ESCMID/ECMM/ERS la plus récente (et la SSI ou Swissnoso pour la Suisse), quand faut-il biopsier une suspicion d'aspergillose invasive ? À quel intervalle faut-il contrôler le scanner ? Quelle est la durée minimale du traitement et quels critères permettent l'arrêt ? Quelle concentration résiduelle cible du voriconazole faut-il viser (TDM), et quelles adaptations hépatiques donne l'IP suisse de Vfend® ? Swissnoso recommande-t-elle la filtration HEPA pour les patients neutropéniques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B-023  ·  priorité Haute  ·  conduite</w:t>
            </w:r>
          </w:p>
        </w:tc>
        <w:tc>
          <w:tcPr>
            <w:tcW w:w="11200" w:type="dxa"/>
            <w:shd w:val="clear" w:color="auto" w:fill="FDEBD0"/>
            <w:vAlign w:val="top"/>
          </w:tcPr>
          <w:p>
            <w:pPr>
              <w:spacing w:after="0"/>
            </w:pPr>
            <w:r>
              <w:rPr>
                <w:sz w:val="17"/>
                <w:szCs w:val="17"/>
              </w:rPr>
              <w:t xml:space="preserve">LOT 228 · SSP O7.6 · LOT_228_Appel_B_V5_Ultra_Pedagogique_Partie_3_DX.6_a_DX.7.html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3 › DX.6 (zona) › fenêtres « Varicelle de l'immunodéprimé », « analgésiques », critère du zona disséminé, C- Surveillance, lacunes (isolement)</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que le critère chiffré du zona disséminé, les mesures d'isolement (Swissnoso ne publie rien sur le VZV), la spécialité suisse des analgésiques et le calendrier de contrôle rénal sous antiviral n'ont pas été trouvés.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définition chiffrée du zona disséminé retient-on (nombre de dermatomes, lésions hors dermatome) ? Quelles mesures d'isolement (aérien et contact, durée) recommandent les hôpitaux universitaires suisses ou l'OFSP pour un zona disséminé ou un zona d'immunodéprimé ? Donne, selon l'IP suisse, les doses d'aciclovir IV et de valaciclovir chez l'immunodéprimé avec leur adaptation rénale. Quels analgésiques pour la douleur aiguë et la névralgie post-zostérienne recommande-t-on en Suisse ? Rappelle la recommandation OFSP actuelle sur le vaccin Shingrix® chez l'immunosupprimé.</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B-025  ·  priorité Haute  ·  conduite</w:t>
            </w:r>
          </w:p>
        </w:tc>
        <w:tc>
          <w:tcPr>
            <w:tcW w:w="11200" w:type="dxa"/>
            <w:shd w:val="clear" w:color="auto" w:fill="FDEBD0"/>
            <w:vAlign w:val="top"/>
          </w:tcPr>
          <w:p>
            <w:pPr>
              <w:spacing w:after="0"/>
            </w:pPr>
            <w:r>
              <w:rPr>
                <w:sz w:val="17"/>
                <w:szCs w:val="17"/>
              </w:rPr>
              <w:t xml:space="preserve">LOT 228 · SSP O7.6 · LOT_228_Appel_B_V5_Ultra_Pedagogique_Partie_4_DX.8_a_DX.10.html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4 › DX.8 (réactivation VHB) › tableau des classes de risque et diagnostics différentiels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donne les classes de risque de réactivation (modéré 1 à 10 %, faible &lt; 1 %) sans exemples de médicaments. Il n'a pas trouvé le rôle des IgM anti-HBc dans la réactivation.</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Selon la recommandation EASL la plus récente sur l'hépatite B (2025 ou ultérieure) et toute recommandation suisse (SASL, SSG), quels médicaments relèvent des classes de risque élevé, modéré et faible ? Quelle prophylaxie antivirale faut-il pour chaque classe (molécule, dose, durée après la fin du traitement) ? Les IgM anti-HBc peuvent-elles réapparaître lors d'une réactivation ? Donne les différences avec la version citée.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B-017  ·  priorité Moyenne  ·  épidémiologie</w:t>
            </w:r>
          </w:p>
        </w:tc>
        <w:tc>
          <w:tcPr>
            <w:tcW w:w="11200" w:type="dxa"/>
            <w:shd w:val="clear" w:color="auto" w:fill="EBF5FB"/>
            <w:vAlign w:val="top"/>
          </w:tcPr>
          <w:p>
            <w:pPr>
              <w:spacing w:after="0"/>
            </w:pPr>
            <w:r>
              <w:rPr>
                <w:sz w:val="17"/>
                <w:szCs w:val="17"/>
              </w:rPr>
              <w:t xml:space="preserve">LOT 228 · SSP O7.6 · LOT_228_Appel_A_V5_Ultra_Pedagogique_Plan_et_Liste.html ; LOT_228_Appel_B_V5_Ultra_Pedagogique_Partie_1_DX.1_a_DX.2.html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épidémiologie (« 42 750 nouveaux cancers par an », « présentation tardive ») ; Partie 1 › DX.2 › fenêtre « Swiss HIV Cohort Study (SHCS) » ; Partie 4 › DX.9 › diagnostic différentiel VIH</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borne la population exposée par le nombre de nouveaux cancers et les cohortes de greffés. Il n'a trouvé ni l'incidence suisse de la neutropénie fébrile, ni la prévalence des patients immunosupprimés, ni le nombre de diagnostics VIH en 2024-2025.</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est le nombre de nouveaux diagnostics VIH déclarés en Suisse en 2024 et en 2025 (OFSP, bulletin ou rapport annuel), avec la part des présentations tardives ? Quelle est la stratégie de dépistage du VIH recommandée par l'OFSP (test, indications) ? Existe-t-il une estimation suisse de la prévalence des patients immunosupprimés et de l'incidence de la neutropénie fébrile ? Donne les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B-018  ·  priorité Moyenne  ·  autorisation</w:t>
            </w:r>
          </w:p>
        </w:tc>
        <w:tc>
          <w:tcPr>
            <w:tcW w:w="11200" w:type="dxa"/>
            <w:shd w:val="clear" w:color="auto" w:fill="EBF5FB"/>
            <w:vAlign w:val="top"/>
          </w:tcPr>
          <w:p>
            <w:pPr>
              <w:spacing w:after="0"/>
            </w:pPr>
            <w:r>
              <w:rPr>
                <w:sz w:val="17"/>
                <w:szCs w:val="17"/>
              </w:rPr>
              <w:t xml:space="preserve">LOT 228 · SSP O7.6 · LOT_228_Appel_A_V5_Ultra_Pedagogique_Plan_et_Liste.html ; LOT_228_Appel_B_V5_Ultra_Pedagogique_Partie_1_DX.1_a_DX.2.html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1 › DX.1 (neutropénie fébrile) › fenêtre « céfidérocol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 céfidérocol et n'a trouvé aucun essai suisse en recrutement.</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Le céfidérocol (Fetcroja®) est-il autorisé par Swissmedic et inscrit sur la Liste des spécialités ? Donne ses indications, sa posologie et son adaptation rénale selon l'information professionnelle suisse (swissmedicinfo.ch). Quelle place lui donne la recommandation européenne la plus récente dans la neutropénie fébrile (ECIL, ESCMID)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B-027  ·  priorité Moyenne  ·  dose</w:t>
            </w:r>
          </w:p>
        </w:tc>
        <w:tc>
          <w:tcPr>
            <w:tcW w:w="11200" w:type="dxa"/>
            <w:shd w:val="clear" w:color="auto" w:fill="EBF5FB"/>
            <w:vAlign w:val="top"/>
          </w:tcPr>
          <w:p>
            <w:pPr>
              <w:spacing w:after="0"/>
            </w:pPr>
            <w:r>
              <w:rPr>
                <w:sz w:val="17"/>
                <w:szCs w:val="17"/>
              </w:rPr>
              <w:t xml:space="preserve">LOT 228 · SSP O7.6 · LOT_228_Appel_A_V5_Ultra_Pedagogique_Plan_et_Liste.html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tableau IgG, IgA, IgM et ligne DX.10 (DICV)</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retient IgG &lt; 5 g/l chez la plupart des adultes avec DICV, des B mémoire commutés &lt; 70 % et une substitution en IgG, sans le germe typique ni la dose de substitution.</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Selon les critères ESID les plus récents, quelles valeurs d'IgG, d'IgA et d'IgM et quelle réponse vaccinale définissent le DICV ? Quels germes provoquent typiquement ses infections sino-pulmonaires ? Quelles doses de substitution en IgG (IV et SC) recommande-t-on, quelle concentration résiduelle cible et quelle spécialité suisse (IP)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B-028  ·  priorité Moyenne  ·  recommandation</w:t>
            </w:r>
          </w:p>
        </w:tc>
        <w:tc>
          <w:tcPr>
            <w:tcW w:w="11200" w:type="dxa"/>
            <w:shd w:val="clear" w:color="auto" w:fill="EBF5FB"/>
            <w:vAlign w:val="top"/>
          </w:tcPr>
          <w:p>
            <w:pPr>
              <w:spacing w:after="0"/>
            </w:pPr>
            <w:r>
              <w:rPr>
                <w:sz w:val="17"/>
                <w:szCs w:val="17"/>
              </w:rPr>
              <w:t xml:space="preserve">LOT 228 · SSP O7.6 · LOT_228_Appel_A_V5_Ultra_Pedagogique_Plan_et_Liste.html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cadre légal 5 › fenêtre « CC art. 16 : la capacité de discernement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 CC art. 16 ; les directives de l'ASSM sur la capacité de discernement n'ont pas été lues.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disent les directives médico-éthiques de l'ASSM sur l'évaluation de la capacité de discernement dans la pratique médicale (édition la plus récente, année, URL) ? Quelles étapes et quels critères proposent-elles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B-030  ·  priorité Critique  ·  dose</w:t>
            </w:r>
          </w:p>
        </w:tc>
        <w:tc>
          <w:tcPr>
            <w:tcW w:w="11200" w:type="dxa"/>
            <w:shd w:val="clear" w:color="auto" w:fill="FADBD8"/>
            <w:vAlign w:val="top"/>
          </w:tcPr>
          <w:p>
            <w:pPr>
              <w:spacing w:after="0"/>
            </w:pPr>
            <w:r>
              <w:rPr>
                <w:sz w:val="17"/>
                <w:szCs w:val="17"/>
              </w:rPr>
              <w:t xml:space="preserve">LOT 229 · SSP O7.7 · LOT_229_Appel_A_V5_Ultra_Pedagogique_Plan_et_Liste.html ; LOT_229_Appel_B_V5_Ultra_Pedagogique_Partie_1_DX.1_a_DX.2.html ; LOT_229_Appel_B_V5_Ultra_Pedagogique_Partie_3_DX.6_a_DX.7.html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fenêtre « choc anaphylactique » et ligne « Grossesse » ; Partie 1 › DX.2 › tableau adrénaline ; Partie 3 › fenêtre « Fiche Epipen®/Jext® complète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donne les doses des auto-injecteurs (Epipen® 0,3 et 0,15 mg ; Jext® 300 et 150 µg ; seuils de poids 30, 15 et 7,5 kg ; 2e injection après 5 à 15 min). Il n'a vérifié ni la spécialité suisse de l'ampoule hospitalière, ni l'adaptation rénale ou hépatique, ni l'adaptation des tests en grossesse. Il écrit que Neffy® et Emerade® sont absents de la LS.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spécialité suisse d'adrénaline en ampoule (1 mg/ml) sert à l'injection IM hospitalière, et quelle dose donne son IP (0,01 mg/kg, maximum 0,5 mg adulte) ? Les IP suisses d'Epipen® et de Jext® prévoient-elles une adaptation rénale ou hépatique ? Neffy® (adrénaline nasale) est-il autorisé par Swissmedic au 22.10.2026 ? Quelle conduite face à l'anaphylaxie recommandent les recommandations suisses (SSAI/aha!) et l'EAACI 2026, et quelles différences présentent-elles avec les versions citées ? Que recommande-t-on pour l'anaphylaxie pendant la grossesse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B-031  ·  priorité Haute  ·  dose</w:t>
            </w:r>
          </w:p>
        </w:tc>
        <w:tc>
          <w:tcPr>
            <w:tcW w:w="11200" w:type="dxa"/>
            <w:shd w:val="clear" w:color="auto" w:fill="FDEBD0"/>
            <w:vAlign w:val="top"/>
          </w:tcPr>
          <w:p>
            <w:pPr>
              <w:spacing w:after="0"/>
            </w:pPr>
            <w:r>
              <w:rPr>
                <w:sz w:val="17"/>
                <w:szCs w:val="17"/>
              </w:rPr>
              <w:t xml:space="preserve">LOT 229 · SSP O7.7 · LOT_229_Appel_A_V5_Ultra_Pedagogique_Plan_et_Liste.html ; LOT_229_Appel_B_V5_Ultra_Pedagogique_Partie_1_DX.1_a_DX.2.html ; LOT_229_Appel_B_V5_Ultra_Pedagogique_Partie_3_DX.6_a_DX.7.html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fenêtres « salbutamol » et « glucagon » ; Partie 1 › DX.2 › tableau des traitements adjuvants ; Partie 3 › fiche Ventolin®</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donne le salbutamol (IP Ventolin® et Swisspeddose ; nébulisé 5 mg ou 2,5 mg selon RCUK) et le glucagon hors indication sous bêtabloquant (adulte 1 mg IV, puis 1 à 2 mg/h ; enfant 20 à 30 µg/kg). Les adaptations rénales et hépatiques des traitements adjuvants n'ont pas été trouvées.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Selon les IP suisses (Ventolin®, GlucaGen®, Spiricort® ou autre corticoïde IV, antihistaminique IV disponible en Suisse), quelles doses et quelles adaptations rénales ou hépatiques s'appliquent aux traitements adjuvants de l'anaphylaxie ? Quelle dose de glucagon recommande la ligne directrice européenne la plus récente (EAACI, WAO, RCUK 2021 ou mise à jour) pour une anaphylaxie sous bêtabloquant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B-032  ·  priorité Haute  ·  seuil</w:t>
            </w:r>
          </w:p>
        </w:tc>
        <w:tc>
          <w:tcPr>
            <w:tcW w:w="11200" w:type="dxa"/>
            <w:shd w:val="clear" w:color="auto" w:fill="FDEBD0"/>
            <w:vAlign w:val="top"/>
          </w:tcPr>
          <w:p>
            <w:pPr>
              <w:spacing w:after="0"/>
            </w:pPr>
            <w:r>
              <w:rPr>
                <w:sz w:val="17"/>
                <w:szCs w:val="17"/>
              </w:rPr>
              <w:t xml:space="preserve">LOT 229 · SSP O7.7 · LOT_229_Appel_A_V5_Ultra_Pedagogique_Plan_et_Liste.html ; LOT_229_Appel_B_V5_Ultra_Pedagogique_Partie_1_DX.1_a_DX.2.html ; LOT_229_Appel_B_V5_Ultra_Pedagogique_Partie_2_DX.3_a_DX.5.html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tableaux « IgE spécifiques, tests cutanés et composants » et « test de provocation orale » ; Partie 1 › DX.2 › seuils et critères d'arrêt de l'éviction ; Partie 2 › DX.3 › IgE bouleau/Bet v 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que les seuils chiffrés des IgE spécifiques, du prick test, du test d'activation des basophiles et des composants (Ara h 2, Cor a 14, Ana o 3, Bet v 1) n'ont pas été trouvés. Il n'a pas trouvé la sensibilité et la spécificité de la provocation orale ni le critère d'arrêt de l'éviction.</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Selon la recommandation EAACI la plus récente sur le diagnostic de l'allergie alimentaire (2023 ou mise à jour) et la SSAI, quels seuils (kUA/l, diamètre de papule en mm) ont une valeur prédictive positive de 95 % pour l'arachide, la noisette et le cajou, en particulier Ara h 2 ? Quand et comment refait-on une provocation orale pour lever une éviction ? Quelles différences présente la version la plus récente avec celle de 2023 citée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B-033  ·  priorité Haute  ·  autorisation</w:t>
            </w:r>
          </w:p>
        </w:tc>
        <w:tc>
          <w:tcPr>
            <w:tcW w:w="11200" w:type="dxa"/>
            <w:shd w:val="clear" w:color="auto" w:fill="FDEBD0"/>
            <w:vAlign w:val="top"/>
          </w:tcPr>
          <w:p>
            <w:pPr>
              <w:spacing w:after="0"/>
            </w:pPr>
            <w:r>
              <w:rPr>
                <w:sz w:val="17"/>
                <w:szCs w:val="17"/>
              </w:rPr>
              <w:t xml:space="preserve">LOT 229 · SSP O7.7 · LOT_229_Appel_A_V5_Ultra_Pedagogique_Plan_et_Liste.html ; LOT_229_Appel_B_V5_Ultra_Pedagogique_Partie_1_DX.1_a_DX.2.html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fenêtre « omalizumab » ; Partie 1 › DX.2 › tableau omalizumab</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que l'EAACI 2025 suggère l'omalizumab dans l'allergie alimentaire, que l'IP suisse de Xolair® le dit insuffisamment étudié dans cette indication et que la dose n'a pas été trouvée.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Au 22.10.2026, Swissmedic a-t-il autorisé Xolair® (omalizumab) dans l'allergie alimentaire IgE-médiée ? Quelle limitation de la LS s'applique ? Quelle posologie (selon les IgE totales et le poids) donne l'IP ou, à défaut, le libellé de l'EMA ou de l'EAACI 2025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B-034  ·  priorité Haute  ·  dose</w:t>
            </w:r>
          </w:p>
        </w:tc>
        <w:tc>
          <w:tcPr>
            <w:tcW w:w="11200" w:type="dxa"/>
            <w:shd w:val="clear" w:color="auto" w:fill="FDEBD0"/>
            <w:vAlign w:val="top"/>
          </w:tcPr>
          <w:p>
            <w:pPr>
              <w:spacing w:after="0"/>
            </w:pPr>
            <w:r>
              <w:rPr>
                <w:sz w:val="17"/>
                <w:szCs w:val="17"/>
              </w:rPr>
              <w:t xml:space="preserve">LOT 229 · SSP O7.7 · LOT_229_Appel_A_V5_Ultra_Pedagogique_Plan_et_Liste.html ; LOT_229_Appel_B_V5_Ultra_Pedagogique_Partie_4_DX.8_a_DX.10.html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fenêtre « ésoméprazole » ; Partie 4 › DX.8 (œsophagite à éosinophiles) › alternatives (enfant, grossesse), fenêtre juridique LS, C- Surveillance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note que Nexium® est hors indication dans l'œsophagite à éosinophiles, sans dose. Il s'appuie sur les limitations LS de Jorveza® et de Dupixent®. Il n'a trouvé ni la conduite pendant la grossesse ni le calendrier complet de surveillance.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dose d'IPP (ésoméprazole, oméprazole) et quelle durée d'induction recommandent les lignes directrices européennes (EUREOS/UEG 2017 et mise à jour, ESPGHAN 2024) dans l'œsophagite à éosinophiles, chez l'adulte et chez l'enfant ? Donne la dose de Jorveza® et de Dupixent® dans cette indication selon les IP suisses. Quelle conduite recommande-t-on pendant la grossesse ? Quand faut-il refaire une endoscopie de contrôle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B-035  ·  priorité Haute  ·  seuil</w:t>
            </w:r>
          </w:p>
        </w:tc>
        <w:tc>
          <w:tcPr>
            <w:tcW w:w="11200" w:type="dxa"/>
            <w:shd w:val="clear" w:color="auto" w:fill="FDEBD0"/>
            <w:vAlign w:val="top"/>
          </w:tcPr>
          <w:p>
            <w:pPr>
              <w:spacing w:after="0"/>
            </w:pPr>
            <w:r>
              <w:rPr>
                <w:sz w:val="17"/>
                <w:szCs w:val="17"/>
              </w:rPr>
              <w:t xml:space="preserve">LOT 229 · SSP O7.7 · LOT_229_Appel_A_V5_Ultra_Pedagogique_Plan_et_Liste.html ; LOT_229_Appel_B_V5_Ultra_Pedagogique_Partie_2_DX.3_a_DX.5.html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tableaux sérologie/biopsie, calprotectine, « Régime sans gluten déjà commencé », surveillance ; Partie 2 › DX.5 (maladie cœliaque) › étiquetage, bisphosphonate, RCD</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que la durée de réintroduction du gluten avant la sérologie, le seuil de la calprotectine, le calendrier de suivi, la posologie d'Aclasta® et les spécialités suisses du traitement de la maladie cœliaque réfractaire n'ont pas été trouvés. Il juge l'étiquette « très faible teneur en gluten » déconseillée par prudence.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Selon l'ESsCD 2019 (ou mise à jour), l'ESPGHAN 2020 et toute recommandation suisse (SSG, IG Zöliakie), quelle quantité de gluten faut-il réintroduire et pendant combien de temps avant la sérologie ? Quel calendrier de suivi sérologique faut-il ? Les produits à « très faible teneur en gluten » (≤ 100 mg/kg) conviennent-ils au patient cœliaque ? Quel seuil de calprotectine fécale (µg/g) retient l'UEG/ESNM pour orienter vers une MICI ? Donne la posologie d'Aclasta® dans l'ostéoporose selon l'IP suisse et les spécialités suisses de budésonide, d'azathioprine et de cladribine.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B-037  ·  priorité Haute  ·  dose</w:t>
            </w:r>
          </w:p>
        </w:tc>
        <w:tc>
          <w:tcPr>
            <w:tcW w:w="11200" w:type="dxa"/>
            <w:shd w:val="clear" w:color="auto" w:fill="FDEBD0"/>
            <w:vAlign w:val="top"/>
          </w:tcPr>
          <w:p>
            <w:pPr>
              <w:spacing w:after="0"/>
            </w:pPr>
            <w:r>
              <w:rPr>
                <w:sz w:val="17"/>
                <w:szCs w:val="17"/>
              </w:rPr>
              <w:t xml:space="preserve">LOT 229 · SSP O7.7 · LOT_229_Appel_B_V5_Ultra_Pedagogique_Partie_2_DX.3_a_DX.5.html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DX.4 (SII-D / FODMAP) › tableau SeHCAT et tableau des traitements (rifaximine, ondansétron)</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 rifaximine (Xifaxan® 550 mg 3×/j pendant 2 semaines dans les essais) et l'ondansétron (4 mg/j jusqu'à 8 mg 3×/j) hors indication dans le SII-D. Il n'a trouvé ni la posologie suisse ni le seuil normal du SeHCAT.</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En Suisse, la rifaximine et l'ondansétron sont-ils autorisés ou remboursés dans le SII-D (IP, LS) ? Quelles posologies recommande la ligne directrice UEG/ESNM 2021 ou sa mise à jour ? Quel seuil de rétention du SeHCAT à 7 jours définit la diarrhée des acides biliaires (&lt; 10 %, &lt; 15 %), et le test est-il disponible en Suisse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B-038  ·  priorité Haute  ·  conduite</w:t>
            </w:r>
          </w:p>
        </w:tc>
        <w:tc>
          <w:tcPr>
            <w:tcW w:w="11200" w:type="dxa"/>
            <w:shd w:val="clear" w:color="auto" w:fill="FDEBD0"/>
            <w:vAlign w:val="top"/>
          </w:tcPr>
          <w:p>
            <w:pPr>
              <w:spacing w:after="0"/>
            </w:pPr>
            <w:r>
              <w:rPr>
                <w:sz w:val="17"/>
                <w:szCs w:val="17"/>
              </w:rPr>
              <w:t xml:space="preserve">LOT 229 · SSP O7.7 · LOT_229_Appel_A_V5_Ultra_Pedagogique_Plan_et_Liste.html ; LOT_229_Appel_B_V5_Ultra_Pedagogique_Partie_3_DX.6_a_DX.7.html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fenêtre « déclaration des toxi-infections alimentaires » ; Bloc 2 › ligne DX.6 ; Partie 3 › DX.6 › norovirus, antibiothérapie, déclaration obligatoire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l'ordonnance du DFI sur la déclaration (RS 818.101.126) sans les articles précis. Il n'a trouvé ni les durées d'incubation, ni les schémas antibiotiques de l'ESPGHAN/ESPID, ni une recommandation suisse ou de l'ESCMID.</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articles et quelles annexes de l'ordonnance du DFI (RS 818.101.126, version en vigueur) fixent la déclaration de Campylobacter, Salmonella, STEC, Listeria et des foyers de toxi-infection (délai, déclarant) ? Quelles sont les durées d'incubation de Campylobacter, Salmonella, STEC, norovirus, S. aureus et B. cereus ? Quand et avec quels antibiotiques (molécule, dose, durée) faut-il traiter une gastro-entérite bactérienne chez l'adulte et chez l'enfant (SSI, ESPGHAN/ESPID 2014 ou mise à jour) ? Rappelle la contre-indication des antibiotiques dans l'infection à STEC.</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B-039  ·  priorité Haute  ·  dose</w:t>
            </w:r>
          </w:p>
        </w:tc>
        <w:tc>
          <w:tcPr>
            <w:tcW w:w="11200" w:type="dxa"/>
            <w:shd w:val="clear" w:color="auto" w:fill="FDEBD0"/>
            <w:vAlign w:val="top"/>
          </w:tcPr>
          <w:p>
            <w:pPr>
              <w:spacing w:after="0"/>
            </w:pPr>
            <w:r>
              <w:rPr>
                <w:sz w:val="17"/>
                <w:szCs w:val="17"/>
              </w:rPr>
              <w:t xml:space="preserve">LOT 229 · SSP O7.7 · LOT_229_Appel_B_V5_Ultra_Pedagogique_Partie_3_DX.6_a_DX.7.html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3 › DX.7 (APLV/FPIES) › fiche « Ondansétron — FPIES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reprend la posologie du groupe français (dès 6 mois et 8 kg) : per os 2, 4 ou 8 mg selon le poids, IV 0,15 mg/kg (maximum 8 mg). Il note que l'usage est hors indication en Suisse et que l'adaptation rénale n'a pas été trouvée.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conduite face à une crise aiguë de FPIES recommandent le consensus international et toute recommandation suisse ou européenne récente (SSP/SGP, EAACI, ESPGHAN) ? Donne la dose d'ondansétron, l'âge minimal et le remplissage. Quelles adaptations rénales et hépatiques donne l'IP suisse de Zofran® ? Quelle formule de remplacement recommande la SSP pour l'APLV du nourrisson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B-029  ·  priorité Moyenne  ·  épidémiologie</w:t>
            </w:r>
          </w:p>
        </w:tc>
        <w:tc>
          <w:tcPr>
            <w:tcW w:w="11200" w:type="dxa"/>
            <w:shd w:val="clear" w:color="auto" w:fill="EBF5FB"/>
            <w:vAlign w:val="top"/>
          </w:tcPr>
          <w:p>
            <w:pPr>
              <w:spacing w:after="0"/>
            </w:pPr>
            <w:r>
              <w:rPr>
                <w:sz w:val="17"/>
                <w:szCs w:val="17"/>
              </w:rPr>
              <w:t xml:space="preserve">LOT 229 · SSP O7.7 · LOT_229_Appel_A_V5_Ultra_Pedagogique_Plan_et_Liste.html ; LOT_229_Appel_B_V5_Ultra_Pedagogique_Partie_2_DX.3_a_DX.5.html ; LOT_229_Appel_B_V5_Ultra_Pedagogique_Partie_4_DX.8_a_DX.10.html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tableau épidémiologique et fenêtre « chiffres écartés » ; Partie 2 › DX.3-DX.4 › tableaux des chiffres ; Partie 4 › DX.9-DX.10 › prévalence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n'a trouvé aucune prévalence suisse du SII, de la sensibilité au gluten non cœliaque, du syndrome pollen-aliment ni de l'intoxication scombroïde. Il cite un chiffre multinational du SII-D (0,4 à 1,2 %) et environ 1 % de maladie cœliaque en Suisse.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prévalences suisses (ou, à défaut, européennes récentes) existent pour le SII selon Rome IV, la sensibilité au gluten ou au blé non cœliaque, le syndrome pollen-aliment et l'intoxication scombroïde (déclarations OSAV/OFSP) ? Donne la source, l'année, la population et l'URL.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B-036  ·  priorité Moyenne  ·  dose</w:t>
            </w:r>
          </w:p>
        </w:tc>
        <w:tc>
          <w:tcPr>
            <w:tcW w:w="11200" w:type="dxa"/>
            <w:shd w:val="clear" w:color="auto" w:fill="EBF5FB"/>
            <w:vAlign w:val="top"/>
          </w:tcPr>
          <w:p>
            <w:pPr>
              <w:spacing w:after="0"/>
            </w:pPr>
            <w:r>
              <w:rPr>
                <w:sz w:val="17"/>
                <w:szCs w:val="17"/>
              </w:rPr>
              <w:t xml:space="preserve">LOT 229 · SSP O7.7 · LOT_229_Appel_A_V5_Ultra_Pedagogique_Plan_et_Liste.html ; LOT_229_Appel_B_V5_Ultra_Pedagogique_Partie_1_DX.1_a_DX.2.html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tableau « Lactase et DAO orales » ; Partie 1 › DX.1 (lactose) › grossesse, lactase, probiotiques, recherche 2026</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qu'aucune spécialité suisse de lactase n'est enregistrée (compléments alimentaires) et que la dose des probiotiques, l'adaptation du test respiratoire pendant la grossesse et les données d'enregistrement de l'essai GOS RP-G28 n'ont pas été trouvées.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produits de lactase sont vendus en Suisse (statut : complément alimentaire ou médicament) et quelle dose (unités FCC par gramme de lactose) recommande-t-on ? Le test respiratoire à l'hydrogène est-il réalisable pendant la grossesse ? Quels probiotiques, à quelle dose, ont été étudiés dans l'intolérance au lactose ? Donne le numéro d'enregistrement et la phase de l'essai RP-G28.</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B-040  ·  priorité Moyenne  ·  conduite</w:t>
            </w:r>
          </w:p>
        </w:tc>
        <w:tc>
          <w:tcPr>
            <w:tcW w:w="11200" w:type="dxa"/>
            <w:shd w:val="clear" w:color="auto" w:fill="EBF5FB"/>
            <w:vAlign w:val="top"/>
          </w:tcPr>
          <w:p>
            <w:pPr>
              <w:spacing w:after="0"/>
            </w:pPr>
            <w:r>
              <w:rPr>
                <w:sz w:val="17"/>
                <w:szCs w:val="17"/>
              </w:rPr>
              <w:t xml:space="preserve">LOT 229 · SSP O7.7 · LOT_229_Appel_B_V5_Ultra_Pedagogique_Partie_4_DX.8_a_DX.10.html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4 › DX.9 (histamine/scombroïde) › critères, gold standard, test « histamine 50 », alternatives, tableau des traitements (anti-H2, DAO)</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qu'aucune société savante ne publie de critères formels de l'intoxication scombroïde, que la DAO n'est pas recommandée par la guideline DGAKI/SGAI et qu'aucun anti-H2 n'est inscrit sur la LS.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conduite (antihistaminique H1 et H2, molécule, dose) recommande-t-on pour l'intoxication scombroïde selon une source suisse ou européenne récente ? Quel anti-H2 reste disponible en Suisse (Swissmedic, au 22.10.2026) ? La guideline DGAKI/SGAI sur l'histamine (édition la plus récente) a-t-elle changé de position sur la DAO et sur le test « histamine 50 »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B-041  ·  priorité Moyenne  ·  recommandation</w:t>
            </w:r>
          </w:p>
        </w:tc>
        <w:tc>
          <w:tcPr>
            <w:tcW w:w="11200" w:type="dxa"/>
            <w:shd w:val="clear" w:color="auto" w:fill="EBF5FB"/>
            <w:vAlign w:val="top"/>
          </w:tcPr>
          <w:p>
            <w:pPr>
              <w:spacing w:after="0"/>
            </w:pPr>
            <w:r>
              <w:rPr>
                <w:sz w:val="17"/>
                <w:szCs w:val="17"/>
              </w:rPr>
              <w:t xml:space="preserve">LOT 229 · SSP O7.7 · LOT_229_Appel_A_V5_Ultra_Pedagogique_Plan_et_Liste.html ; LOT_229_Appel_B_V5_Ultra_Pedagogique_Partie_4_DX.8_a_DX.10.html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ligne DX.10 ; Partie 4 › DX.10 (gluten/blé non cœliaque) › gold standard, alternatives, traitement, surveillance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suit les critères de Salerno (provocation à 8 g/j de gluten, variation ≥ 30 %). Il n'a trouvé ni le délai d'apparition des symptômes, ni la conduite pendant la grossesse, ni un traitement validé, ni un suivi spécifique.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Les critères de Salerno (2015) restent-ils la référence en 2026, ou une recommandation européenne plus récente les remplace-t-elle ? Quel délai d'apparition des symptômes retient-on après l'ingestion de gluten ? Quelle conduite diététique et quel suivi recommande-t-on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B-043  ·  priorité Haute  ·  recommandation</w:t>
            </w:r>
          </w:p>
        </w:tc>
        <w:tc>
          <w:tcPr>
            <w:tcW w:w="11200" w:type="dxa"/>
            <w:shd w:val="clear" w:color="auto" w:fill="FDEBD0"/>
            <w:vAlign w:val="top"/>
          </w:tcPr>
          <w:p>
            <w:pPr>
              <w:spacing w:after="0"/>
            </w:pPr>
            <w:r>
              <w:rPr>
                <w:sz w:val="17"/>
                <w:szCs w:val="17"/>
              </w:rPr>
              <w:t xml:space="preserve">LOT 230 · SSP O7.8 · LOT_230_Appel_B_V5_Ultra_Pedagogique_Partie_1_DX.1_a_DX.2.html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1 › DX.1 (dépression somatisée) › critères, ligne « Grossesse », B- Moyens non médicamenteux</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que la ligne directrice suisse de la dépression de 2016 n'a pas pu être lue (critères, protocole de psychothérapie) et que la recommandation suisse de la dépression pendant la grossesse n'a pas été trouvée.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recommandation suisse en vigueur pour le traitement de la dépression unipolaire (SSAD/SGAD, SSPP/SGPP, Swiss Medical Forum ; version 2016 ou mise à jour) ? Donne le titre, l'année, l'URL et les différences avec la version de 2016. Quelle recommandation suisse ou européenne encadre la dépression pendant la grossesse et l'allaitement (choix de l'ISRS, sertraline, surveillance du nouveau-né)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B-044  ·  priorité Haute  ·  seuil</w:t>
            </w:r>
          </w:p>
        </w:tc>
        <w:tc>
          <w:tcPr>
            <w:tcW w:w="11200" w:type="dxa"/>
            <w:shd w:val="clear" w:color="auto" w:fill="FDEBD0"/>
            <w:vAlign w:val="top"/>
          </w:tcPr>
          <w:p>
            <w:pPr>
              <w:spacing w:after="0"/>
            </w:pPr>
            <w:r>
              <w:rPr>
                <w:sz w:val="17"/>
                <w:szCs w:val="17"/>
              </w:rPr>
              <w:t xml:space="preserve">LOT 230 · SSP O7.8 · LOT_230_Appel_A_V5_Ultra_Pedagogique_Plan_et_Liste.html ; LOT_230_Appel_B_V5_Ultra_Pedagogique_Partie_1_DX.1_a_DX.2.html ; LOT_230_Appel_B_V5_Ultra_Pedagogique_Partie_2_DX.3_a_DX.5.html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seuils biologiques ; Partie 1 › fenêtre « ECG et électrolytes avant escitalopram », C- Surveillance ; Partie 2 › DX.4-DX.5 › biologie (ISRS, lopéramide)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que l'escitalopram est contre-indiqué en cas de QT long et que la sertraline expose à l'hyponatrémie (cas &lt; 110 mmol/L). Il n'a trouvé ni seuil de QTc ni calendrier de contrôle (J3, J7, M1) ni seuil d'arrêt.</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Selon les IP suisses de Cipralex® (escitalopram) et de Zoloft® (sertraline), quelle valeur de QTc impose l'arrêt ou contre-indique le traitement ? Quelle natrémie faut-il contrôler, chez quels patients et à quelles échéances (recommandation suisse ou européenne) ? Quelle surveillance ECG s'impose sous lopéramide à forte dose selon l'IP suisse d'Imodium®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B-045  ·  priorité Haute  ·  dose</w:t>
            </w:r>
          </w:p>
        </w:tc>
        <w:tc>
          <w:tcPr>
            <w:tcW w:w="11200" w:type="dxa"/>
            <w:shd w:val="clear" w:color="auto" w:fill="FDEBD0"/>
            <w:vAlign w:val="top"/>
          </w:tcPr>
          <w:p>
            <w:pPr>
              <w:spacing w:after="0"/>
            </w:pPr>
            <w:r>
              <w:rPr>
                <w:sz w:val="17"/>
                <w:szCs w:val="17"/>
              </w:rPr>
              <w:t xml:space="preserve">LOT 230 · SSP O7.8 · LOT_230_Appel_A_V5_Ultra_Pedagogique_Plan_et_Liste.html ; LOT_230_Appel_B_V5_Ultra_Pedagogique_Partie_2_DX.3_a_DX.5.html ; LOT_230_Appel_B_V5_Ultra_Pedagogique_Partie_4_DX.8_a_DX.10.html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tableau Zoloft® ; Partie 2 › DX.4 › tableau des autres antidépresseurs (SSAD 2024) ; Partie 4 › DX.9 › tableau Zoloft®</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donne la sertraline (dépression 50 à 200 mg/j ; panique 25 mg puis 50 mg ; demi-dose en insuffisance hépatique) et les doses SSAD 2024 du trouble panique (citalopram, paroxétine, venlafaxine, clomipramine). Il n'a vérifié ni les spécialités suisses ni les contre-indications, et il n'a pas repris les doses du TAG.</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Selon les IP suisses, quelles spécialités, quelles doses, quelles contre-indications et quelles adaptations rénales et hépatiques s'appliquent au citalopram, à la paroxétine, à la venlafaxine, à l'escitalopram et à la clomipramine dans le trouble panique et le TAG ? Quelles doses recommande la recommandation suisse SSAD 2024 pour le TAG ? Vérifie l'adaptation rénale de la sertraline dans l'IP de Zoloft®.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B-046  ·  priorité Haute  ·  recommandation</w:t>
            </w:r>
          </w:p>
        </w:tc>
        <w:tc>
          <w:tcPr>
            <w:tcW w:w="11200" w:type="dxa"/>
            <w:shd w:val="clear" w:color="auto" w:fill="FDEBD0"/>
            <w:vAlign w:val="top"/>
          </w:tcPr>
          <w:p>
            <w:pPr>
              <w:spacing w:after="0"/>
            </w:pPr>
            <w:r>
              <w:rPr>
                <w:sz w:val="17"/>
                <w:szCs w:val="17"/>
              </w:rPr>
              <w:t xml:space="preserve">LOT 230 · SSP O7.8 · LOT_230_Appel_A_V5_Ultra_Pedagogique_Plan_et_Liste.html ; LOT_230_Appel_B_V5_Ultra_Pedagogique_Partie_4_DX.8_a_DX.10.html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fenêtre post-COVID-19 ; Partie 4 › DX.8 (EM/SFC et post-COVID-19) › divergence NICE/EUROMENE, traitements, surveillance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suit NICE 2021 et EUROMENE 2021 ; la page de l'OFSP sur l'affection post-COVID-19 n'a pas pu être lue, et aucune recommandation suisse n'a été trouvée. Il n'existe aucun médicament autorisé.</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recommandations suisses existent sur l'affection post-COVID-19 et l'EM/SFC (OFSP, SSMIG, « Swiss Post-COVID Care », SSP pédiatrie ; titre, année, URL) ? Quelle définition et quelle durée retiennent-elles ? Une recommandation européenne plus récente que NICE 2021 et EUROMENE 2021 existe-t-elle ? Quels traitements symptomatiques et quel suivi recommande-t-on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B-042  ·  priorité Moyenne  ·  épidémiologie</w:t>
            </w:r>
          </w:p>
        </w:tc>
        <w:tc>
          <w:tcPr>
            <w:tcW w:w="11200" w:type="dxa"/>
            <w:shd w:val="clear" w:color="auto" w:fill="EBF5FB"/>
            <w:vAlign w:val="top"/>
          </w:tcPr>
          <w:p>
            <w:pPr>
              <w:spacing w:after="0"/>
            </w:pPr>
            <w:r>
              <w:rPr>
                <w:sz w:val="17"/>
                <w:szCs w:val="17"/>
              </w:rPr>
              <w:t xml:space="preserve">LOT 230 · SSP O7.8 · LOT_230_Appel_A_V5_Ultra_Pedagogique_Plan_et_Liste.html ; LOT_230_Appel_B_V5_Ultra_Pedagogique_Partie_1_DX.1_a_DX.2.html ; LOT_230_Appel_B_V5_Ultra_Pedagogique_Partie_2_DX.3_a_DX.5.html ; LOT_230_Appel_B_V5_Ultra_Pedagogique_Partie_4_DX.8_a_DX.10.html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épidémiologie ; Partie 1 › DX.1-DX.2 ; Partie 2 › DX.3-DX.5 ; Partie 4 › DX.8-DX.9 › tableaux de prévalence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n'a trouvé aucune prévalence nationale suisse des troubles somatoformes, des épisodes dépressifs, des troubles anxieux, du SII, de l'EM/SFC ni de l'hypocondrie. Il cite des sous-groupes de l'ESS 2022 (Obsan) et des chiffres mondiaux ou européens.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prévalences suisses publient l'Obsan, l'OFS (ESS 2022) ou des études suisses pour la dépression, les troubles anxieux, les troubles somatoformes ou de détresse corporelle, le SII, l'EM/SFC, l'affection post-COVID-19 et l'hypocondrie ? Donne la source, l'année, la population et l'URL. À défaut, donne la référence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B-047  ·  priorité Moyenne  ·  recommandation</w:t>
            </w:r>
          </w:p>
        </w:tc>
        <w:tc>
          <w:tcPr>
            <w:tcW w:w="11200" w:type="dxa"/>
            <w:shd w:val="clear" w:color="auto" w:fill="EBF5FB"/>
            <w:vAlign w:val="top"/>
          </w:tcPr>
          <w:p>
            <w:pPr>
              <w:spacing w:after="0"/>
            </w:pPr>
            <w:r>
              <w:rPr>
                <w:sz w:val="17"/>
                <w:szCs w:val="17"/>
              </w:rPr>
              <w:t xml:space="preserve">LOT 230 · SSP O7.8 · LOT_230_Appel_B_V5_Ultra_Pedagogique_Partie_1_DX.1_a_DX.2.html ; LOT_230_Appel_B_V5_Ultra_Pedagogique_Partie_3_DX.6_a_DX.7.html ; LOT_230_Appel_B_V5_Ultra_Pedagogique_Partie_4_DX.8_a_DX.10.html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1 › DX.1-DX.2 › cadre déontologique (certificats) ; Partie 3 › fenêtre « Communication et alliance thérapeutique » ; Partie 4 › DX.10 › source CP</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que le code de déontologie de la FMH sur les certificats, les demandes d'examens et l'annonce du diagnostic n'a pas été relu. Il cite le CP (état au 1.10.2026).</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prévoit le code de déontologie de la FMH en vigueur (articles exacts, version, URL) sur les certificats médicaux, l'information du patient et les examens inutiles ? Que disent les directives FMH sur les certificats d'incapacité de travail ? Quelles sanctions prévoit le CP art. 318 pour un faux certificat médical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B-048  ·  priorité Moyenne  ·  seuil</w:t>
            </w:r>
          </w:p>
        </w:tc>
        <w:tc>
          <w:tcPr>
            <w:tcW w:w="11200" w:type="dxa"/>
            <w:shd w:val="clear" w:color="auto" w:fill="EBF5FB"/>
            <w:vAlign w:val="top"/>
          </w:tcPr>
          <w:p>
            <w:pPr>
              <w:spacing w:after="0"/>
            </w:pPr>
            <w:r>
              <w:rPr>
                <w:sz w:val="17"/>
                <w:szCs w:val="17"/>
              </w:rPr>
              <w:t xml:space="preserve">LOT 230 · SSP O7.8 · LOT_230_Appel_B_V5_Ultra_Pedagogique_Partie_2_DX.3_a_DX.5.html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DX.3 › fenêtres « diarrhée nocturne », « Diarrhée chronique », « diarrhée des acides biliaires » ; DX.5 (SII) › sous-types SII-C, SII mixte, SII non classé, fenêtre Bristol</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n'a trouvé ni le seuil de durée de la diarrhée chronique, ni les critères détaillés des sous-types Rome (mixte, non classé), ni la disponibilité en Suisse des dosages des acides biliaires.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Selon Rome IV et Rome V (2026), quels critères de proportion des selles de Bristol définissent les sous-types SII-C, SII-D, SII-M et SII non classé ? Quelle durée définit la diarrhée chronique selon la recommandation européenne la plus récente (≥ 4 semaines) ? Le SeHCAT et le dosage du C4 sérique sont-ils disponibles en Suisse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B-049  ·  priorité Moyenne  ·  seuil</w:t>
            </w:r>
          </w:p>
        </w:tc>
        <w:tc>
          <w:tcPr>
            <w:tcW w:w="11200" w:type="dxa"/>
            <w:shd w:val="clear" w:color="auto" w:fill="EBF5FB"/>
            <w:vAlign w:val="top"/>
          </w:tcPr>
          <w:p>
            <w:pPr>
              <w:spacing w:after="0"/>
            </w:pPr>
            <w:r>
              <w:rPr>
                <w:sz w:val="17"/>
                <w:szCs w:val="17"/>
              </w:rPr>
              <w:t xml:space="preserve">LOT 230 · SSP O7.8 · LOT_230_Appel_A_V5_Ultra_Pedagogique_Plan_et_Liste.html ; LOT_230_Appel_B_V5_Ultra_Pedagogique_Partie_3_DX.6_a_DX.7.html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fenêtres « signe de Hoover » et « vidéo-EEG (crises fonctionnelles) » ; Partie 3 › DX.7 › tableau lactate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14 signes positifs validés (sensibilité 8 à 100 %, spécificité 92 à 100 %) sans les valeurs propres au signe de Hoover. Il n'a trouvé ni le seuil de positivité de la vidéo-EEG, ni la valeur du lactate après une crise.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sont la sensibilité et la spécificité du signe de Hoover dans la parésie fonctionnelle ? Quels critères de l'ILAE (2013 ou mise à jour) classent une crise fonctionnelle comme documentée ? Quelle valeur et quel délai de la prolactine et du lactate distinguent une crise épileptique d'une crise fonctionnelle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B-050  ·  priorité Moyenne  ·  seuil</w:t>
            </w:r>
          </w:p>
        </w:tc>
        <w:tc>
          <w:tcPr>
            <w:tcW w:w="11200" w:type="dxa"/>
            <w:shd w:val="clear" w:color="auto" w:fill="EBF5FB"/>
            <w:vAlign w:val="top"/>
          </w:tcPr>
          <w:p>
            <w:pPr>
              <w:spacing w:after="0"/>
            </w:pPr>
            <w:r>
              <w:rPr>
                <w:sz w:val="17"/>
                <w:szCs w:val="17"/>
              </w:rPr>
              <w:t xml:space="preserve">LOT 230 · SSP O7.8 · LOT_230_Appel_A_V5_Ultra_Pedagogique_Plan_et_Liste.html ; LOT_230_Appel_B_V5_Ultra_Pedagogique_Partie_1_DX.1_a_DX.2.html ; LOT_230_Appel_B_V5_Ultra_Pedagogique_Partie_3_DX.6_a_DX.7.html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fenêtre « Ce qui la distingue » ; Partie 1 › fenêtre « bilan algométrique » ; Partie 3 › DX.6 (fibromyalgie) › rhumatisme inflammatoire, algométrie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n'a trouvé ni valeur normale ni seuil de douleur à la pression en algométrie, ni critère chiffré qui distingue la fibromyalgie d'un rhumatisme inflammatoire.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critères diagnostiques de la fibromyalgie recommandent l'EULAR et toute recommandation suisse (SSR) dans leurs éditions les plus récentes (ACR 2016 : WPI et SSS) ? Quel bilan biologique minimal écarte un rhumatisme inflammatoire ? Quelles valeurs normales du seuil de douleur à la pression a-t-on publiées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B-051  ·  priorité Moyenne  ·  recommandation</w:t>
            </w:r>
          </w:p>
        </w:tc>
        <w:tc>
          <w:tcPr>
            <w:tcW w:w="11200" w:type="dxa"/>
            <w:shd w:val="clear" w:color="auto" w:fill="EBF5FB"/>
            <w:vAlign w:val="top"/>
          </w:tcPr>
          <w:p>
            <w:pPr>
              <w:spacing w:after="0"/>
            </w:pPr>
            <w:r>
              <w:rPr>
                <w:sz w:val="17"/>
                <w:szCs w:val="17"/>
              </w:rPr>
              <w:t xml:space="preserve">LOT 230 · SSP O7.8 · LOT_230_Appel_A_V5_Ultra_Pedagogique_Plan_et_Liste.html ; LOT_230_Appel_B_V5_Ultra_Pedagogique_Partie_4_DX.8_a_DX.10.html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ligne DX.9 ; Partie 4 › DX.9 (hypocondrie) › gold standard et traitements pharmacologiques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n'a trouvé aucun questionnaire validé de l'anxiété de maladie ni de preuve d'efficacité des ISRS dans l'hypocondrie.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questionnaires validés en français ou en allemand mesurent l'anxiété de maladie (Whiteley Index, SHAI), et avec quels seuils ? Quelle efficacité des ISRS montrent les méta-analyses récentes dans l'hypocondrie, et quelle recommandation européenne la plus récente traite cette affection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B-052  ·  priorité Moyenne  ·  conduite</w:t>
            </w:r>
          </w:p>
        </w:tc>
        <w:tc>
          <w:tcPr>
            <w:tcW w:w="11200" w:type="dxa"/>
            <w:shd w:val="clear" w:color="auto" w:fill="EBF5FB"/>
            <w:vAlign w:val="top"/>
          </w:tcPr>
          <w:p>
            <w:pPr>
              <w:spacing w:after="0"/>
            </w:pPr>
            <w:r>
              <w:rPr>
                <w:sz w:val="17"/>
                <w:szCs w:val="17"/>
              </w:rPr>
              <w:t xml:space="preserve">LOT 230 · SSP O7.8 · LOT_230_Appel_B_V5_Ultra_Pedagogique_Partie_4_DX.8_a_DX.10.html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4 › DX.10 (trouble factice, simulation) › tableau des examens d'orientation et traitement</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n'a trouvé aucune valeur ni aucun seuil pour les dosages de médicaments, les tests de validation des symptômes et la preuve objective d'une falsification. Il n'a trouvé aucun traitement fondé sur des preuves.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tests de validation des symptômes et de l'effort sont recommandés dans les expertises suisses (SIM, SSPP/SGPP ; guide d'expertise psychiatrique) ? Avec quels seuils ? Quelle prise en charge du trouble factice recommandent les revues ou recommandations européennes les plus récentes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B-053  ·  priorité Moyenne  ·  seuil</w:t>
            </w:r>
          </w:p>
        </w:tc>
        <w:tc>
          <w:tcPr>
            <w:tcW w:w="11200" w:type="dxa"/>
            <w:shd w:val="clear" w:color="auto" w:fill="EBF5FB"/>
            <w:vAlign w:val="top"/>
          </w:tcPr>
          <w:p>
            <w:pPr>
              <w:spacing w:after="0"/>
            </w:pPr>
            <w:r>
              <w:rPr>
                <w:sz w:val="17"/>
                <w:szCs w:val="17"/>
              </w:rPr>
              <w:t xml:space="preserve">LOT 230 · SSP O7.8 · LOT_230_Appel_B_V5_Ultra_Pedagogique_Partie_2_DX.3_a_DX.5.html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DX.4 (troubles anxieux) › examens complémentaires et A- But</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qu'on passe à des examens complémentaires devant une suspicion organique, sans les préciser, et qu'aucun score GAD-7 cible n'est chiffré.</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bilan organique minimal recommande la recommandation suisse SSAD 2024 (ou européenne) avant de retenir un trouble panique ou un TAG (ECG, TSH, glycémie, toxiques) ? Quels seuils du GAD-7 définissent le dépistage, la réponse et la rémission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B-061  ·  priorité Critique  ·  dose</w:t>
            </w:r>
          </w:p>
        </w:tc>
        <w:tc>
          <w:tcPr>
            <w:tcW w:w="11200" w:type="dxa"/>
            <w:shd w:val="clear" w:color="auto" w:fill="FADBD8"/>
            <w:vAlign w:val="top"/>
          </w:tcPr>
          <w:p>
            <w:pPr>
              <w:spacing w:after="0"/>
            </w:pPr>
            <w:r>
              <w:rPr>
                <w:sz w:val="17"/>
                <w:szCs w:val="17"/>
              </w:rPr>
              <w:t xml:space="preserve">LOT 231 · SSP O7.9 · LOT_231_Appel_B_V5_Ultra_Pedagogique_Partie_3_DX.6_a_DX.7.html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3 › DX.7 (BMR) › tableau des traitements (ligne 5. Infection à EPC) et fenêtre MERINO</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que l'infectiologue choisit selon l'antibiogramme et le type de carbapénémase ; le texte intégral ESCMID était inaccessible, et aucun schéma ni dose n'est donné. Il cite MERINO contre la pipéracilline/tazobactam dans la bactériémie à BLSE.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traitements recommande la ligne directrice ESCMID 2022 sur les bacilles Gram négatifs multirésistants (ou sa mise à jour) pour les infections à E-BLSE et à EPC selon le type de carbapénémase (KPC, OXA-48, NDM/métallo-β-lactamases) : ceftazidime-avibactam, méropénem-vaborbactam, aztréonam-avibactam, céfidérocol, imipénem-relebactam ? Donne les doses et les adaptations rénales selon les IP suisses. Précise leur statut Swissmedic et LS et la recommandation suisse éventuelle (SSI, Swissnoso).</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B-063  ·  priorité Critique  ·  dose</w:t>
            </w:r>
          </w:p>
        </w:tc>
        <w:tc>
          <w:tcPr>
            <w:tcW w:w="11200" w:type="dxa"/>
            <w:shd w:val="clear" w:color="auto" w:fill="FADBD8"/>
            <w:vAlign w:val="top"/>
          </w:tcPr>
          <w:p>
            <w:pPr>
              <w:spacing w:after="0"/>
            </w:pPr>
            <w:r>
              <w:rPr>
                <w:sz w:val="17"/>
                <w:szCs w:val="17"/>
              </w:rPr>
              <w:t xml:space="preserve">LOT 231 · SSP O7.9 · LOT_231_Appel_A_V5_Ultra_Pedagogique_Plan_et_Liste.html ; LOT_231_Appel_B_V5_Ultra_Pedagogique_Partie_4_DX.8_a_DX.10.html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fenêtre « justification du rang » (DX.9) ; Partie 4 › DX.9 (fièvre non infectieuse) › tableau hyperthermie maligne et tableau des traitements (dantrolène, énoxaparine)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Agilus® 120 mg (dantrolène) : 2,5 mg/kg IV, puis 2,5 mg/kg toutes les 10 min. Il n'a trouvé ni les critères formels de l'hyperthermie maligne, ni la référence diagnostique, ni le texte intégral des recommandations ESC 2019 sur l'embolie pulmonaire.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Selon l'IP suisse d'Agilus® et la recommandation EMHG (European Malignant Hyperthermia Group) la plus récente, quelle est la dose de dantrolène : dose initiale, répétitions, dose cumulée maximale, relais ? Quels critères cliniques (score de Larach) et quelle référence diagnostique (test de contracture in vitro) retient-on ? Existe-t-il une ligne d'urgence ou un centre de référence suisse pour l'hyperthermie maligne ? Les recommandations ESC 2019 sur l'embolie pulmonaire ont-elles été remplacées par une version plus récente, et avec quelles différences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B-065  ·  priorité Critique  ·  dose</w:t>
            </w:r>
          </w:p>
        </w:tc>
        <w:tc>
          <w:tcPr>
            <w:tcW w:w="11200" w:type="dxa"/>
            <w:shd w:val="clear" w:color="auto" w:fill="FADBD8"/>
            <w:vAlign w:val="top"/>
          </w:tcPr>
          <w:p>
            <w:pPr>
              <w:spacing w:after="0"/>
            </w:pPr>
            <w:r>
              <w:rPr>
                <w:sz w:val="17"/>
                <w:szCs w:val="17"/>
              </w:rPr>
              <w:t xml:space="preserve">LOT 231 · SSP O7.9 · LOT_231_Appel_B_V5_Ultra_Pedagogique_Partie_4_DX.8_a_DX.10.html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4 › DX.10 (exposition au sang) › tableau créatinine/ALT, « informations professionnelles : mécanisme, adaptations, interactions », « immunoglobulines et vaccin : tableau », recherche 2026</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suit les recommandations suisses PEP (CFIST/OFSP) : remplacement du ténofovir disoproxil par le ténofovir alafénamide 25 mg si DFGe &lt; 50 ml/min, immunoglobulines anti-HB Behring® 12 UI/kg (minimum 500 UI IM) selon la seule posologie CFIST. L'IP des immunoglobulines n'a pas été trouvée, ni certaines adaptations rénales et hépatiques des antirétroviraux.</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recommandation suisse en vigueur sur la PEP après exposition professionnelle au VIH, au VHB et au VHC (OFSP/CFIST, Swissnoso, SUVA ; titre, année, URL) ? Quel schéma antirétroviral prévoit-elle (molécules, doses, durée de 28 jours, délai ≤ 72 h, idéalement en 2 h) ? Quelles différences présente-t-elle avec la version citée ? Donne, selon les IP suisses, les adaptations rénales et hépatiques de chaque antirétroviral du schéma. Donne la posologie des immunoglobulines anti-HBs (Hepatitis-B-Immunoglobulin Behring® ou spécialité actuelle) selon l'IP suisse. Quel suivi sérologique (VIH, VHB, VHC) et à quelles échéances faut-il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B-055  ·  priorité Haute  ·  recommandation</w:t>
            </w:r>
          </w:p>
        </w:tc>
        <w:tc>
          <w:tcPr>
            <w:tcW w:w="11200" w:type="dxa"/>
            <w:shd w:val="clear" w:color="auto" w:fill="FDEBD0"/>
            <w:vAlign w:val="top"/>
          </w:tcPr>
          <w:p>
            <w:pPr>
              <w:spacing w:after="0"/>
            </w:pPr>
            <w:r>
              <w:rPr>
                <w:sz w:val="17"/>
                <w:szCs w:val="17"/>
              </w:rPr>
              <w:t xml:space="preserve">LOT 231 · SSP O7.9 · LOT_231_Appel_A_V5_Ultra_Pedagogique_Plan_et_Liste.html ; LOT_231_Appel_B_V5_Ultra_Pedagogique_Partie_1_DX.1_a_DX.2.html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références HAP/PAV ; Partie 1 › DX.2 (pneumonie nosocomiale) › fenêtres « mesures du bundle nvHAP », « recommandations internationales HAP/PAV de 2017 », piège des spécialités suisses, pronostic</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suit la directive KSSG et n'a lu qu'en résumé les recommandations ERS/ESICM/ESCMID/ALAT de 2017 sur la HAP et la PAV. Il n'a pas vérifié les spécialités suisses de la flucloxacilline, du ceftazidime, de la tobramycine, de la lévofloxacine, de la moxifloxacine, de l'azithromycine, du zanamivir et de la clindamycine.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recommandation européenne la plus récente sur la HAP et la PAV (ERS/ESICM/ESCMID/ALAT 2017 ou mise à jour ; ESCMID 2024-2026) ? Quelle antibiothérapie empirique (molécules, doses, durée de 7 jours) recommande-t-elle selon le risque de BMR et de mortalité ? Existe-t-il une recommandation suisse (SSI, Swissnoso) ? Liste les spécialités suisses (IP) des huit molécules citées, avec leurs doses et leurs adaptations rénales. Donne la recommandation suisse en vigueur (titre, auteur, année, URL) ; compare la version la plus récente à celle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B-057  ·  priorité Haute  ·  dose</w:t>
            </w:r>
          </w:p>
        </w:tc>
        <w:tc>
          <w:tcPr>
            <w:tcW w:w="11200" w:type="dxa"/>
            <w:shd w:val="clear" w:color="auto" w:fill="FDEBD0"/>
            <w:vAlign w:val="top"/>
          </w:tcPr>
          <w:p>
            <w:pPr>
              <w:spacing w:after="0"/>
            </w:pPr>
            <w:r>
              <w:rPr>
                <w:sz w:val="17"/>
                <w:szCs w:val="17"/>
              </w:rPr>
              <w:t xml:space="preserve">LOT 231 · SSP O7.9 · LOT_231_Appel_B_V5_Ultra_Pedagogique_Partie_1_DX.1_a_DX.2.html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1 › DX.1 (ISO) › fenêtres « imagerie » et « chirurgie de la prothèse infectée (KSSG) » ; C- Surveillance (clinique, biologique) ; D- Pronostic</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les creux de vancomycine (10-20 mg/l selon l'IP, 15-20 mg/l selon le KSSG) et la surveillance sous rifampicine. Il n'a trouvé ni le calendrier des contrôles, ni l'imagerie de l'ISO, ni le traitement chirurgical hors prothèse, ni les critères de guérison.</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cible de vancomycine faut-il viser en 2026 : creux ou ASC/CMI 400-600 (consensus ASHP/IDSA/SIDP 2020, recommandation suisse ou européenne) ? À quelle fréquence la contrôle-t-on ? Selon l'IP suisse de la rifampicine, quelle surveillance faut-il ? Quelle prise en charge chirurgicale et antibiotique (durée) recommande-t-on pour l'ISO profonde et d'organe hors prothèse (SSI, ESCMID, WSES) ? Quelle imagerie et quels critères de guérison faut-il retenir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B-058  ·  priorité Haute  ·  dose</w:t>
            </w:r>
          </w:p>
        </w:tc>
        <w:tc>
          <w:tcPr>
            <w:tcW w:w="11200" w:type="dxa"/>
            <w:shd w:val="clear" w:color="auto" w:fill="FDEBD0"/>
            <w:vAlign w:val="top"/>
          </w:tcPr>
          <w:p>
            <w:pPr>
              <w:spacing w:after="0"/>
            </w:pPr>
            <w:r>
              <w:rPr>
                <w:sz w:val="17"/>
                <w:szCs w:val="17"/>
              </w:rPr>
              <w:t xml:space="preserve">LOT 231 · SSP O7.9 · LOT_231_Appel_B_V5_Ultra_Pedagogique_Partie_2_DX.3_a_DX.5.html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DX.3 (bactériémie sur cathéter) › B- Moyens (verrou antibiotique) et 9.d examens de 2e intention</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que les doses du verrou antibiotique (vancomycine ou ciprofloxacine) pour un cathéter de longue durée et l'imagerie des complications ne figurent pas dans les sources consultées.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concentrations et quelles durées du verrou antibiotique (vancomycine, céfazoline, gentamicine, ciprofloxacine, avec ou sans héparine) recommandent la directive KSSG, les HUG ou l'ESCMID/IDSA dans leurs versions les plus récentes ? Quand faut-il une échocardiographie (ETT ou ETO) ou un écho-doppler veineux dans une bactériémie sur cathéter à S. aureus ou à Candida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B-059  ·  priorité Haute  ·  dose</w:t>
            </w:r>
          </w:p>
        </w:tc>
        <w:tc>
          <w:tcPr>
            <w:tcW w:w="11200" w:type="dxa"/>
            <w:shd w:val="clear" w:color="auto" w:fill="FDEBD0"/>
            <w:vAlign w:val="top"/>
          </w:tcPr>
          <w:p>
            <w:pPr>
              <w:spacing w:after="0"/>
            </w:pPr>
            <w:r>
              <w:rPr>
                <w:sz w:val="17"/>
                <w:szCs w:val="17"/>
              </w:rPr>
              <w:t xml:space="preserve">LOT 231 · SSP O7.9 · LOT_231_Appel_A_V5_Ultra_Pedagogique_Plan_et_Liste.html ; LOT_231_Appel_B_V5_Ultra_Pedagogique_Partie_2_DX.3_a_DX.5.html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fenêtre « raisonnement : urine de sonde » ; Bloc 2 › ligne CAUTI ; Partie 2 › DX.4 (CAUTI) › 9.d, tableau des traitements (Pipéracilline/Tazobactam Sandoz®, Meronem®), recherche 2026</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oppose le seuil de surveillance (10⁵ UFC/ml, Swissnoso/ECDC) au seuil clinique du KSSG (10³ UFC/ml). Il n'a pas pu lire les lignes directrices EAU 2025/2026. Il n'a pas trouvé les doses adultes de Pipéracilline/Tazobactam Sandoz® et de Meronem® dans la CAUTI.</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recommandent les lignes directrices EAU les plus récentes (2025 ou 2026) sur le diagnostic de la CAUTI (seuil d'UFC, changement de sonde avant la culture), sur l'antibiothérapie (molécules, durée de 7 ou 10 à 14 jours) et sur la prévention ? Donne, selon les IP suisses, les doses adultes de pipéracilline/tazobactam et de méropénem dans l'infection urinaire compliquée, avec leurs adaptations rénales. Donne la recommandation suisse en vigueur (titre, auteur, année, URL) ; compare la version la plus récente à celle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B-060  ·  priorité Haute  ·  recommandation</w:t>
            </w:r>
          </w:p>
        </w:tc>
        <w:tc>
          <w:tcPr>
            <w:tcW w:w="11200" w:type="dxa"/>
            <w:shd w:val="clear" w:color="auto" w:fill="FDEBD0"/>
            <w:vAlign w:val="top"/>
          </w:tcPr>
          <w:p>
            <w:pPr>
              <w:spacing w:after="0"/>
            </w:pPr>
            <w:r>
              <w:rPr>
                <w:sz w:val="17"/>
                <w:szCs w:val="17"/>
              </w:rPr>
              <w:t xml:space="preserve">LOT 231 · SSP O7.9 · LOT_231_Appel_A_V5_Ultra_Pedagogique_Plan_et_Liste.html ; LOT_231_Appel_B_V5_Ultra_Pedagogique_Partie_2_DX.3_a_DX.5.html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fenêtre « recherche 2026 » ; Partie 2 › DX.5 (ICD) › fenêtres « Leucocytose », « Endoscopie ou histologie », « remboursement de la fidaxomicine », tableau Flagyl®, recherche 2026</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suit la directive suisse sur l'ICD (versions abrégée et étendue). Il note un seuil de leucocytose ambigu (« &gt; 15 000 cellules/ml »), des limitations LS de la fidaxomicine non vérifiées et l'absence d'indication formelle de l'endoscopie. Il cite l'essai suisse de transplantation de microbiote fécal NCT05266807.</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est le seuil exact de leucocytose (&gt; 15 G/l) de l'ICD sévère selon l'ESCMID 2021 (ou mise à jour) et la directive suisse citée ? Quelle limitation de la LS s'applique à Dificlir® (fidaxomicine) au 22.10.2026 ? Quand l'endoscopie est-elle indiquée ? Quel est le statut réglementaire suisse de la transplantation de microbiote fécal (Swissmedic : produit transplantable ou médicament ; autorisations) ? Quels traitements recommande-t-on en 2026 pour le 1er épisode et les récidives (vancomycine, fidaxomicine, bezlotoxumab), avec les doses de l'IP suisse ? Rappelle la dose de métronidazole chez l'enfant. Donne la recommandation suisse en vigueur (titre, auteur, année, URL) ; compare la version la plus récente à celle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B-062  ·  priorité Haute  ·  conduite</w:t>
            </w:r>
          </w:p>
        </w:tc>
        <w:tc>
          <w:tcPr>
            <w:tcW w:w="11200" w:type="dxa"/>
            <w:shd w:val="clear" w:color="auto" w:fill="FDEBD0"/>
            <w:vAlign w:val="top"/>
          </w:tcPr>
          <w:p>
            <w:pPr>
              <w:spacing w:after="0"/>
            </w:pPr>
            <w:r>
              <w:rPr>
                <w:sz w:val="17"/>
                <w:szCs w:val="17"/>
              </w:rPr>
              <w:t xml:space="preserve">LOT 231 · SSP O7.9 · LOT_231_Appel_A_V5_Ultra_Pedagogique_Plan_et_Liste.html ; LOT_231_Appel_B_V5_Ultra_Pedagogique_Partie_4_DX.8_a_DX.10.html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ligne DX.8 ; Partie 4 › DX.8 (candidémie) › tableau « répartition des espèces et sensibilité », bêta-D-glucane, hémocultures, 2e intention, adaptation rénale, fenêtre « rézafungine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 répartition au CHUV (C. albicans 53 %, C. glabrata 27 %) et le traitement par anidulafungine (200 mg puis 100 mg/j). Il n'a trouvé ni la sensibilité de C. tropicalis et de C. krusei, ni le seuil du bêta-D-glucane, ni la recommandation d'échocardiographie et de fond d'œil, ni le statut suisse de la rézafungine (Rezzayo®).</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Selon la recommandation ECMM/ISHAM/ASM 2025 et toute recommandation suisse (SSI, FUNGINOS), quand faut-il faire une échocardiographie, un fond d'œil et des hémocultures de contrôle dans une candidémie ? Quelle durée de traitement faut-il ? Quel seuil de bêta-D-glucane (pg/ml) retient-on ? Quelles sensibilités aux azolés et aux échinocandines rapporte FUNGINOS ou ANRESIS pour C. tropicalis et C. krusei ? Rezzayo® (rézafungine) est-il autorisé par Swissmedic au 22.10.2026 ? Donne les adaptations rénales des antifongiques cités selon les IP suisses.</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B-064  ·  priorité Haute  ·  conduite</w:t>
            </w:r>
          </w:p>
        </w:tc>
        <w:tc>
          <w:tcPr>
            <w:tcW w:w="11200" w:type="dxa"/>
            <w:shd w:val="clear" w:color="auto" w:fill="FDEBD0"/>
            <w:vAlign w:val="top"/>
          </w:tcPr>
          <w:p>
            <w:pPr>
              <w:spacing w:after="0"/>
            </w:pPr>
            <w:r>
              <w:rPr>
                <w:sz w:val="17"/>
                <w:szCs w:val="17"/>
              </w:rPr>
              <w:t xml:space="preserve">LOT 231 · SSP O7.9 · LOT_231_Appel_B_V5_Ultra_Pedagogique_Partie_3_DX.6_a_DX.7.html ; LOT_231_Appel_B_V5_Ultra_Pedagogique_Partie_4_DX.8_a_DX.10.html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3 › DX.6 › simulateurs non viraux ; Partie 4 › DX.9 › fenêtres « fièvre médicamenteuse : fréquence », « références par entité » (contamination d'un produit sanguin), tableau plaquettes (TIH), « cadre légal : hémovigilance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qu'aucun critère formel de la fièvre médicamenteuse n'a été trouvé. Il ne donne pas la référence pour la contamination bactérienne d'un produit sanguin. Il cite la baisse de 30 à 50 % des plaquettes entre J5 et J21 sous héparine (IP de Clexane®).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conduite recommande l'hémovigilance de Swissmedic (et Transfusion CRS Suisse) face à une fièvre pendant une transfusion : arrêt, cultures du patient et de la poche, délai de déclaration selon l'OMéd ? Quels critères diagnostiques de la fièvre médicamenteuse retient une source européenne récente ? Quel score (4T) et quelle conduite pour la thrombopénie induite par l'héparine recommande la recommandation suisse ou européenne la plus récente (anticoagulant de relais disponible en Suisse, dose)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B-066  ·  priorité Haute  ·  conduite</w:t>
            </w:r>
          </w:p>
        </w:tc>
        <w:tc>
          <w:tcPr>
            <w:tcW w:w="11200" w:type="dxa"/>
            <w:shd w:val="clear" w:color="auto" w:fill="FDEBD0"/>
            <w:vAlign w:val="top"/>
          </w:tcPr>
          <w:p>
            <w:pPr>
              <w:spacing w:after="0"/>
            </w:pPr>
            <w:r>
              <w:rPr>
                <w:sz w:val="17"/>
                <w:szCs w:val="17"/>
              </w:rPr>
              <w:t xml:space="preserve">LOT 231 · SSP O7.9 · LOT_231_Appel_B_V5_Ultra_Pedagogique_Partie_3_DX.6_a_DX.7.html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3 › DX.6 (virus respiratoires) › 9.c Alternatives et critères de levée de l'isolement</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suit Swissnoso : dépistage immédiat adapté à l'âge et isolement tant que durent les symptômes chez l'enfant, panel élargi chez l'immunodéprimé sévère. La grossesse et les autres situations n'ont pas été trouvées.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sont les recommandations Swissnoso les plus récentes (2025-2026) pour l'isolement et sa levée en cas de COVID-19, de grippe et de VRS nosocomiaux chez l'adulte, l'enfant, l'immunodéprimé et la femme enceinte ? Quelles indications de traitement antiviral donnent les IP suisses (Paxlovid®, oseltamivir) pendant la grossesse et en insuffisance rénale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B-054  ·  priorité Moyenne  ·  épidémiologie</w:t>
            </w:r>
          </w:p>
        </w:tc>
        <w:tc>
          <w:tcPr>
            <w:tcW w:w="11200" w:type="dxa"/>
            <w:shd w:val="clear" w:color="auto" w:fill="EBF5FB"/>
            <w:vAlign w:val="top"/>
          </w:tcPr>
          <w:p>
            <w:pPr>
              <w:spacing w:after="0"/>
            </w:pPr>
            <w:r>
              <w:rPr>
                <w:sz w:val="17"/>
                <w:szCs w:val="17"/>
              </w:rPr>
              <w:t xml:space="preserve">LOT 231 · SSP O7.9 · LOT_231_Appel_A_V5_Ultra_Pedagogique_Plan_et_Liste.html ; LOT_231_Appel_B_V5_Ultra_Pedagogique_Partie_1_DX.1_a_DX.2.html ; LOT_231_Appel_B_V5_Ultra_Pedagogique_Partie_2_DX.3_a_DX.5.html ; LOT_231_Appel_B_V5_Ultra_Pedagogique_Partie_3_DX.6_a_DX.7.html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fenêtres « objectifs NOSO » et « justification du rang » ; Partie 1 › DX.1-DX.2 › épidémiologie ; Partie 2 › DX.3 › pronostic ; Partie 3 › DX.6-DX.7 › épidémiologie et pronostic</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les anciennes estimations de Swissnoso (environ 70 000 cas et 2 000 décès par an, jusqu'à 50 % évitables) et la CH-PPS. Il n'a trouvé ni la mortalité attribuable actuelle, ni la part suisse de l'ICD et des virus respiratoires, ni la répartition des ISO par profondeur, ni la mortalité attribuable des bactériémies sur cathéter et des BMR en Suisse.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sont les données suisses les plus récentes (CH-PPS 2024 ou 2025 de Swissnoso, ANQ, stratégie NOSO de l'OFSP, ANRESIS) sur : le nombre de cas et de décès attribuables aux IAS, la part de l'ICD et des virus respiratoires, la répartition des ISO superficielles, profondes et d'organe, la part de S. aureus, la mortalité attribuable des bactériémies sur cathéter et les taux de MRSA, d'ERV, d'E-BLSE et d'EPC en 2025 ? Donne l'année, la méthode et l'URL.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B-056  ·  priorité Moyenne  ·  conduite</w:t>
            </w:r>
          </w:p>
        </w:tc>
        <w:tc>
          <w:tcPr>
            <w:tcW w:w="11200" w:type="dxa"/>
            <w:shd w:val="clear" w:color="auto" w:fill="EBF5FB"/>
            <w:vAlign w:val="top"/>
          </w:tcPr>
          <w:p>
            <w:pPr>
              <w:spacing w:after="0"/>
            </w:pPr>
            <w:r>
              <w:rPr>
                <w:sz w:val="17"/>
                <w:szCs w:val="17"/>
              </w:rPr>
              <w:t xml:space="preserve">LOT 231 · SSP O7.9 · LOT_231_Appel_A_V5_Ultra_Pedagogique_Plan_et_Liste.html ; LOT_231_Appel_B_V5_Ultra_Pedagogique_Partie_1_DX.1_a_DX.2.html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tableau « grossesse, enfant, insuffisance rénale, contraste » ; Partie 1 › DX.1-DX.2 › 9.c Alternatives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que l'imagerie de l'ISO et de la pneumonie pendant la grossesse, chez l'enfant et en insuffisance rénale n'a pas été trouvée. Il cite les restrictions de la ciprofloxacine, de la céfazoline et de Bactroban Nasal®.</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imagerie recommande-t-on pour une pneumonie nosocomiale ou une infection du site chirurgical pendant la grossesse et chez l'enfant (radiographie, échographie pulmonaire, scanner, IRM ; recommandation européenne ou suisse la plus récente) ? Quels antibiotiques de ces infections sont permis pendant la grossesse selon les IP suisses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p>
      <w:pPr>
        <w:pStyle w:val="Titre1"/>
      </w:pPr>
      <w:r>
        <w:rPr>
          <w:b/>
          <w:color w:val="1A5276"/>
          <w:sz w:val="28"/>
          <w:szCs w:val="28"/>
        </w:rPr>
        <w:t xml:space="preserve">6. Groupe C — Lots Claude 232 à 236</w:t>
      </w: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C-001  ·  priorité Haute  ·  recommandation</w:t>
            </w:r>
          </w:p>
        </w:tc>
        <w:tc>
          <w:tcPr>
            <w:tcW w:w="11200" w:type="dxa"/>
            <w:shd w:val="clear" w:color="auto" w:fill="FDEBD0"/>
            <w:vAlign w:val="top"/>
          </w:tcPr>
          <w:p>
            <w:pPr>
              <w:spacing w:after="0"/>
            </w:pPr>
            <w:r>
              <w:rPr>
                <w:sz w:val="17"/>
                <w:szCs w:val="17"/>
              </w:rPr>
              <w:t xml:space="preserve">LOT 232 · SSP O7.10 ; O7.11 ; O7.12 ; O7.13 · LOT_232_Appel_A_V5_Ultra_Pedagogique_Plan_et_Liste.html ; LOT_232_Appel_B_V5_Ultra_Pedagogique_Partie_1_DX.1_a_DX.2.html ; LOT_232_Appel_B_V5_Ultra_Pedagogique_Partie_4_DX.8_a_DX.10.html ; LOT_233_Appel_A_V5_Ultra_Pedagogique_Plan_et_Liste.html ; LOT_233_Appel_B_V5_Ultra_Pedagogique_Partie_1_DX.1_a_DX.2.html ; LOT_233_Appel_B_V5_Ultra_Pedagogique_Partie_3_DX.6_a_DX.7.html ; LOT_234_Appel_A_V5_Ultra_Pedagogique_Plan_et_Liste.html ; LOT_234_Appel_B_V5_Ultra_Pedagogique_Partie_1_DX.1_a_DX.2.html ; LOT_234_Appel_B_V5_Ultra_Pedagogique_Partie_3_DX.6_a_DX.7.html ; LOT_234_Appel_B_V5_Ultra_Pedagogique_Partie_4_DX.8_a_DX.10.html ; LOT_235_Appel_A_V5_Ultra_Pedagogique_Plan_et_Liste.html ; LOT_235_Appel_B_V5_Ultra_Pedagogique_Partie_1_DX.1_a_DX.2.html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232 Plan et Liste › un devoir professionnel (lacune #0) ; LOT 232 Plan et Liste › un devoir professionnel (lacune #1) ; LOT 232 Partie 1 DX.1 a DX.2 › devoir professionnel d'informer (lacune #6) ; LOT 232 Partie 4 DX.8 a DX.10 › Sources (lacune #43) ; LOT 233 Plan et Liste › I.A. Définir le refus de traitement › directives de l’ASSM (lacune #0) ; LOT 233 Plan et Liste › Sources (lacune #16) ; LOT 233 Partie 1 DX.1 a DX.2 › LOT 233 : Refus de traitement (SSP O7.11, PROFILES 2023) › 🔍 Fenêtre Interactive 3.3 : Devoir d’informer et de documenter (lacune #33) ; LOT 233 Partie 1 DX.1 a DX.2 › LOT 233 : Refus de traitement (SSP O7.11, PROFILES 2023) (lacune #37) ; LOT 233 Partie 1 DX.1 a DX.2 › Sources (lacune #38) ; LOT 233 Partie 3 DX.6 a DX.7 › Non-discrimination (code de déontologie FMH) (lacune #76) ; LOT 233 Partie 3 DX.6 a DX.7 › CP 122, 123 et 181 (lacune #78) ; LOT 234 Plan et Liste › Bloc 1 — Monographie du SSP › 🔍 Fenêtre Interactive 12.6 : Secret médical et information des partena (lacune #1) ; LOT 234 Partie 1 DX.1 a DX.2 › LOT 234 : Infection sexuellement transmissible (situation de › Cadre légal : déclaration, secret médical et remboursement (lacune #10) ; LOT 234 Partie 1 DX.1 a DX.2 › LOT 234 : Infection sexuellement transmissible (situation de › Cadre légal : déclaration clinique et de laboratoire, secret, rembours (lacune #12) ; LOT 234 Partie 3 DX.6 a DX.7 › LOT 234 : Infection sexuellement transmissible (SSP O7.12) › secret professionnel et information des partenaires (lacune #34) ; LOT 234 Partie 4 DX.8 a DX.10 › LOT 234 : Infection sexuellement transmissible (SSP O7.12 de (lacune #54) ; LOT 234 Partie 4 DX.8 a DX.10 › LOT 234 : Infection sexuellement transmissible (SSP O7.12 de (lacune #57) ; LOT 235 Plan et Liste › LOT 235 : Patient d'un autre contexte culturel, migration (c › [S4] (lacune #2) ; LOT 235 Plan et Liste › Lacunes restantes (lacune #16) ; LOT 235 Partie 1 DX.1 a DX.2 › Lacunes restantes (lacune #57)</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l'art. 10 (devoir d'informer), les art. 4 al. 3 et 5 (non-discrimination) du Code de déontologie FMH et les directives FMCH « Informations aux patients » du 9.5.2019, uniquement via le guide ASSM/FMH 2020 ; le texte intégral du Code (version 2025) n'a pas été lu.</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est le texte en vigueur du Code de déontologie de la FMH (version, date d'entrée en vigueur, URL) pour les articles sur l'information du patient, le consentement, le dossier médical, le secret médical, la non-discrimination et l'information des partenaires d'un patient atteint d'IST ? Les directives FMCH « Informations aux patients » de 2019 sont-elles toujours en vigueur, et que prescrivent-elles (délai de réflexion, forme écrite, documentation)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C-002  ·  priorité Haute  ·  seuil</w:t>
            </w:r>
          </w:p>
        </w:tc>
        <w:tc>
          <w:tcPr>
            <w:tcW w:w="11200" w:type="dxa"/>
            <w:shd w:val="clear" w:color="auto" w:fill="FDEBD0"/>
            <w:vAlign w:val="top"/>
          </w:tcPr>
          <w:p>
            <w:pPr>
              <w:spacing w:after="0"/>
            </w:pPr>
            <w:r>
              <w:rPr>
                <w:sz w:val="17"/>
                <w:szCs w:val="17"/>
              </w:rPr>
              <w:t xml:space="preserve">LOT 232 · SSP O7.10 ; O7.11 ; O7.14 · LOT_232_Appel_A_V5_Ultra_Pedagogique_Plan_et_Liste.html ; LOT_232_Appel_B_V5_Ultra_Pedagogique_Partie_1_DX.1_a_DX.2.html ; LOT_232_Appel_B_V5_Ultra_Pedagogique_Partie_2_DX.3_a_DX.5.html ; LOT_232_Appel_B_V5_Ultra_Pedagogique_Partie_3_DX.6_a_DX.7.html ; LOT_233_Appel_A_V5_Ultra_Pedagogique_Plan_et_Liste.html ; LOT_233_Appel_B_V5_Ultra_Pedagogique_Partie_1_DX.1_a_DX.2.html ; LOT_233_Appel_B_V5_Ultra_Pedagogique_Partie_2_DX.3_a_DX.5.html ; LOT_233_Appel_B_V5_Ultra_Pedagogique_Partie_3_DX.6_a_DX.7.html ; LOT_233_Appel_B_V5_Ultra_Pedagogique_Partie_4_DX.8_a_DX.10.html ; LOT_236_Appel_B_V5_Ultra_Pedagogique_Partie_2_DX.3_a_DX.5.html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232 Plan et Liste › MacCAT-T (lacune #4) ; LOT 232 Partie 1 DX.1 a DX.2 (lacune #10) ; LOT 232 Partie 1 DX.1 a DX.2 › MacCAT-T (lacune #13) ; LOT 232 Partie 2 DX.3 a DX.5 (lacune #23) ; LOT 232 Partie 3 DX.6 a DX.7 › MacCAT-T (lacune #28) ; LOT 233 Plan et Liste › II.C. Les outils d’évaluation (lacune #3) ; LOT 233 Plan et Liste › VI.a. Gold standard (lacune #12) ; LOT 233 Partie 1 DX.1 a DX.2 › LOT 233 : Refus de traitement (SSP O7.11, PROFILES 2023) (lacune #25) ; LOT 233 Partie 1 DX.1 a DX.2 › LOT 233 : Refus de traitement (SSP O7.11, PROFILES 2023) (lacune #34) ; LOT 233 Partie 2 DX.3 a DX.5 › LOT 233 : Refus de traitement (O7.11) (lacune #45) ; LOT 233 Partie 2 DX.3 a DX.5 › LOT 233 : Refus de traitement (O7.11) › MacCAT-T et U-Doc (lacune #47) ; LOT 233 Partie 2 DX.3 a DX.5 › LOT 233 : Refus de traitement (O7.11) (lacune #56) ; LOT 233 Partie 3 DX.6 a DX.7 (lacune #92) ; LOT 233 Partie 3 DX.6 a DX.7 › Tableau d'interprétation des outils d'évaluation et d'entretien (lacune #93) ; LOT 233 Partie 4 DX.8 a DX.10 › LOT 233 : Refus de traitement (SSP O7.11) › Évaluation de la capacité (gold standard clinique) (lacune #108) ; LOT 236 Partie 2 DX.3 a DX.5 › LOT 236 : Réadaptation physique et psychosociale, hospitaliè (lacune #37)</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décrit l'évaluation de la capacité de discernement selon la directive ASSM 2019 (quatre capacités, évaluation approfondie de 10 à 90 minutes, MacCAT-T, U-Doc de l'Université de Zurich) ; il écrit qu'aucun seuil, sensibilité ou spécificité n'est connu, y compris chez le mineur et pour le suicide assisté.</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La directive ASSM « Évaluation de la capacité de discernement » (2019) a-t-elle été révisée ? Quels sont les seuils de score publiés du MacCAT-T (et de ses sous-échelles) et leurs valeurs de sensibilité et de spécificité ? L'U-Doc a-t-il une version validée en Suisse ? Existe-t-il un outil validé chez le mineur et une recommandation suisse sur l'âge indicatif de la capacité de discernement pour un traitement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C-007  ·  priorité Haute  ·  conduite</w:t>
            </w:r>
          </w:p>
        </w:tc>
        <w:tc>
          <w:tcPr>
            <w:tcW w:w="11200" w:type="dxa"/>
            <w:shd w:val="clear" w:color="auto" w:fill="FDEBD0"/>
            <w:vAlign w:val="top"/>
          </w:tcPr>
          <w:p>
            <w:pPr>
              <w:spacing w:after="0"/>
            </w:pPr>
            <w:r>
              <w:rPr>
                <w:sz w:val="17"/>
                <w:szCs w:val="17"/>
              </w:rPr>
              <w:t xml:space="preserve">LOT 232 · SSP O7.10 · LOT_232_Appel_B_V5_Ultra_Pedagogique_Partie_2_DX.3_a_DX.5.html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232 Partie 2 DX.3 a DX.5 (lacune #15) ; LOT 232 Partie 2 DX.3 a DX.5 (lacune #16) ; LOT 232 Partie 2 DX.3 a DX.5 (lacune #17)</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expose l'urgence vitale sans capacité de consentir (CC 379, directive anticipée, ordonnance d'urgence médicale, renonciation à la réanimation) ; le délai d'information a posteriori du patient et des représentants n'est pas chiffré.</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disent le CC 379 et la directive ASSM « Mesures de réanimation » (version la plus récente) sur l'information a posteriori du patient ou du représentant après un traitement d'urgence, sur la validité de l'ordonnance d'urgence médicale (ex. formulaire « ordonnance médicale d'urgence », OFSP/palliative ch) et sur la documentation d'une renonciation à la réanimation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C-011  ·  priorité Haute  ·  conduite</w:t>
            </w:r>
          </w:p>
        </w:tc>
        <w:tc>
          <w:tcPr>
            <w:tcW w:w="11200" w:type="dxa"/>
            <w:shd w:val="clear" w:color="auto" w:fill="FDEBD0"/>
            <w:vAlign w:val="top"/>
          </w:tcPr>
          <w:p>
            <w:pPr>
              <w:spacing w:after="0"/>
            </w:pPr>
            <w:r>
              <w:rPr>
                <w:sz w:val="17"/>
                <w:szCs w:val="17"/>
              </w:rPr>
              <w:t xml:space="preserve">LOT 232 · SSP O7.10 ; O7.11 · LOT_232_Appel_B_V5_Ultra_Pedagogique_Partie_4_DX.8_a_DX.10.html ; LOT_233_Appel_B_V5_Ultra_Pedagogique_Partie_2_DX.3_a_DX.5.html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232 Partie 4 DX.8 a DX.10 › trouble psychique, déficience mentale, grave état d'abandon (lacune #35) ; LOT 232 Partie 4 DX.8 a DX.10 › Cantons : traitement ambulatoire sous contrainte (lacune #37) ; LOT 232 Partie 4 DX.8 a DX.10 › encéphalopathie, intoxication (lacune #38) ; LOT 232 Partie 4 DX.8 a DX.10 (lacune #39) ; LOT 233 Partie 2 DX.3 a DX.5 › LOT 233 : Refus de traitement (O7.11) › grave état d’abandon (lacune #43)</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 CC 426 (trouble psychique, déficience mentale, grave état d'abandon) sans définition clinique ni seuil ; le traitement ambulatoire sous contrainte relève du droit cantonal, non lu.</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Comment la doctrine et la jurisprudence fédérale définissent-elles « trouble psychique », « déficience mentale » et « grave état d'abandon » au sens du CC 426 ? Quels cantons (dont Neuchâtel, Vaud, Genève) prévoient un traitement ambulatoire sous contrainte et des mesures ambulatoires (CC 437), avec la base légale cantonale et son URL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C-003  ·  priorité Moyenne  ·  recommandation</w:t>
            </w:r>
          </w:p>
        </w:tc>
        <w:tc>
          <w:tcPr>
            <w:tcW w:w="11200" w:type="dxa"/>
            <w:shd w:val="clear" w:color="auto" w:fill="EBF5FB"/>
            <w:vAlign w:val="top"/>
          </w:tcPr>
          <w:p>
            <w:pPr>
              <w:spacing w:after="0"/>
            </w:pPr>
            <w:r>
              <w:rPr>
                <w:sz w:val="17"/>
                <w:szCs w:val="17"/>
              </w:rPr>
              <w:t xml:space="preserve">LOT 232 · SSP O7.10 ; O7.13 · LOT_232_Appel_A_V5_Ultra_Pedagogique_Plan_et_Liste.html ; LOT_232_Appel_B_V5_Ultra_Pedagogique_Partie_2_DX.3_a_DX.5.html ; LOT_235_Appel_A_V5_Ultra_Pedagogique_Plan_et_Liste.html ; LOT_235_Appel_B_V5_Ultra_Pedagogique_Partie_1_DX.1_a_DX.2.html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232 Plan et Liste (lacune #5) ; LOT 232 Partie 2 DX.3 a DX.5 (lacune #19) ; LOT 232 Partie 2 DX.3 a DX.5 (lacune #20) ; LOT 232 Partie 2 DX.3 a DX.5 (lacune #21) ; LOT 235 Plan et Liste › LOT 235 : Patient d'un autre contexte culturel, migration (c › interprétariat communautaire (lacune #1) ; LOT 235 Plan et Liste › LOT 235 : Patient d'un autre contexte culturel, migration (c › Cst. art. 8 al. 2 (lacune #4) ; LOT 235 Plan et Liste › LOT 235 : Patient d'un autre contexte culturel, migration (c › [S4] (lacune #13) ; LOT 235 Plan et Liste › Lacunes restantes (lacune #17) ; LOT 235 Partie 1 DX.1 a DX.2 › LOT 235 : Patient d'un autre contexte culturel, migration (c › financement de l'interprétariat (lacune #25) ; LOT 235 Partie 1 DX.1 a DX.2 › LOT 235 : Patient d'un autre contexte culturel, migration (c › cinq outils (lacune #26) ; LOT 235 Partie 1 DX.1 a DX.2 › LOT 235 : Patient d'un autre contexte culturel, migration (c › cinq outils (lacune #27) ; LOT 235 Partie 1 DX.1 a DX.2 › LOT 235 : Patient d'un autre contexte culturel, migration (c › [S112] (lacune #28) ; LOT 235 Partie 1 DX.1 a DX.2 › LOT 235 : Patient d'un autre contexte culturel, migration (c (lacune #29) ; LOT 235 Partie 1 DX.1 a DX.2 › LOT 235 : Patient d'un autre contexte culturel, migration (c › [S4] (lacune #31) ; LOT 235 Partie 1 DX.1 a DX.2 › LOT 235 : Patient d'un autre contexte culturel, migration (c › [S4] (lacune #32)</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s'appuie sur les recommandations de la CNE (2017) et sur des données INTERPRET de 2017 : financement non assuré, variable selon les cantons, absence de position tarifaire ambulatoire, interprétariat téléphonique 24 h/24 en 30 langues, vidéo en projet pilote ; aucun outil standardisé de vérification de la compréhension (restitution).</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est en 2026 le financement de l'interprétariat communautaire en Suisse (position TARDOC ou autre tarif ambulatoire, financement stationnaire, financement cantonal, notamment Neuchâtel) ? Quelles sont les statistiques récentes d'utilisation (INTERPRET, OFSP) et la disponibilité actuelle de l'interprétariat téléphonique et vidéo ? Existe-t-il une recommandation suisse sur la méthode de restitution (teach-back) pour vérifier la compréhension d'un consentement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C-004  ·  priorité Moyenne  ·  épidémiologie</w:t>
            </w:r>
          </w:p>
        </w:tc>
        <w:tc>
          <w:tcPr>
            <w:tcW w:w="11200" w:type="dxa"/>
            <w:shd w:val="clear" w:color="auto" w:fill="EBF5FB"/>
            <w:vAlign w:val="top"/>
          </w:tcPr>
          <w:p>
            <w:pPr>
              <w:spacing w:after="0"/>
            </w:pPr>
            <w:r>
              <w:rPr>
                <w:sz w:val="17"/>
                <w:szCs w:val="17"/>
              </w:rPr>
              <w:t xml:space="preserve">LOT 232 · SSP O7.10 ; O7.11 · LOT_232_Appel_B_V5_Ultra_Pedagogique_Partie_1_DX.1_a_DX.2.html ; LOT_232_Appel_B_V5_Ultra_Pedagogique_Partie_3_DX.6_a_DX.7.html ; LOT_232_Appel_B_V5_Ultra_Pedagogique_Partie_4_DX.8_a_DX.10.html ; LOT_233_Appel_A_V5_Ultra_Pedagogique_Plan_et_Liste.html ; LOT_233_Appel_B_V5_Ultra_Pedagogique_Partie_1_DX.1_a_DX.2.html ; LOT_233_Appel_B_V5_Ultra_Pedagogique_Partie_2_DX.3_a_DX.5.html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232 Partie 1 DX.1 a DX.2 (lacune #12) ; LOT 232 Partie 3 DX.6 a DX.7 › donnée non trouvée (lacune #27) ; LOT 232 Partie 4 DX.8 a DX.10 (lacune #36) ; LOT 233 Plan et Liste › I.B. Mesurer l’ampleur en Suisse › directives de l’ASSM (lacune #1) ; LOT 233 Plan et Liste › I.B. Mesurer l’ampleur en Suisse › 🔍 Fenêtre Interactive I.1 : Chiffres suisses et européens du refus de  (lacune #2) ; LOT 233 Partie 1 DX.1 a DX.2 › LOT 233 : Refus de traitement (SSP O7.11, PROFILES 2023) (lacune #20) ; LOT 233 Partie 2 DX.3 a DX.5 › LOT 233 : Refus de traitement (O7.11) › 🔍 Fenêtre Interactive 2.1 : chiffres suisses des PAFA (Obsan, données  (lacune #41)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les PAFA 2016 (Obsan) : 14 580 personnes, 1,7/1000, Vaud 3,31/1000, 52 % d'hommes, troubles organiques F0 n = 1343 ; l'erratum Obsan de juin 2019 signale des données inexactes ; le nombre de traitements sans consentement n'est pas connu.</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sont les chiffres suisses les plus récents (Obsan, OFS) des placements à des fins d'assistance et des mesures ou traitements sans consentement (CC 434), avec année, taux pour 1000 habitants, répartition cantonale et diagnostique, et URL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C-005  ·  priorité Moyenne  ·  épidémiologie</w:t>
            </w:r>
          </w:p>
        </w:tc>
        <w:tc>
          <w:tcPr>
            <w:tcW w:w="11200" w:type="dxa"/>
            <w:shd w:val="clear" w:color="auto" w:fill="EBF5FB"/>
            <w:vAlign w:val="top"/>
          </w:tcPr>
          <w:p>
            <w:pPr>
              <w:spacing w:after="0"/>
            </w:pPr>
            <w:r>
              <w:rPr>
                <w:sz w:val="17"/>
                <w:szCs w:val="17"/>
              </w:rPr>
              <w:t xml:space="preserve">LOT 232 · SSP O7.10 ; O7.11 · LOT_232_Appel_A_V5_Ultra_Pedagogique_Plan_et_Liste.html ; LOT_232_Appel_B_V5_Ultra_Pedagogique_Partie_1_DX.1_a_DX.2.html ; LOT_232_Appel_B_V5_Ultra_Pedagogique_Partie_3_DX.6_a_DX.7.html ; LOT_233_Appel_B_V5_Ultra_Pedagogique_Partie_1_DX.1_a_DX.2.html ; LOT_233_Appel_B_V5_Ultra_Pedagogique_Partie_3_DX.6_a_DX.7.html ; LOT_233_Appel_B_V5_Ultra_Pedagogique_Partie_4_DX.8_a_DX.10.html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232 Plan et Liste (lacune #2) ; LOT 232 Partie 1 DX.1 a DX.2 › données non disponibles (lacune #7) ; LOT 232 Partie 1 DX.1 a DX.2 › données non disponibles (lacune #8) ; LOT 232 Partie 1 DX.1 a DX.2 › données non disponibles (lacune #9) ; LOT 232 Partie 3 DX.6 a DX.7 › donnée non trouvée (lacune #26) ; LOT 232 Partie 3 DX.6 a DX.7 (lacune #29) ; LOT 233 Partie 1 DX.1 a DX.2 › LOT 233 : Refus de traitement (SSP O7.11, PROFILES 2023) (lacune #31) ; LOT 233 Partie 1 DX.1 a DX.2 › LOT 233 : Refus de traitement (SSP O7.11, PROFILES 2023) › 🔍 Fenêtre Interactive 2.1 : Repères chiffrés : lecture critique (lacune #32) ; LOT 233 Partie 3 DX.6 a DX.7 › APEA (lacune #91) ; LOT 233 Partie 4 DX.8 a DX.10 › LOT 233 : Refus de traitement (SSP O7.11) (lacune #97) ; LOT 233 Partie 4 DX.8 a DX.10 › LOT 233 : Refus de traitement (SSP O7.11) › femme enceinte capable de discernement (lacune #105) ; LOT 233 Partie 4 DX.8 a DX.10 › LOT 233 : Refus de traitement (SSP O7.11) › Pourquoi aucun chiffre n’est extrapolé (lacune #106) ; LOT 233 Partie 4 DX.8 a DX.10 › LOT 233 : Refus de traitement (SSP O7.11) (lacune #111)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qu'aucune source ne chiffre en Suisse les litiges pour défaut d'information (bureau d'expertises extrajudiciaires FMH), les plaintes pénales après geste médical, les extensions peropératoires, ni la fréquence des refus de traitement chez l'adulte capable, le mineur et la femme enceinte.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Existe-t-il des données suisses publiées (rapports annuels du bureau d'expertises extrajudiciaires de la FMH, assureurs RC, études suisses) sur les litiges pour défaut d'information, les refus de traitement par des adultes capables, des mineurs ou des femmes enceintes, et les extensions peropératoires ? Donne les chiffres, l'année et l'URL ; à défaut, la meilleure donnée européenne.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C-006  ·  priorité Moyenne  ·  recommandation</w:t>
            </w:r>
          </w:p>
        </w:tc>
        <w:tc>
          <w:tcPr>
            <w:tcW w:w="11200" w:type="dxa"/>
            <w:shd w:val="clear" w:color="auto" w:fill="EBF5FB"/>
            <w:vAlign w:val="top"/>
          </w:tcPr>
          <w:p>
            <w:pPr>
              <w:spacing w:after="0"/>
            </w:pPr>
            <w:r>
              <w:rPr>
                <w:sz w:val="17"/>
                <w:szCs w:val="17"/>
              </w:rPr>
              <w:t xml:space="preserve">LOT 232 · SSP O7.10 · LOT_232_Appel_A_V5_Ultra_Pedagogique_Plan_et_Liste.html ; LOT_232_Appel_B_V5_Ultra_Pedagogique_Partie_4_DX.8_a_DX.10.html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232 Plan et Liste (lacune #3) ; LOT 232 Partie 4 DX.8 a DX.10 › thérapie expérimentale dans le cadre individuel (lacune #40) ; LOT 232 Partie 4 DX.8 a DX.10 (lacune #41) ; LOT 232 Partie 4 DX.8 a DX.10 (lacune #42)</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 Convention d'Oviedo (art. 5, 6, 8) et la LRH ; l'art. 17 d'Oviedo (recherche sur des personnes incapables de consentir) n'a pas été lu ; le nombre de projets autorisés par les commissions d'éthique et l'évolution 2026 de la LRH/ORH ne sont pas connus ; le cadre de la thérapie expérimentale individuelle repose sur le seul guide ASSM/FMH.</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prévoient l'art. 17 de la Convention d'Oviedo et les art. 21 à 24 LRH sur la recherche avec des personnes incapables de discernement et en situation d'urgence ? La révision de l'ORH/OClin entrée en vigueur en 2024 et une révision LRH en cours changent-elles le consentement ? Combien de projets swissethics a-t-il autorisés la dernière année publiée ? Quelle règle suisse encadre l'essai thérapeutique individuel (usage compassionnel, art. 9b LPTh)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C-008  ·  priorité Moyenne  ·  recommandation</w:t>
            </w:r>
          </w:p>
        </w:tc>
        <w:tc>
          <w:tcPr>
            <w:tcW w:w="11200" w:type="dxa"/>
            <w:shd w:val="clear" w:color="auto" w:fill="EBF5FB"/>
            <w:vAlign w:val="top"/>
          </w:tcPr>
          <w:p>
            <w:pPr>
              <w:spacing w:after="0"/>
            </w:pPr>
            <w:r>
              <w:rPr>
                <w:sz w:val="17"/>
                <w:szCs w:val="17"/>
              </w:rPr>
              <w:t xml:space="preserve">LOT 232 · SSP O7.10 · LOT_232_Appel_B_V5_Ultra_Pedagogique_Partie_1_DX.1_a_DX.2.html ; LOT_232_Appel_B_V5_Ultra_Pedagogique_Partie_2_DX.3_a_DX.5.html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232 Partie 1 DX.1 a DX.2 › planification anticipée (ACP) (lacune #14) ; LOT 232 Partie 2 DX.3 a DX.5 › planification anticipée de la santé (lacune #18)</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 planification anticipée concernant la santé (ACP) et la cohorte Lc65+ : la moitié des 71–80 ans ignore ces dispositions ; aucun essai n'a été retrouvé.</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est le cadre national suisse actuel de la planification anticipée concernant la santé (feuille de route OFSP/palliative ch, version et année), et quelles données suisses récentes existent sur la fréquence des directives anticipées et l'efficacité de l'ACP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C-009  ·  priorité Moyenne  ·  recommandation</w:t>
            </w:r>
          </w:p>
        </w:tc>
        <w:tc>
          <w:tcPr>
            <w:tcW w:w="11200" w:type="dxa"/>
            <w:shd w:val="clear" w:color="auto" w:fill="EBF5FB"/>
            <w:vAlign w:val="top"/>
          </w:tcPr>
          <w:p>
            <w:pPr>
              <w:spacing w:after="0"/>
            </w:pPr>
            <w:r>
              <w:rPr>
                <w:sz w:val="17"/>
                <w:szCs w:val="17"/>
              </w:rPr>
              <w:t xml:space="preserve">LOT 232 · SSP O7.10 · LOT_232_Appel_B_V5_Ultra_Pedagogique_Partie_2_DX.3_a_DX.5.html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232 Partie 2 DX.3 a DX.5 (lacune #22) ; LOT 232 Partie 2 DX.3 a DX.5 (lacune #24)</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indique que la majorité est fixée à 18 ans (CC 13–14), que les droits strictement personnels s'exercent dès la capacité de discernement et que le droit de décision passe progressivement des parents à l'adolescent (ASSM) ; la fréquence des conflits parents-équipe n'est pas connue.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recommandation suisse (ASSM, Société suisse de pédiatrie, Pédiatrie suisse) fixe la conduite du consentement chez le mineur capable ou incapable de discernement, y compris en cas de conflit parents-équipe et de refus d'un traitement vital (saisie de l'APEA)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C-010  ·  priorité Moyenne  ·  recommandation</w:t>
            </w:r>
          </w:p>
        </w:tc>
        <w:tc>
          <w:tcPr>
            <w:tcW w:w="11200" w:type="dxa"/>
            <w:shd w:val="clear" w:color="auto" w:fill="EBF5FB"/>
            <w:vAlign w:val="top"/>
          </w:tcPr>
          <w:p>
            <w:pPr>
              <w:spacing w:after="0"/>
            </w:pPr>
            <w:r>
              <w:rPr>
                <w:sz w:val="17"/>
                <w:szCs w:val="17"/>
              </w:rPr>
              <w:t xml:space="preserve">LOT 232 · SSP O7.10 · LOT_232_Appel_B_V5_Ultra_Pedagogique_Partie_4_DX.8_a_DX.10.html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232 Partie 4 DX.8 a DX.10 (lacune #32) ; LOT 232 Partie 4 DX.8 a DX.10 (lacune #33) ; LOT 232 Partie 4 DX.8 a DX.10 (lacune #34)</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traite les gestes à exigence particulière : IVG (CP 119–120, OFS 2025 : 12 048 IVG, 7,2/1000), stérilisation, don vivant, analyse génétique, chirurgie esthétique ; les effectifs et la jurisprudence esthétique ne sont pas connus.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exigences de consentement fixent la loi sur la stérilisation, la loi sur la transplantation (don vivant) et la LAGH (version révisée en vigueur depuis 2022) ? Existe-t-il une jurisprudence du Tribunal fédéral sur l'information en chirurgie esthétique ? Quels sont les effectifs suisses récents des stérilisations, dons vivants et analyses génétiques ? Y a-t-il une modification législative en 2025–2026 sur l'IVG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C-018  ·  priorité Critique  ·  conduite</w:t>
            </w:r>
          </w:p>
        </w:tc>
        <w:tc>
          <w:tcPr>
            <w:tcW w:w="11200" w:type="dxa"/>
            <w:shd w:val="clear" w:color="auto" w:fill="FADBD8"/>
            <w:vAlign w:val="top"/>
          </w:tcPr>
          <w:p>
            <w:pPr>
              <w:spacing w:after="0"/>
            </w:pPr>
            <w:r>
              <w:rPr>
                <w:sz w:val="17"/>
                <w:szCs w:val="17"/>
              </w:rPr>
              <w:t xml:space="preserve">LOT 233 · SSP O7.11 ; O7.14 · LOT_233_Appel_A_V5_Ultra_Pedagogique_Plan_et_Liste.html ; LOT_233_Appel_B_V5_Ultra_Pedagogique_Partie_2_DX.3_a_DX.5.html ; LOT_236_Appel_A_V5_Ultra_Pedagogique_Plan_et_Liste.html ; LOT_236_Appel_B_V5_Ultra_Pedagogique_Partie_3_DX.6_a_DX.7.html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233 Plan et Liste › III.A. Hypothèses fréquentes et graves › Idées suicidaires (lacune #6) ; LOT 233 Partie 2 DX.3 a DX.5 › LOT 233 : Refus de traitement (O7.11) › idées suicidaires (lacune #40) ; LOT 236 Plan et Liste › BLOC 2 — Les dix situations cliniques DX.1 à DX.10 › faiblesse acquise en réanimation Neuropathie et/ou myopathie acquises  (lacune #11) ; LOT 236 Partie 3 DX.6 a DX.7 › LOT 236 : Réadaptation physique et psychosociale, hospitaliè › idées de mort ou de suicide (lacune #99)</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signale les idées suicidaires comme drapeau rouge (examen psychiatrique, PAFA possible selon CC 426) mais n'indique aucune échelle ni évaluation structurée suisse du risque suicidaire.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évaluation structurée du risque suicidaire recommandent les sources suisses (SSPP, recommandations FMH/ASSM, programmes cantonaux, OFSP « Plan d'action prévention du suicide ») et européennes (EPA) ? Quelles échelles (C-SSRS, item 9 du PHQ-9, autres) sont utilisées, avec quels seuils et quelle conduite (hospitalisation, PAFA)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C-019  ·  priorité Critique  ·  dose</w:t>
            </w:r>
          </w:p>
        </w:tc>
        <w:tc>
          <w:tcPr>
            <w:tcW w:w="11200" w:type="dxa"/>
            <w:shd w:val="clear" w:color="auto" w:fill="FADBD8"/>
            <w:vAlign w:val="top"/>
          </w:tcPr>
          <w:p>
            <w:pPr>
              <w:spacing w:after="0"/>
            </w:pPr>
            <w:r>
              <w:rPr>
                <w:sz w:val="17"/>
                <w:szCs w:val="17"/>
              </w:rPr>
              <w:t xml:space="preserve">LOT 233 · SSP O7.11 · LOT_233_Appel_A_V5_Ultra_Pedagogique_Plan_et_Liste.html ; LOT_233_Appel_B_V5_Ultra_Pedagogique_Partie_2_DX.3_a_DX.5.html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233 Plan et Liste › III.A. Hypothèses fréquentes et graves › Dyspnée, douleur, anxiété (lacune #7) ; LOT 233 Partie 2 DX.3 a DX.5 › LOT 233 : Refus de traitement (O7.11) › Douleur, dyspnée, anxiété, agitation, confusion (lacune #66) ; LOT 233 Partie 2 DX.3 a DX.5 › LOT 233 : Refus de traitement (O7.11) (lacune #67) ; LOT 233 Partie 2 DX.3 a DX.5 › LOT 233 : Refus de traitement (O7.11) › 🔍 Fenêtre Interactive 9.c.1 : enfant, adolescent, démence, imagerie (lacune #69) ; LOT 233 Partie 2 DX.3 a DX.5 › LOT 233 : Refus de traitement (O7.11) › 🔍 Fenêtre Interactive 11.B.2 : médicaments (classe, DCI, spécialité su (lacune #70)</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dit que le médecin traite de façon préventive la dyspnée, la douleur et l'anxiété après interruption d'une mesure de maintien en vie, sans échelle, sans molécule ni dose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recommandations suisses (palliative ch / bigorio, directive ASSM « Soins palliatifs », version la plus récente) fixent les médicaments, doses et voies pour la dyspnée, la douleur, l'anxiété, l'agitation et la sédation palliative (morphine, midazolam, halopéridol, lévomépromazine, scopolamine) et les échelles d'évaluation (ESAS, RASS, BPS) ? Comment adapter les doses en insuffisance rénale ? Pour chaque médicament, donne la spécialité suisse, la dose, la voie, la durée et les adaptations (rein, foie, enfant, grossesse) selon l'information professionnelle suisse (swissmedicinfo.ch), avec la date de l'IP.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C-021  ·  priorité Critique  ·  seuil</w:t>
            </w:r>
          </w:p>
        </w:tc>
        <w:tc>
          <w:tcPr>
            <w:tcW w:w="11200" w:type="dxa"/>
            <w:shd w:val="clear" w:color="auto" w:fill="FADBD8"/>
            <w:vAlign w:val="top"/>
          </w:tcPr>
          <w:p>
            <w:pPr>
              <w:spacing w:after="0"/>
            </w:pPr>
            <w:r>
              <w:rPr>
                <w:sz w:val="17"/>
                <w:szCs w:val="17"/>
              </w:rPr>
              <w:t xml:space="preserve">LOT 233 · SSP O7.11 · LOT_233_Appel_A_V5_Ultra_Pedagogique_Plan_et_Liste.html ; LOT_233_Appel_B_V5_Ultra_Pedagogique_Partie_4_DX.8_a_DX.10.html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233 Plan et Liste › III.A. Hypothèses fréquentes et graves › Syndrome de renutrition (lacune #8) ; LOT 233 Partie 4 DX.8 a DX.10 › LOT 233 : Refus de traitement (SSP O7.11) › Poids et indice de masse corporelle (lacune #117)</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décrit le dépistage du syndrome de renutrition (IMC bas, perte de poids importante, apport faible &gt; 10 jours, alcool) et une reprise progressive avec électrolytes, sans seuil chiffré de kcal/kg/j ni de phosphatémie ; il cite un algorithme suisse [S404].</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critères chiffrés de risque (IMC, % de perte de poids, jours de jeûne, électrolytes) et quel protocole de réalimentation (kcal/kg/j aux jours 1–3, montée, cibles et substitution de phosphate, potassium, magnésium) recommandent l'algorithme suisse de syndrome de renutrition (Friedli et al., SSNC/GESKES) et l'ESPEN la plus récente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C-022  ·  priorité Critique  ·  dose</w:t>
            </w:r>
          </w:p>
        </w:tc>
        <w:tc>
          <w:tcPr>
            <w:tcW w:w="11200" w:type="dxa"/>
            <w:shd w:val="clear" w:color="auto" w:fill="FADBD8"/>
            <w:vAlign w:val="top"/>
          </w:tcPr>
          <w:p>
            <w:pPr>
              <w:spacing w:after="0"/>
            </w:pPr>
            <w:r>
              <w:rPr>
                <w:sz w:val="17"/>
                <w:szCs w:val="17"/>
              </w:rPr>
              <w:t xml:space="preserve">LOT 233 · SSP O7.11 · LOT_233_Appel_A_V5_Ultra_Pedagogique_Plan_et_Liste.html ; LOT_233_Appel_B_V5_Ultra_Pedagogique_Partie_4_DX.8_a_DX.10.html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233 Plan et Liste › III.A. Hypothèses fréquentes et graves › Syndrome de Wernicke-Korsakoff (lacune #9) ; LOT 233 Plan et Liste › 7.1. Patient à capacité douteuse (DX.1) › encéphalopathie (lacune #10) ; LOT 233 Partie 4 DX.8 a DX.10 › LOT 233 : Refus de traitement (SSP O7.11) › thiamine (pyrophosphate de thiamine) (lacune #118)</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donne Benerva® (thiamine) : 200–300 mg au plus tard 30 min avant la réalimentation (algorithme suisse), 100 mg/j p.o. si symptômes modérés, 200–300 mg/j si graves ; seuls les comprimés 100 mg figurent dans la liste des spécialités ; les critères diagnostiques de Wernicke manquent.</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formes injectables de thiamine sont autorisées ou disponibles en Suisse en 2026, et quelle dose i.v. recommandent les sources européennes (EFNS, ESPEN) pour suspicion d'encéphalopathie de Wernicke ? Quels sont les critères diagnostiques de Caine ? Pour chaque médicament, donne la spécialité suisse, la dose, la voie, la durée et les adaptations (rein, foie, enfant, grossesse) selon l'information professionnelle suisse (swissmedicinfo.ch), avec la date de l'IP.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C-032  ·  priorité Critique  ·  dose</w:t>
            </w:r>
          </w:p>
        </w:tc>
        <w:tc>
          <w:tcPr>
            <w:tcW w:w="11200" w:type="dxa"/>
            <w:shd w:val="clear" w:color="auto" w:fill="FADBD8"/>
            <w:vAlign w:val="top"/>
          </w:tcPr>
          <w:p>
            <w:pPr>
              <w:spacing w:after="0"/>
            </w:pPr>
            <w:r>
              <w:rPr>
                <w:sz w:val="17"/>
                <w:szCs w:val="17"/>
              </w:rPr>
              <w:t xml:space="preserve">LOT 233 · SSP O7.11 ; O7.13 · LOT_233_Appel_B_V5_Ultra_Pedagogique_Partie_4_DX.8_a_DX.10.html ; LOT_235_Appel_A_V5_Ultra_Pedagogique_Plan_et_Liste.html ; LOT_235_Appel_B_V5_Ultra_Pedagogique_Partie_2_DX.3_a_DX.5.html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233 Partie 4 DX.8 a DX.10 › LOT 233 : Refus de traitement (SSP O7.11) › infection tuberculeuse (lacune #96) ; LOT 233 Partie 4 DX.8 a DX.10 › LOT 233 : Refus de traitement (SSP O7.11) › Alternatives selon le terrain (lacune #100) ; LOT 233 Partie 4 DX.8 a DX.10 › LOT 233 : Refus de traitement (SSP O7.11) › éthambutol (lacune #101) ; LOT 233 Partie 4 DX.8 a DX.10 › LOT 233 : Refus de traitement (SSP O7.11) (lacune #102) ; LOT 233 Partie 4 DX.8 a DX.10 › LOT 233 : Refus de traitement (SSP O7.11) (lacune #103) ; LOT 233 Partie 4 DX.8 a DX.10 › LOT 233 : Refus de traitement (SSP O7.11) › Recherche 2026 (lacune #104) ; LOT 235 Plan et Liste › LOT 235 : Patient d'un autre contexte culturel, migration (c (lacune #12) ; LOT 235 Partie 2 DX.3 a DX.5 › LOT 235 : Patient d'un autre contexte culturel, migration (c (lacune #69) ; LOT 235 Partie 2 DX.3 a DX.5 › LOT 235 : Patient d'un autre contexte culturel, migration (c (lacune #70) ; LOT 235 Partie 2 DX.3 a DX.5 › LOT 235 : Patient d'un autre contexte culturel, migration (c › [S6] (lacune #71) ; LOT 235 Partie 2 DX.3 a DX.5 › Lacunes restantes (lacune #80)</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donne le schéma 2 HRZE + 4 HR, la surveillance des expectorations à la fin du 2e et avant la fin du 5e mois, le BPaLM 6 mois pour la TB-MR avec le groupe d'experts MDR-TB, les six catégories de résultat OMS ; il ne donne ni les spécialités suisses, ni les critères formels de guérison OMS, ni le choix de l'imagerie pendant la grossesse ; la fréquence du refus de traitement n'est pas connue.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spécialités antituberculeuses sont autorisées en Suisse (Rimactan®, Rifinah®, Rifater®, Myambutol®, pyrazinamide, bédaquiline Sirturo®, prétomanide, linézolide) et à quelles doses par kg ? Quels sont les critères OMS 2021–2025 de guérison et de traitement terminé ? Comment le manuel suisse règle-t-il la radiographie thoracique pendant la grossesse, le refus de traitement (LEp art. 35–37, isolement) et le traitement directement observé ? Pour chaque médicament, donne la spécialité suisse, la dose, la voie, la durée et les adaptations (rein, foie, enfant, grossesse) selon l'information professionnelle suisse (swissmedicinfo.ch), avec la date de l'IP.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C-012  ·  priorité Haute  ·  recommandation</w:t>
            </w:r>
          </w:p>
        </w:tc>
        <w:tc>
          <w:tcPr>
            <w:tcW w:w="11200" w:type="dxa"/>
            <w:shd w:val="clear" w:color="auto" w:fill="FDEBD0"/>
            <w:vAlign w:val="top"/>
          </w:tcPr>
          <w:p>
            <w:pPr>
              <w:spacing w:after="0"/>
            </w:pPr>
            <w:r>
              <w:rPr>
                <w:sz w:val="17"/>
                <w:szCs w:val="17"/>
              </w:rPr>
              <w:t xml:space="preserve">LOT 233 · SSP O7.11 · LOT_233_Appel_A_V5_Ultra_Pedagogique_Plan_et_Liste.html ; LOT_233_Appel_B_V5_Ultra_Pedagogique_Partie_1_DX.1_a_DX.2.html ; LOT_233_Appel_B_V5_Ultra_Pedagogique_Partie_2_DX.3_a_DX.5.html ; LOT_233_Appel_B_V5_Ultra_Pedagogique_Partie_3_DX.6_a_DX.7.html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233 Plan et Liste › VIII.D. Pronostic, évolution et recherche en 2026 › 🔍 Fenêtre Interactive VIII.6 : Évolution sociétale et normative en 202 (lacune #14) ; LOT 233 Partie 1 DX.1 a DX.2 › LOT 233 : Refus de traitement (SSP O7.11, PROFILES 2023) › mesure de contrainte (lacune #18) ; LOT 233 Partie 2 DX.3 a DX.5 › LOT 233 : Refus de traitement (O7.11) › 🔍 Fenêtre Interactive 11.D.1 : évolution observée et état normatif 202 (lacune #51) ; LOT 233 Partie 3 DX.6 a DX.7 (lacune #95)</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utilise un résumé (PHC 2018) de la directive ASSM « Mesures de contrainte en médecine » (2015) ; la révision est en cours (atelier public du 22.5.2025) ; le texte intégral n'a pas été lu.</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est le statut en 2026 de la directive ASSM « Mesures de contrainte en médecine » (version 2015 ou version révisée, date, URL) ? Quelles conditions fixe-t-elle pour la contrainte, la documentation et la contention, et quelles différences apporte la nouvelle version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C-013  ·  priorité Haute  ·  recommandation</w:t>
            </w:r>
          </w:p>
        </w:tc>
        <w:tc>
          <w:tcPr>
            <w:tcW w:w="11200" w:type="dxa"/>
            <w:shd w:val="clear" w:color="auto" w:fill="FDEBD0"/>
            <w:vAlign w:val="top"/>
          </w:tcPr>
          <w:p>
            <w:pPr>
              <w:spacing w:after="0"/>
            </w:pPr>
            <w:r>
              <w:rPr>
                <w:sz w:val="17"/>
                <w:szCs w:val="17"/>
              </w:rPr>
              <w:t xml:space="preserve">LOT 233 · SSP O7.11 · LOT_233_Appel_A_V5_Ultra_Pedagogique_Plan_et_Liste.html ; LOT_233_Appel_B_V5_Ultra_Pedagogique_Partie_2_DX.3_a_DX.5.html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233 Plan et Liste › VIII.D. Pronostic, évolution et recherche en 2026 › 🔍 Fenêtre Interactive VIII.6 : Évolution sociétale et normative en 202 (lacune #15) ; LOT 233 Partie 2 DX.3 a DX.5 › LOT 233 : Refus de traitement (O7.11) › 🔍 Fenêtre Interactive 3.4 : CP 114–115 et assistance au suicide (lacune #65) ; LOT 233 Partie 2 DX.3 a DX.5 › LOT 233 : Refus de traitement (O7.11) (lacune #68) ; LOT 233 Partie 2 DX.3 a DX.5 › LOT 233 : Refus de traitement (O7.11) › 🔍 Fenêtre Interactive 11.D.1 : état normatif 2026 et lacunes (lacune #73)</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 directive ASSM « Attitude face à la fin de vie et à la mort » 2018 (critère de souffrance insupportable), le refus de la FMH de l'intégrer (renvoi à la version 2004) et l'exigence d'une expertise psychiatrique (TF 2006) ; la version révisée 2021/2022 n'a pas été lue.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version en vigueur de la directive ASSM sur la fin de vie et l'assistance au suicide (version 2021/2022, conditions exactes, deux entretiens à deux semaines d'intervalle, cas de la souffrance sans maladie grave) ? La FMH l'a-t-elle intégrée à son Code ? Quelles sont les conditions de l'expertise psychiatrique selon la jurisprudence du Tribunal fédéral la plus récente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C-014  ·  priorité Haute  ·  seuil</w:t>
            </w:r>
          </w:p>
        </w:tc>
        <w:tc>
          <w:tcPr>
            <w:tcW w:w="11200" w:type="dxa"/>
            <w:shd w:val="clear" w:color="auto" w:fill="FDEBD0"/>
            <w:vAlign w:val="top"/>
          </w:tcPr>
          <w:p>
            <w:pPr>
              <w:spacing w:after="0"/>
            </w:pPr>
            <w:r>
              <w:rPr>
                <w:sz w:val="17"/>
                <w:szCs w:val="17"/>
              </w:rPr>
              <w:t xml:space="preserve">LOT 233 · SSP O7.11 ; O7.14 · LOT_233_Appel_B_V5_Ultra_Pedagogique_Partie_1_DX.1_a_DX.2.html ; LOT_236_Appel_B_V5_Ultra_Pedagogique_Partie_2_DX.3_a_DX.5.html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233 Partie 1 DX.1 a DX.2 › LOT 233 : Refus de traitement (SSP O7.11, PROFILES 2023) (lacune #19) ; LOT 233 Partie 1 DX.1 a DX.2 › LOT 233 : Refus de traitement (SSP O7.11, PROFILES 2023) › Attention (lacune #22) ; LOT 233 Partie 1 DX.1 a DX.2 › LOT 233 : Refus de traitement (SSP O7.11, PROFILES 2023) › Apathie (lacune #23) ; LOT 233 Partie 1 DX.1 a DX.2 › LOT 233 : Refus de traitement (SSP O7.11, PROFILES 2023) › 🔍 Fenêtre Interactive 9.2 : Dépister le délirium : CAM, 4AT, mCAM-ED,  (lacune #26) ; LOT 233 Partie 1 DX.1 a DX.2 › LOT 233 : Refus de traitement (SSP O7.11, PROFILES 2023) › 🔍 Fenêtre Interactive 9.2 : Dépister le délirium : CAM, 4AT, mCAM-ED,  (lacune #27) ; LOT 233 Partie 1 DX.1 a DX.2 › LOT 233 : Refus de traitement (SSP O7.11, PROFILES 2023) (lacune #30) ; LOT 236 Partie 2 DX.3 a DX.5 › LOT 236 : Réadaptation physique et psychosociale, hospitaliè › délire (lacune #71) ; LOT 236 Partie 2 DX.3 a DX.5 › LOT 236 : Réadaptation physique et psychosociale, hospitaliè › délire (lacune #72)</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décrit le dépistage du délirium (test des mois à rebours, mCAM-ED, CAM, 4AT ≈ 2 minutes, DOS 13 critères) et cite des recommandations suisses (délirium 11–25 % à l'admission des &gt; 65 ans) ; les seuils, la prévalence suisse mesurée et les critères de résolution manquent.</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sont les seuils de positivité du 4AT, de la DOS, de la CAM et du mCAM-ED, leurs sensibilités et spécificités, et les critères diagnostiques DSM-5-TR/CIM-11 du délirium ? Quelle recommandation suisse (SSG/SPSG, Felix Platter, CHUV, HUG) fixe le dépistage, la prise en charge et le critère de résolution du délirium, y compris en soins intensifs (CAM-ICU, ICDSC)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C-015  ·  priorité Haute  ·  seuil</w:t>
            </w:r>
          </w:p>
        </w:tc>
        <w:tc>
          <w:tcPr>
            <w:tcW w:w="11200" w:type="dxa"/>
            <w:shd w:val="clear" w:color="auto" w:fill="FDEBD0"/>
            <w:vAlign w:val="top"/>
          </w:tcPr>
          <w:p>
            <w:pPr>
              <w:spacing w:after="0"/>
            </w:pPr>
            <w:r>
              <w:rPr>
                <w:sz w:val="17"/>
                <w:szCs w:val="17"/>
              </w:rPr>
              <w:t xml:space="preserve">LOT 233 · SSP O7.11 · LOT_233_Appel_A_V5_Ultra_Pedagogique_Plan_et_Liste.html ; LOT_233_Appel_B_V5_Ultra_Pedagogique_Partie_1_DX.1_a_DX.2.html ; LOT_233_Appel_B_V5_Ultra_Pedagogique_Partie_2_DX.3_a_DX.5.html ; LOT_233_Appel_B_V5_Ultra_Pedagogique_Partie_4_DX.8_a_DX.10.html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233 Plan et Liste › III.A. Hypothèses fréquentes et graves › Coma (lacune #4) ; LOT 233 Partie 1 DX.1 a DX.2 › LOT 233 : Refus de traitement (SSP O7.11, PROFILES 2023) › Conscience (lacune #24) ; LOT 233 Partie 2 DX.3 a DX.5 › LOT 233 : Refus de traitement (O7.11) › trouble de la conscience (lacune #54) ; LOT 233 Partie 4 DX.8 a DX.10 › LOT 233 : Refus de traitement (SSP O7.11) › Situation de coma (lacune #116)</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décrit le trouble de la conscience (de la somnolence au coma) sans échelle chiffrée.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échelles de conscience les sources suisses et européennes recommandent-elles (Glasgow Coma Scale avec seuils de gravité, FOUR, AVPU, RASS) et quelle interprétation chiffrée en donnent-elles pour l'évaluation d'un patient qui semble refuser un soin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C-016  ·  priorité Haute  ·  seuil</w:t>
            </w:r>
          </w:p>
        </w:tc>
        <w:tc>
          <w:tcPr>
            <w:tcW w:w="11200" w:type="dxa"/>
            <w:shd w:val="clear" w:color="auto" w:fill="FDEBD0"/>
            <w:vAlign w:val="top"/>
          </w:tcPr>
          <w:p>
            <w:pPr>
              <w:spacing w:after="0"/>
            </w:pPr>
            <w:r>
              <w:rPr>
                <w:sz w:val="17"/>
                <w:szCs w:val="17"/>
              </w:rPr>
              <w:t xml:space="preserve">LOT 233 · SSP O7.11 · LOT_233_Appel_B_V5_Ultra_Pedagogique_Partie_1_DX.1_a_DX.2.html ; LOT_233_Appel_B_V5_Ultra_Pedagogique_Partie_2_DX.3_a_DX.5.html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233 Partie 1 DX.1 a DX.2 › LOT 233 : Refus de traitement (SSP O7.11, PROFILES 2023) › 🔍 Fenêtre Interactive 9.3 : Bilan de la cause : examen, valeur, seuil, (lacune #28) ; LOT 233 Partie 2 DX.3 a DX.5 › LOT 233 : Refus de traitement (O7.11) (lacune #42) ; LOT 233 Partie 2 DX.3 a DX.5 › LOT 233 : Refus de traitement (O7.11) (lacune #44) ; LOT 233 Partie 2 DX.3 a DX.5 › LOT 233 : Refus de traitement (O7.11) › hypoglycémie (lacune #52) ; LOT 233 Partie 2 DX.3 a DX.5 › LOT 233 : Refus de traitement (O7.11) (lacune #53) ; LOT 233 Partie 2 DX.3 a DX.5 › LOT 233 : Refus de traitement (O7.11) (lacune #55) ; LOT 233 Partie 2 DX.3 a DX.5 › LOT 233 : Refus de traitement (O7.11) › 🔍 Fenêtre Interactive 9.b.1 : examens de première intention, tableau d (lacune #57) ; LOT 233 Partie 2 DX.3 a DX.5 › LOT 233 : Refus de traitement (O7.11) › 🔍 Fenêtre Interactive 9.b.1 : examens de première intention, tableau d (lacune #58)</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bilan d'une cause organique chez le patient qui refuse (signes vitaux, glycémie capillaire, CRP, TSH, alcoolémie) renvoie aux « valeurs de référence du service » ; le seuil d'hypoglycémie et le seuil légal d'alcoolémie ne sont pas chiffrés ; l'OMS est citée pour l'alcoolémie (&gt; 1,5 g/L stupeur).</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seuils chiffrés retenir pour l'hypoglycémie (niveaux 1–3, mmol/L, selon SSED/ADA-EASD), les signes vitaux d'alarme (NEWS2 ou score utilisé en Suisse), et quels examens de laboratoire minimaux recommandent les sources suisses devant une confusion aiguë ? Quels sont les seuils d'alcoolémie de la LCR/OAC et la corrélation clinique alcoolémie-sévérité en g/kg (‰)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C-020  ·  priorité Haute  ·  autorisation</w:t>
            </w:r>
          </w:p>
        </w:tc>
        <w:tc>
          <w:tcPr>
            <w:tcW w:w="11200" w:type="dxa"/>
            <w:shd w:val="clear" w:color="auto" w:fill="FDEBD0"/>
            <w:vAlign w:val="top"/>
          </w:tcPr>
          <w:p>
            <w:pPr>
              <w:spacing w:after="0"/>
            </w:pPr>
            <w:r>
              <w:rPr>
                <w:sz w:val="17"/>
                <w:szCs w:val="17"/>
              </w:rPr>
              <w:t xml:space="preserve">LOT 233 · SSP O7.11 · LOT_233_Appel_B_V5_Ultra_Pedagogique_Partie_2_DX.3_a_DX.5.html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233 Partie 2 DX.3 a DX.5 › LOT 233 : Refus de traitement (O7.11) › 🔍 Fenêtre Interactive 11.B.2 : médicaments (classe, DCI, spécialité su (lacune #71)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 pentobarbital sodique pour l'assistance au suicide (stupéfiant, prescription par un médecin, annonce cantonale dans les 30 jours) sans spécialité ni dose.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est le statut suisse du pentobarbital sodique (spécialité autorisée ou préparation magistrale, catégorie de stupéfiant selon l'OStup), quelles règles de prescription et d'annonce s'appliquent, et quelle dose la pratique suisse documentée emploie-t-elle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C-023  ·  priorité Haute  ·  conduite</w:t>
            </w:r>
          </w:p>
        </w:tc>
        <w:tc>
          <w:tcPr>
            <w:tcW w:w="11200" w:type="dxa"/>
            <w:shd w:val="clear" w:color="auto" w:fill="FDEBD0"/>
            <w:vAlign w:val="top"/>
          </w:tcPr>
          <w:p>
            <w:pPr>
              <w:spacing w:after="0"/>
            </w:pPr>
            <w:r>
              <w:rPr>
                <w:sz w:val="17"/>
                <w:szCs w:val="17"/>
              </w:rPr>
              <w:t xml:space="preserve">LOT 233 · SSP O7.11 · LOT_233_Appel_B_V5_Ultra_Pedagogique_Partie_4_DX.8_a_DX.10.html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233 Partie 4 DX.8 a DX.10 › LOT 233 : Refus de traitement (SSP O7.11) › grève de la faim (lacune #112) ; LOT 233 Partie 4 DX.8 a DX.10 › LOT 233 : Refus de traitement (SSP O7.11) (lacune #113) ; LOT 233 Partie 4 DX.8 a DX.10 › LOT 233 : Refus de traitement (SSP O7.11) (lacune #114) ; LOT 233 Partie 4 DX.8 a DX.10 › LOT 233 : Refus de traitement (SSP O7.11) › Situation de jeûne sec (lacune #115)</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traite la grève de la faim en détention (&gt; 90 % s'arrêtent en moins d'une semaine ; Genève 1,3 % au début des années 1990 ; directive ASSM « Exercice de la médecine auprès de personnes détenues ») ; le délai de survie du jeûne sec et les seuils de surveillance ne sont pas chiffrés.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version en vigueur de la directive ASSM sur la médecine auprès des personnes détenues et que prescrit-elle pour la grève de la faim ? Quels seuils de surveillance (perte de poids, IMC, signes vitaux, rythme des contrôles) et quels délais de risque vital pour le jeûne hydrique et le jeûne sec retiennent les sources européennes (déclaration de Malte AMM 2017, CICR) ? Existe-t-il des données suisses récentes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C-024  ·  priorité Haute  ·  recommandation</w:t>
            </w:r>
          </w:p>
        </w:tc>
        <w:tc>
          <w:tcPr>
            <w:tcW w:w="11200" w:type="dxa"/>
            <w:shd w:val="clear" w:color="auto" w:fill="FDEBD0"/>
            <w:vAlign w:val="top"/>
          </w:tcPr>
          <w:p>
            <w:pPr>
              <w:spacing w:after="0"/>
            </w:pPr>
            <w:r>
              <w:rPr>
                <w:sz w:val="17"/>
                <w:szCs w:val="17"/>
              </w:rPr>
              <w:t xml:space="preserve">LOT 233 · SSP O7.11 · LOT_233_Appel_A_V5_Ultra_Pedagogique_Plan_et_Liste.html ; LOT_233_Appel_B_V5_Ultra_Pedagogique_Partie_4_DX.8_a_DX.10.html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233 Plan et Liste › 7.9. Femme enceinte qui refuse (DX.9) (lacune #11) ; LOT 233 Partie 4 DX.8 a DX.10 › LOT 233 : Refus de traitement (SSP O7.11) › NURSE (lacune #107)</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qu'aucune recommandation suisse ou européenne n'existe sur le refus de césarienne par une femme capable (cas fictif 34 ans, 39 SA) ; les paramètres obstétricaux et fœtaux de l'examen ne sont pas donnés.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Existe-t-il un avis d'experts de la SSGO/gynécologie suisse, une prise de position de l'ASSM, du RCOG, du CNGOF ou de la FIGO sur le refus de césarienne ou de traitement pendant la grossesse ? Quelle conduite, quelle documentation et quels paramètres de surveillance maternelle et fœtale recommandent-ils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C-025  ·  priorité Haute  ·  dose</w:t>
            </w:r>
          </w:p>
        </w:tc>
        <w:tc>
          <w:tcPr>
            <w:tcW w:w="11200" w:type="dxa"/>
            <w:shd w:val="clear" w:color="auto" w:fill="FDEBD0"/>
            <w:vAlign w:val="top"/>
          </w:tcPr>
          <w:p>
            <w:pPr>
              <w:spacing w:after="0"/>
            </w:pPr>
            <w:r>
              <w:rPr>
                <w:sz w:val="17"/>
                <w:szCs w:val="17"/>
              </w:rPr>
              <w:t xml:space="preserve">LOT 233 · SSP O7.11 · LOT_233_Appel_A_V5_Ultra_Pedagogique_Plan_et_Liste.html ; LOT_233_Appel_B_V5_Ultra_Pedagogique_Partie_3_DX.6_a_DX.7.html ; LOT_233_Appel_B_V5_Ultra_Pedagogique_Partie_4_DX.8_a_DX.10.html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233 Plan et Liste › VIII.B. Moyens › mécanisme (lacune #13) ; LOT 233 Partie 3 DX.6 a DX.7 › époétine alfa (lacune #86) ; LOT 233 Partie 4 DX.8 a DX.10 › LOT 233 : Refus de traitement (SSP O7.11) › acide tranexamique (lacune #110)</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donne Eprex® (époétine alfa) : chirurgie orthopédique majeure, Hb 100–130 g/L, 600 UI/kg s.c. à J−21, J−14, J−7 et J0, arrêt si Hb ≥ 150 g/L ; adaptations rénale et hépatique, indication obstétricale et pédiatrique inconnues.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dit l'information professionnelle suisse actuelle d'Eprex® et des autres époétines sur l'adaptation rénale et hépatique, l'enfant, la grossesse et l'usage hors étiquette chez un patient refusant la transfusion ? Quelle recommandation européenne de patient blood management (NATA, ESA) fixe leur usage ? Pour chaque médicament, donne la spécialité suisse, la dose, la voie, la durée et les adaptations (rein, foie, enfant, grossesse) selon l'information professionnelle suisse (swissmedicinfo.ch), avec la date de l'IP.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C-026  ·  priorité Haute  ·  dose</w:t>
            </w:r>
          </w:p>
        </w:tc>
        <w:tc>
          <w:tcPr>
            <w:tcW w:w="11200" w:type="dxa"/>
            <w:shd w:val="clear" w:color="auto" w:fill="FDEBD0"/>
            <w:vAlign w:val="top"/>
          </w:tcPr>
          <w:p>
            <w:pPr>
              <w:spacing w:after="0"/>
            </w:pPr>
            <w:r>
              <w:rPr>
                <w:sz w:val="17"/>
                <w:szCs w:val="17"/>
              </w:rPr>
              <w:t xml:space="preserve">LOT 233 · SSP O7.11 · LOT_233_Appel_B_V5_Ultra_Pedagogique_Partie_3_DX.6_a_DX.7.html ; LOT_233_Appel_B_V5_Ultra_Pedagogique_Partie_4_DX.8_a_DX.10.html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233 Partie 3 DX.6 a DX.7 (lacune #75) ; LOT 233 Partie 3 DX.6 a DX.7 › acide tranexamique (lacune #87) ; LOT 233 Partie 3 DX.6 a DX.7 (lacune #88) ; LOT 233 Partie 3 DX.6 a DX.7 (lacune #89) ; LOT 233 Partie 3 DX.6 a DX.7 › Médicaments du patient blood management chez l'enfant et l'adolescent  (lacune #94) ; LOT 233 Partie 4 DX.8 a DX.10 › LOT 233 : Refus de traitement (SSP O7.11) › acide tranexamique (lacune #109)</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Pour le patient qui refuse la transfusion, le cours ne donne pas le statut de l'albumine, la durée maximale de l'acide tranexamique, la dose de chlorure de calcium, les doses de B12 et folates associées au fer et à l'érythropoïétine, ni d'alternative au Ferinject® chez l'enfant (non autorisé de 1 à 18 ans selon le cours).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doses et durées recommandent l'IP suisse et les guides PBM européens pour l'acide tranexamique (durée maximale), le chlorure ou gluconate de calcium (hypocalcémie ionisée en transfusion massive), la vitamine B12 et l'acide folique ? Quel fer intraveineux est autorisé chez l'enfant en Suisse (fer saccharose Venofer®, autres) et à quelle dose ? Quels dérivés sanguins (albumine, facteurs) acceptent ou refusent habituellement les Témoins de Jéhovah selon la littérature européenne ? Pour chaque médicament, donne la spécialité suisse, la dose, la voie, la durée et les adaptations (rein, foie, enfant, grossesse) selon l'information professionnelle suisse (swissmedicinfo.ch), avec la date de l'IP.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C-027  ·  priorité Haute  ·  seuil</w:t>
            </w:r>
          </w:p>
        </w:tc>
        <w:tc>
          <w:tcPr>
            <w:tcW w:w="11200" w:type="dxa"/>
            <w:shd w:val="clear" w:color="auto" w:fill="FDEBD0"/>
            <w:vAlign w:val="top"/>
          </w:tcPr>
          <w:p>
            <w:pPr>
              <w:spacing w:after="0"/>
            </w:pPr>
            <w:r>
              <w:rPr>
                <w:sz w:val="17"/>
                <w:szCs w:val="17"/>
              </w:rPr>
              <w:t xml:space="preserve">LOT 233 · SSP O7.11 · LOT_233_Appel_B_V5_Ultra_Pedagogique_Partie_3_DX.6_a_DX.7.html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233 Partie 3 DX.6 a DX.7 › Tableau d'interprétation du bilan d'anémie (lacune #81) ; LOT 233 Partie 3 DX.6 a DX.7 › Tableau d'interprétation du bilan d'anémie (lacune #82) ; LOT 233 Partie 3 DX.6 a DX.7 › Tableau d'interprétation du bilan d'anémie (lacune #83) ; LOT 233 Partie 3 DX.6 a DX.7 (lacune #84) ; LOT 233 Partie 3 DX.6 a DX.7 (lacune #85) ; LOT 233 Partie 3 DX.6 a DX.7 (lacune #90)</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tableau du bilan d'anémie donne des valeurs de référence (ferritine 30–300 µg/L, saturation 16–45 %, folates &gt; 12,2 nmol/L, holoTC &gt; 40 pmol/L) sans seuil de décision ; Ret-He/CHr et B12 totale sans valeur ; fréquence des contrôles d'Hb post-opératoires chez l'enfant inconnue.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seuils de décision recommandent les guides PBM européens et suisses (Swiss PBM, NATA 2024, ESAIC) pour la carence martiale préopératoire (ferritine &lt; 30 ou &lt; 100 µg/L, saturation &lt; 20 %), la B12 totale, le Ret-He/CHr, et quel rythme de contrôle de l'Hb après chirurgie chez l'enfant ou l'adulte refusant la transfusion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C-029  ·  priorité Haute  ·  dose</w:t>
            </w:r>
          </w:p>
        </w:tc>
        <w:tc>
          <w:tcPr>
            <w:tcW w:w="11200" w:type="dxa"/>
            <w:shd w:val="clear" w:color="auto" w:fill="FDEBD0"/>
            <w:vAlign w:val="top"/>
          </w:tcPr>
          <w:p>
            <w:pPr>
              <w:spacing w:after="0"/>
            </w:pPr>
            <w:r>
              <w:rPr>
                <w:sz w:val="17"/>
                <w:szCs w:val="17"/>
              </w:rPr>
              <w:t xml:space="preserve">LOT 233 · SSP O7.11 · LOT_233_Appel_B_V5_Ultra_Pedagogique_Partie_2_DX.3_a_DX.5.html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233 Partie 2 DX.3 a DX.5 › LOT 233 : Refus de traitement (O7.11) (lacune #48)</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Dans le patient à capacité douteuse, le cours écrit que les doses des psychotropes (antipsychotiques, thymorégulateurs, antidépresseurs) restent introuvables.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psychotropes et quelles doses recommandent les sources suisses (SSPP, Compendium d'urgence psychiatrique HUG/CHUV) pour l'agitation aiguë et le délirium de l'adulte et du sujet âgé (halopéridol, quétiapine, lorazépam, olanzapine), avec contre-indications (coma, QT long, Parkinson) ? Pour chaque médicament, donne la spécialité suisse, la dose, la voie, la durée et les adaptations (rein, foie, enfant, grossesse) selon l'information professionnelle suisse (swissmedicinfo.ch), avec la date de l'IP.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C-031  ·  priorité Haute  ·  seuil</w:t>
            </w:r>
          </w:p>
        </w:tc>
        <w:tc>
          <w:tcPr>
            <w:tcW w:w="11200" w:type="dxa"/>
            <w:shd w:val="clear" w:color="auto" w:fill="FDEBD0"/>
            <w:vAlign w:val="top"/>
          </w:tcPr>
          <w:p>
            <w:pPr>
              <w:spacing w:after="0"/>
            </w:pPr>
            <w:r>
              <w:rPr>
                <w:sz w:val="17"/>
                <w:szCs w:val="17"/>
              </w:rPr>
              <w:t xml:space="preserve">LOT 233 · SSP O7.11 ; O7.13 · LOT_233_Appel_B_V5_Ultra_Pedagogique_Partie_4_DX.8_a_DX.10.html ; LOT_235_Appel_A_V5_Ultra_Pedagogique_Plan_et_Liste.html ; LOT_235_Appel_B_V5_Ultra_Pedagogique_Partie_2_DX.3_a_DX.5.html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233 Partie 4 DX.8 a DX.10 › LOT 233 : Refus de traitement (SSP O7.11) › Culture et test d’amplification (gold standard) (lacune #98) ; LOT 233 Partie 4 DX.8 a DX.10 › LOT 233 : Refus de traitement (SSP O7.11) › IGRA et test cutané tuberculinique (lacune #99) ; LOT 235 Plan et Liste › LOT 235 : Patient d'un autre contexte culturel, migration (c › [S4] [S6] (lacune #8) ; LOT 235 Plan et Liste › LOT 235 : Patient d'un autre contexte culturel, migration (c › Test cutané tuberculinique (TCT) (lacune #9) ; LOT 235 Plan et Liste › LOT 235 : Patient d'un autre contexte culturel, migration (c › Test de libération d'interféron gamma (IGRA) (lacune #10) ; LOT 235 Plan et Liste › Lacunes restantes (lacune #19) ; LOT 235 Partie 2 DX.3 a DX.5 › LOT 235 : Patient d'un autre contexte culturel, migration (c › culture mycobactérienne avec antibiogramme (lacune #68) ; LOT 235 Partie 2 DX.3 a DX.5 › Lacunes restantes (lacune #79)</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suit le manuel « Tuberculose en Suisse » (Ligue pulmonaire/OFSP) : TCT 0,1 mL PPD RT23 lu à 48–72 h, IGRA non influencé par le BCG, culture et PCR comme référence ; le seuil de positivité de l'IGRA en UI/mL, les seuils du TCT hors enquête d'entourage et les sensibilités/spécificités ne sont pas donnés ; dépistage par entretien dans les 72 h en centre fédéral.</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version la plus récente du manuel suisse de la tuberculose et que fixe-t-elle pour le seuil de positivité de l'IGRA (QuantiFERON-TB Gold Plus, T-SPOT.TB), les seuils du TCT selon le contexte, et les sensibilités/spécificités de la microscopie, de la culture, de la PCR (Xpert MTB/RIF) et de l'IGRA ? Quel est le protocole actuel du SEM/OFSP de dépistage de la tuberculose chez les requérants d'asile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C-017  ·  priorité Moyenne  ·  conduite</w:t>
            </w:r>
          </w:p>
        </w:tc>
        <w:tc>
          <w:tcPr>
            <w:tcW w:w="11200" w:type="dxa"/>
            <w:shd w:val="clear" w:color="auto" w:fill="EBF5FB"/>
            <w:vAlign w:val="top"/>
          </w:tcPr>
          <w:p>
            <w:pPr>
              <w:spacing w:after="0"/>
            </w:pPr>
            <w:r>
              <w:rPr>
                <w:sz w:val="17"/>
                <w:szCs w:val="17"/>
              </w:rPr>
              <w:t xml:space="preserve">LOT 233 · SSP O7.11 ; O7.12 · LOT_233_Appel_B_V5_Ultra_Pedagogique_Partie_1_DX.1_a_DX.2.html ; LOT_233_Appel_B_V5_Ultra_Pedagogique_Partie_2_DX.3_a_DX.5.html ; LOT_234_Appel_B_V5_Ultra_Pedagogique_Partie_3_DX.6_a_DX.7.html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233 Partie 1 DX.1 a DX.2 › LOT 233 : Refus de traitement (SSP O7.11, PROFILES 2023) (lacune #29) ; LOT 233 Partie 2 DX.3 a DX.5 › LOT 233 : Refus de traitement (O7.11) (lacune #46) ; LOT 233 Partie 2 DX.3 a DX.5 › LOT 233 : Refus de traitement (O7.11) (lacune #49) ; LOT 233 Partie 2 DX.3 a DX.5 › LOT 233 : Refus de traitement (O7.11) › 🔍 Fenêtre Interactive 9.b.1 : examens de première intention, tableau d (lacune #59) ; LOT 233 Partie 2 DX.3 a DX.5 › LOT 233 : Refus de traitement (O7.11) › 🔍 Fenêtre Interactive 9.c.1 : grossesse, enfant, rein, imagerie (lacune #60) ; LOT 233 Partie 2 DX.3 a DX.5 › LOT 233 : Refus de traitement (O7.11) (lacune #62) ; LOT 234 Partie 3 DX.6 a DX.7 › LOT 234 : Infection sexuellement transmissible (SSP O7.12) (lacune #46)</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renvoie l'imagerie cérébrale d'une cause organique à « des critères non trouvés » et ne traite pas l'allergie aux produits de contraste ni le pacemaker non compatible IRM ; idem pour l'imagerie de la MIP.</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règles européennes ou suisses fixent l'indication du scanner cérébral après traumatisme crânien léger (Canadian CT Head Rule, NICE, Scandinavian guidelines) et chez le patient confus ? Quelle conduite la Société suisse de radiologie recommande-t-elle en cas d'allergie aux produits de contraste iodés (prémédication) et de stimulateur cardiaque (IRM conditionnelle)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C-028  ·  priorité Moyenne  ·  recommandation</w:t>
            </w:r>
          </w:p>
        </w:tc>
        <w:tc>
          <w:tcPr>
            <w:tcW w:w="11200" w:type="dxa"/>
            <w:shd w:val="clear" w:color="auto" w:fill="EBF5FB"/>
            <w:vAlign w:val="top"/>
          </w:tcPr>
          <w:p>
            <w:pPr>
              <w:spacing w:after="0"/>
            </w:pPr>
            <w:r>
              <w:rPr>
                <w:sz w:val="17"/>
                <w:szCs w:val="17"/>
              </w:rPr>
              <w:t xml:space="preserve">LOT 233 · SSP O7.11 · LOT_233_Appel_B_V5_Ultra_Pedagogique_Partie_3_DX.6_a_DX.7.html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233 Partie 3 DX.6 a DX.7 › Non-discrimination (code de déontologie FMH) (lacune #77) ; LOT 233 Partie 3 DX.6 a DX.7 › ⚖ Fenêtre transversale : Convention d'Oviedo, CEDH 2024 et secret médi (lacune #79)</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l'arrêt CEDH du 17.9.2024 (requête 15541/20, transfusion contre la volonté d'une patiente, art. 8 et 9) via une revue allemande, sans l'avoir lu ; le nombre de Témoins de Jéhovah en Suisse est inconnu.</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dit exactement l'arrêt CEDH Pindo Mulla c. Espagne (17.9.2024, requête 15541/20) et quelles conséquences pratiques en tire la doctrine suisse ? Combien de Témoins de Jéhovah compte la Suisse (OFS, communauté)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C-030  ·  priorité Moyenne  ·  conduite</w:t>
            </w:r>
          </w:p>
        </w:tc>
        <w:tc>
          <w:tcPr>
            <w:tcW w:w="11200" w:type="dxa"/>
            <w:shd w:val="clear" w:color="auto" w:fill="EBF5FB"/>
            <w:vAlign w:val="top"/>
          </w:tcPr>
          <w:p>
            <w:pPr>
              <w:spacing w:after="0"/>
            </w:pPr>
            <w:r>
              <w:rPr>
                <w:sz w:val="17"/>
                <w:szCs w:val="17"/>
              </w:rPr>
              <w:t xml:space="preserve">LOT 233 · SSP O7.11 · LOT_233_Appel_B_V5_Ultra_Pedagogique_Partie_2_DX.3_a_DX.5.html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233 Partie 2 DX.3 a DX.5 › LOT 233 : Refus de traitement (O7.11) › 🔍 Fenêtre Interactive 11.C.1 : calendrier de surveillance (lacune #61) ; LOT 233 Partie 2 DX.3 a DX.5 › LOT 233 : Refus de traitement (O7.11) (lacune #63) ; LOT 233 Partie 2 DX.3 a DX.5 › LOT 233 : Refus de traitement (O7.11) (lacune #64)</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Pour le patient ivre qui refuse les soins, le cours ne chiffre pas l'intervalle de réévaluation de la capacité après dégrisement et ne cite aucune mesure suisse de prévention.</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recommandation suisse ou européenne fixe la surveillance d'un patient intoxiqué à l'alcool qui refuse les soins (intervalle de réévaluation, critères de sortie, sortie contre avis) ? Quelles mesures nationales de prévention s'appliquent (Stratégie nationale Addictions OFSP, Addiction Suisse)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C-033  ·  priorité Critique  ·  dose</w:t>
            </w:r>
          </w:p>
        </w:tc>
        <w:tc>
          <w:tcPr>
            <w:tcW w:w="11200" w:type="dxa"/>
            <w:shd w:val="clear" w:color="auto" w:fill="FADBD8"/>
            <w:vAlign w:val="top"/>
          </w:tcPr>
          <w:p>
            <w:pPr>
              <w:spacing w:after="0"/>
            </w:pPr>
            <w:r>
              <w:rPr>
                <w:sz w:val="17"/>
                <w:szCs w:val="17"/>
              </w:rPr>
              <w:t xml:space="preserve">LOT 234 · SSP O7.12 ; O7.13 · LOT_234_Appel_A_V5_Ultra_Pedagogique_Plan_et_Liste.html ; LOT_234_Appel_B_V5_Ultra_Pedagogique_Partie_4_DX.8_a_DX.10.html ; LOT_235_Appel_A_V5_Ultra_Pedagogique_Plan_et_Liste.html ; LOT_235_Appel_B_V5_Ultra_Pedagogique_Partie_2_DX.3_a_DX.5.html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234 Plan et Liste › Bloc 1 — Monographie du SSP › métronidazole Mécanisme. Ce nitro-imidazole inhibe la synthèse des aci (lacune #0) ; LOT 234 Partie 4 DX.8 a DX.10 › LOT 234 : Infection sexuellement transmissible (SSP O7.12 de (lacune #56) ; LOT 235 Plan et Liste › LOT 235 : Patient d'un autre contexte culturel, migration (c › [S36] [S38] [S5] (lacune #14) ; LOT 235 Plan et Liste › Lacunes restantes (lacune #22) ; LOT 235 Partie 2 DX.3 a DX.5 › LOT 235 : Patient d'un autre contexte culturel, migration (c › [S36] [S200] [S201] (lacune #74)</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donne : PPE hépatite B par immunoglobulines anti-HBs 500 UI i.m. si possible ≤ 48 h (inutiles après 7 jours) + vaccin accéléré (Engerix-B® 20) ; chronique : ténofovir alafénamide Vemlidy® 25 mg 1×/j ; aiguë sévère : lamivudine ou entécavir ; seuils de traitement EASL 2025 lus en résumé ; statut suisse du bepirovirsen inconnu.</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immunoglobuline anti-HBs est autorisée ou disponible en Suisse (Hepatect® CP, Hepatitis-B-Immunglobulin Behring, autre) et à quelle dose pour la PPE de l'adulte et du nouveau-né ? Quels sont les critères de traitement de l'hépatite B chronique selon l'EASL 2025 (ADN VHB, ALAT, fibrose kPa) comparés à l'EASL 2017 et à la recommandation suisse (SASL/OFSP) ? Le bepirovirsen a-t-il une autorisation Swissmedic ? Pour chaque médicament, donne la spécialité suisse, la dose, la voie, la durée et les adaptations (rein, foie, enfant, grossesse) selon l'information professionnelle suisse (swissmedicinfo.ch), avec la date de l'IP.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C-042  ·  priorité Critique  ·  conduite</w:t>
            </w:r>
          </w:p>
        </w:tc>
        <w:tc>
          <w:tcPr>
            <w:tcW w:w="11200" w:type="dxa"/>
            <w:shd w:val="clear" w:color="auto" w:fill="FADBD8"/>
            <w:vAlign w:val="top"/>
          </w:tcPr>
          <w:p>
            <w:pPr>
              <w:spacing w:after="0"/>
            </w:pPr>
            <w:r>
              <w:rPr>
                <w:sz w:val="17"/>
                <w:szCs w:val="17"/>
              </w:rPr>
              <w:t xml:space="preserve">LOT 234 · SSP O7.12 ; O7.13 · LOT_234_Appel_A_V5_Ultra_Pedagogique_Plan_et_Liste.html ; LOT_234_Appel_B_V5_Ultra_Pedagogique_Partie_1_DX.1_a_DX.2.html ; LOT_235_Appel_B_V5_Ultra_Pedagogique_Partie_4_DX.8_a_DX.10.html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234 Plan et Liste › Bloc 1 — Monographie du SSP › 🔍 Fenêtre Interactive 12.7 : Propagation d’une maladie (CP 231) et act (lacune #2) ; LOT 234 Partie 1 DX.1 a DX.2 › LOT 234 : Infection sexuellement transmissible (situation de › Alternatives selon la situation (lacune #11) ; LOT 235 Partie 4 DX.8 a DX.10 › LOT 235 : Patient d'un autre contexte culturel, migration (c › Code civil (CC) art. 314c, 314d et CP art. 321 (lacune #122) ; LOT 235 Partie 4 DX.8 a DX.10 › Lacunes restantes (lacune #133)</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les CC 314c (droit d'aviser) et 314d (obligation d'aviser) et le CP 187 (exception de l'écart d'âge de trois ans) ; la conduite chez l'enfant plus âgé atteint d'IST, les obligations de protection de l'enfant et l'obligation cantonale d'aviser à Neuchâtel ne sont pas données.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conduite recommandent les sources suisses (Pédiatrie suisse, groupes de protection de l'enfant des hôpitaux, Protection de l'enfance Suisse) devant une IST chez un enfant ou un adolescent (suspicion d'abus, examens, signalement à l'APEA) ? Quelles obligations d'aviser fixe le droit cantonal neuchâtelois (loi de santé, loi sur la protection de l'enfant) en plus des CC 314c–314e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C-034  ·  priorité Haute  ·  autorisation</w:t>
            </w:r>
          </w:p>
        </w:tc>
        <w:tc>
          <w:tcPr>
            <w:tcW w:w="11200" w:type="dxa"/>
            <w:shd w:val="clear" w:color="auto" w:fill="FDEBD0"/>
            <w:vAlign w:val="top"/>
          </w:tcPr>
          <w:p>
            <w:pPr>
              <w:spacing w:after="0"/>
            </w:pPr>
            <w:r>
              <w:rPr>
                <w:sz w:val="17"/>
                <w:szCs w:val="17"/>
              </w:rPr>
              <w:t xml:space="preserve">LOT 234 · SSP O7.12 ; O7.13 · LOT_234_Appel_A_V5_Ultra_Pedagogique_Plan_et_Liste.html ; LOT_235_Appel_B_V5_Ultra_Pedagogique_Partie_3_DX.6_a_DX.7.html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234 Plan et Liste › B2.2. Tableau comparatif des dix entités (lacune #4) ; LOT 235 Partie 3 DX.6 a DX.7 › LOT 235 : Patient d'un autre contexte culturel, migration (c › injectables à longue durée d'action en PrEP (lacune #96) ; LOT 235 Partie 3 DX.6 a DX.7 › Lacunes restantes (lacune #111)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donne la PEP (dolutégravir 50 mg Tivicay® + emtricitabine/ténofovir disoproxil 30 jours) et la PrEP (Emtricitabin-Tenofovir-Mepha®, 6968 personnes en 2024) ; l'EACS 2025 ajoute la PrEP injectable (cabotégravir, lénacapavir) ; Sunlenca® figure sur la liste Swissmedic mais l'indication PrEP du lénacapavir n'est pas vérifiée.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spécialités sont autorisées par Swissmedic pour la PrEP VIH en 2026 (génériques emtricitabine/ténofovir disoproxil, Apretude® cabotégravir, lénacapavir Yeztugo®/Sunlenca®), avec indication, schéma et remboursement LS ? Quelles sont les recommandations suisses actuelles de PEP et de PrEP (CFIST/EKSI, OFSP), y compris le schéma à la demande ? Pour chaque médicament, donne la spécialité suisse, la dose, la voie, la durée et les adaptations (rein, foie, enfant, grossesse) selon l'information professionnelle suisse (swissmedicinfo.ch), avec la date de l'IP.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C-039  ·  priorité Haute  ·  dose</w:t>
            </w:r>
          </w:p>
        </w:tc>
        <w:tc>
          <w:tcPr>
            <w:tcW w:w="11200" w:type="dxa"/>
            <w:shd w:val="clear" w:color="auto" w:fill="FDEBD0"/>
            <w:vAlign w:val="top"/>
          </w:tcPr>
          <w:p>
            <w:pPr>
              <w:spacing w:after="0"/>
            </w:pPr>
            <w:r>
              <w:rPr>
                <w:sz w:val="17"/>
                <w:szCs w:val="17"/>
              </w:rPr>
              <w:t xml:space="preserve">LOT 234 · SSP O7.12 · LOT_234_Appel_A_V5_Ultra_Pedagogique_Plan_et_Liste.html ; LOT_234_Appel_B_V5_Ultra_Pedagogique_Partie_4_DX.8_a_DX.10.html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234 Plan et Liste › B2.2. Tableau comparatif des dix entités (lacune #7) ; LOT 234 Partie 4 DX.8 a DX.10 › LOT 234 : Infection sexuellement transmissible (SSP O7.12 de (lacune #52) ; LOT 234 Partie 4 DX.8 a DX.10 › LOT 234 : Infection sexuellement transmissible (SSP O7.12 de › 🔍 Tableau épidémiologique comparé (lacune #53) ; LOT 234 Partie 4 DX.8 a DX.10 › LOT 234 : Infection sexuellement transmissible (SSP O7.12 de (lacune #55)</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oppose pour la trichomonase le métronidazole 500 mg 2×/j 7 jours (IUSTI) au 2 g dose unique de l'IP (Flagyl®) ; la fréquence suisse de la trichomonase, de la vaginose et de la candidose, l'incubation et la mortalité ne sont pas connues.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dose et quelle durée de métronidazole fixent l'IP suisse actuelle de Flagyl® et des génériques et la recommandation IUSTI la plus récente pour la trichomonase (femme, homme, grossesse) ? Existe-t-il des données suisses de prévalence de la trichomonase, de la vaginose bactérienne et de la candidose vulvovaginale ? Pour chaque médicament, donne la spécialité suisse, la dose, la voie, la durée et les adaptations (rein, foie, enfant, grossesse) selon l'information professionnelle suisse (swissmedicinfo.ch), avec la date de l'IP.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C-040  ·  priorité Haute  ·  conduite</w:t>
            </w:r>
          </w:p>
        </w:tc>
        <w:tc>
          <w:tcPr>
            <w:tcW w:w="11200" w:type="dxa"/>
            <w:shd w:val="clear" w:color="auto" w:fill="FDEBD0"/>
            <w:vAlign w:val="top"/>
          </w:tcPr>
          <w:p>
            <w:pPr>
              <w:spacing w:after="0"/>
            </w:pPr>
            <w:r>
              <w:rPr>
                <w:sz w:val="17"/>
                <w:szCs w:val="17"/>
              </w:rPr>
              <w:t xml:space="preserve">LOT 234 · SSP O7.12 · LOT_234_Appel_B_V5_Ultra_Pedagogique_Partie_3_DX.6_a_DX.7.html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234 Partie 3 DX.6 a DX.7 › LOT 234 : Infection sexuellement transmissible (SSP O7.12) (lacune #36) ; LOT 234 Partie 3 DX.6 a DX.7 › LOT 234 : Infection sexuellement transmissible (SSP O7.12) › méta-analyse bernoise de la prévalence (Baumann et collaborateurs) (lacune #38) ; LOT 234 Partie 3 DX.6 a DX.7 › LOT 234 : Infection sexuellement transmissible (SSP O7.12) (lacune #39) ; LOT 234 Partie 3 DX.6 a DX.7 › LOT 234 : Infection sexuellement transmissible (SSP O7.12) (lacune #43) ; LOT 234 Partie 3 DX.6 a DX.7 › LOT 234 : Infection sexuellement transmissible (SSP O7.12) (lacune #45) ; LOT 234 Partie 3 DX.6 a DX.7 › LOT 234 : Infection sexuellement transmissible (SSP O7.12) › pourquoi l’IUSTI déconseille le dépistage des asymptomatiques (lacune #49)</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suit l'IUSTI pour M. genitalium (test de résistance aux macrolides, moxifloxacine en 2e intention, 14 jours si infection compliquée, pas de dépistage des asymptomatiques) ; la prévalence suisse, le seuil QTc de contre-indication de la moxifloxacine et l'effet du dépistage ne sont pas donnés.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recommandation européenne la plus récente sur M. genitalium (IUSTI 2021 ou plus récente) et existe-t-il une recommandation suisse (CFIST/OFSP) ? Quels sont les schémas (doxycycline puis azithromycine 1 g puis 500 mg/j, moxifloxacine 400 mg 7 ou 14 jours) et le seuil QTc ou la conduite ECG de l'IP suisse d'Avalox® ? Existe-t-il des données suisses de prévalence et de résistance ? Pour chaque médicament, donne la spécialité suisse, la dose, la voie, la durée et les adaptations (rein, foie, enfant, grossesse) selon l'information professionnelle suisse (swissmedicinfo.ch), avec la date de l'IP.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C-041  ·  priorité Haute  ·  autorisation</w:t>
            </w:r>
          </w:p>
        </w:tc>
        <w:tc>
          <w:tcPr>
            <w:tcW w:w="11200" w:type="dxa"/>
            <w:shd w:val="clear" w:color="auto" w:fill="FDEBD0"/>
            <w:vAlign w:val="top"/>
          </w:tcPr>
          <w:p>
            <w:pPr>
              <w:spacing w:after="0"/>
            </w:pPr>
            <w:r>
              <w:rPr>
                <w:sz w:val="17"/>
                <w:szCs w:val="17"/>
              </w:rPr>
              <w:t xml:space="preserve">LOT 234 · SSP O7.12 · LOT_234_Appel_B_V5_Ultra_Pedagogique_Partie_1_DX.1_a_DX.2.html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234 Partie 1 DX.1 a DX.2 › LOT 234 : Infection sexuellement transmissible (situation de › Doxy-PEP : indication, limites et cadre (lacune #9)</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 recommandation conditionnelle de la CFIST (EKSI) pour la Doxy-PEP (doxycycline 200 mg dose unique dans les 72 h, HSH et femmes trans avec ≥ 1 IST bactérienne en 12 mois), hors AMM en Suisse.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recommandation suisse actuelle (CFIST/EKSI, OFSP, année, URL) sur la Doxy-PEP, comparée aux positions européennes (ECDC, IUSTI, BASHH 2024) ? Quel est le statut d'autorisation et de remboursement de la doxycycline dans cette indication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C-043  ·  priorité Haute  ·  autorisation</w:t>
            </w:r>
          </w:p>
        </w:tc>
        <w:tc>
          <w:tcPr>
            <w:tcW w:w="11200" w:type="dxa"/>
            <w:shd w:val="clear" w:color="auto" w:fill="FDEBD0"/>
            <w:vAlign w:val="top"/>
          </w:tcPr>
          <w:p>
            <w:pPr>
              <w:spacing w:after="0"/>
            </w:pPr>
            <w:r>
              <w:rPr>
                <w:sz w:val="17"/>
                <w:szCs w:val="17"/>
              </w:rPr>
              <w:t xml:space="preserve">LOT 234 · SSP O7.12 · LOT_234_Appel_B_V5_Ultra_Pedagogique_Partie_4_DX.8_a_DX.10.html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234 Partie 4 DX.8 a DX.10 › LOT 234 : Infection sexuellement transmissible (SSP O7.12 de (lacune #58) ; LOT 234 Partie 4 DX.8 a DX.10 › LOT 234 : Infection sexuellement transmissible (SSP O7.12 de (lacune #59) ; LOT 234 Partie 4 DX.8 a DX.10 › LOT 234 : Infection sexuellement transmissible (SSP O7.12 de (lacune #60) ; LOT 234 Partie 4 DX.8 a DX.10 › LOT 234 : Infection sexuellement transmissible (SSP O7.12 de › adénopathie (lacune #61) ; LOT 234 Partie 4 DX.8 a DX.10 › LOT 234 : Infection sexuellement transmissible (SSP O7.12 de (lacune #63) ; LOT 234 Partie 4 DX.8 a DX.10 › LOT 234 : Infection sexuellement transmissible (SSP O7.12 de › 🔍 Traitement symptomatique (lacune #64) ; LOT 234 Partie 4 DX.8 a DX.10 › LOT 234 : Infection sexuellement transmissible (SSP O7.12 de (lacune #65)</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décrit le mpox (clade IIb depuis 2022, clade Ib en Suisse depuis 2025, déclaration en 24 h) ; le nombre annuel de cas suisses, le statut du técovirimat (absent de la liste Swissmedic du 30.09.2026, importation non vérifiée), le traitement symptomatique et les simulateurs non infectieux ne sont pas donnés.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Combien de cas de mpox l'OFSP a-t-il déclarés par année depuis 2022 ? Le técovirimat est-il disponible en Suisse (importation art. 49 OAMéd, stock de la Pharmacie de l'armée) et selon quelles indications ? Quelle vaccination (Jynneos®/MVA-BN) l'OFSP recommande-t-il en 2026, à qui et selon quel schéma ? Quel traitement symptomatique et quels diagnostics différentiels recommandent l'ECDC ou l'OMS ? Pour chaque médicament, donne la spécialité suisse, la dose, la voie, la durée et les adaptations (rein, foie, enfant, grossesse) selon l'information professionnelle suisse (swissmedicinfo.ch), avec la date de l'IP.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C-036  ·  priorité Moyenne  ·  seuil</w:t>
            </w:r>
          </w:p>
        </w:tc>
        <w:tc>
          <w:tcPr>
            <w:tcW w:w="11200" w:type="dxa"/>
            <w:shd w:val="clear" w:color="auto" w:fill="EBF5FB"/>
            <w:vAlign w:val="top"/>
          </w:tcPr>
          <w:p>
            <w:pPr>
              <w:spacing w:after="0"/>
            </w:pPr>
            <w:r>
              <w:rPr>
                <w:sz w:val="17"/>
                <w:szCs w:val="17"/>
              </w:rPr>
              <w:t xml:space="preserve">LOT 234 · SSP O7.12 ; O7.13 · LOT_234_Appel_B_V5_Ultra_Pedagogique_Partie_2_DX.3_a_DX.5.html ; LOT_235_Appel_B_V5_Ultra_Pedagogique_Partie_3_DX.6_a_DX.7.html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234 Partie 2 DX.3 a DX.5 › Situation de départ (SSP) O7.12 — Infection sexuellement tra (lacune #13) ; LOT 235 Partie 3 DX.6 a DX.7 › LOT 235 : Patient d'un autre contexte culturel, migration (c › sida (lacune #82) ; LOT 235 Partie 3 DX.6 a DX.7 › LOT 235 : Patient d'un autre contexte culturel, migration (c › lymphocytes T CD4 (lacune #83) ; LOT 235 Partie 3 DX.6 a DX.7 › LOT 235 : Patient d'un autre contexte culturel, migration (c › Anémie (lacune #86) ; LOT 235 Partie 3 DX.6 a DX.7 › LOT 235 : Patient d'un autre contexte culturel, migration (c › Syndrome d'infection chronique non traitée (lacune #88) ; LOT 235 Partie 3 DX.6 a DX.7 › LOT 235 : Patient d'un autre contexte culturel, migration (c › lymphocytes T CD4 (lacune #90) ; LOT 235 Partie 3 DX.6 a DX.7 › Lacunes restantes (lacune #109)</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donne CD4 &lt; 350/µL (présentation tardive) et &lt; 200/µL (maladie avancée), mais pas la valeur normale des CD4, la liste des maladies définissant le sida, les signes de la phase chronique, le seuil d'anémie, ni la mortalité suisse du VIH.</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liste actuelle des maladies définissant le sida (CDC/ECDC/OMS), l'intervalle de référence des CD4 de l'adulte, les signes cliniques de la phase chronique (stade OMS 2–3), la définition de l'anémie (OMS) et la mortalité liée au VIH en Suisse (OFS, Swiss HIV Cohort Study)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C-037  ·  priorité Moyenne  ·  épidémiologie</w:t>
            </w:r>
          </w:p>
        </w:tc>
        <w:tc>
          <w:tcPr>
            <w:tcW w:w="11200" w:type="dxa"/>
            <w:shd w:val="clear" w:color="auto" w:fill="EBF5FB"/>
            <w:vAlign w:val="top"/>
          </w:tcPr>
          <w:p>
            <w:pPr>
              <w:spacing w:after="0"/>
            </w:pPr>
            <w:r>
              <w:rPr>
                <w:sz w:val="17"/>
                <w:szCs w:val="17"/>
              </w:rPr>
              <w:t xml:space="preserve">LOT 234 · SSP O7.12 · LOT_234_Appel_A_V5_Ultra_Pedagogique_Plan_et_Liste.html ; LOT_234_Appel_B_V5_Ultra_Pedagogique_Partie_3_DX.6_a_DX.7.html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234 Plan et Liste › B2.2. Tableau comparatif des dix entités (lacune #6) ; LOT 234 Partie 3 DX.6 a DX.7 › LOT 234 : Infection sexuellement transmissible (SSP O7.12) › étude de Lausanne chez la femme enceinte (lacune #19) ; LOT 234 Partie 3 DX.6 a DX.7 › LOT 234 : Infection sexuellement transmissible (SSP O7.12) (lacune #20) ; LOT 234 Partie 3 DX.6 a DX.7 › LOT 234 : Infection sexuellement transmissible (SSP O7.12) (lacune #21) ; LOT 234 Partie 3 DX.6 a DX.7 › LOT 234 : Infection sexuellement transmissible (SSP O7.12) (lacune #23)</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suit l'IUSTI pour l'herpès génital (PCR HSV, valaciclovir 500 mg 2×/j, suppression qui réduit la transmission d'environ 50 %) ; l'incubation, l'incidence suisse, la mortalité et le seuil de biopsie des ulcérations ne sont pas donnés.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recommandation européenne la plus récente sur l'herpès génital (IUSTI/WHO Europe, année, comparée à la version citée), avec durée d'incubation, indication de biopsie d'une ulcération génitale, et doses suisses de valaciclovir et aciclovir (primo-infection, récurrence, suppression, grossesse dès 36 SA) ? Existe-t-il des données suisses d'incidence ou de séroprévalence HSV-1/HSV-2 ? Pour chaque médicament, donne la spécialité suisse, la dose, la voie, la durée et les adaptations (rein, foie, enfant, grossesse) selon l'information professionnelle suisse (swissmedicinfo.ch), avec la date de l'IP.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C-038  ·  priorité Moyenne  ·  recommandation</w:t>
            </w:r>
          </w:p>
        </w:tc>
        <w:tc>
          <w:tcPr>
            <w:tcW w:w="11200" w:type="dxa"/>
            <w:shd w:val="clear" w:color="auto" w:fill="EBF5FB"/>
            <w:vAlign w:val="top"/>
          </w:tcPr>
          <w:p>
            <w:pPr>
              <w:spacing w:after="0"/>
            </w:pPr>
            <w:r>
              <w:rPr>
                <w:sz w:val="17"/>
                <w:szCs w:val="17"/>
              </w:rPr>
              <w:t xml:space="preserve">LOT 234 · SSP O7.12 · LOT_234_Appel_A_V5_Ultra_Pedagogique_Plan_et_Liste.html ; LOT_234_Appel_B_V5_Ultra_Pedagogique_Partie_2_DX.3_a_DX.5.html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234 Plan et Liste › B2.2. Tableau comparatif des dix entités (lacune #5) ; LOT 234 Partie 2 DX.3 a DX.5 › Situation de départ (SSP) O7.12 — Infection sexuellement tra › néoplasies intraépithéliales La néoplasie intraépithéliale désigne une (lacune #15) ; LOT 234 Partie 2 DX.3 a DX.5 › Situation de départ (SSP) O7.12 — Infection sexuellement tra (lacune #16) ; LOT 234 Partie 2 DX.3 a DX.5 › Situation de départ (SSP) O7.12 — Infection sexuellement tra › sinécatéchines Les sinécatéchines sont un extrait de feuilles de thé v (lacune #17)</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traite les condylomes (imiquimod 5 % Aldara®, sinécatéchines 10 % Veregen®, cryothérapie, chirurgie) ; la notification des partenaires, la classe pharmacologique des sinécatéchines et la sensibilité du diagnostic clinique manquent ; la couverture vaccinale HPV suisse citée date de 2021.</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sont la couverture vaccinale HPV suisse la plus récente (OFSP, filles et garçons), la recommandation européenne la plus récente (IUSTI) sur les verrues anogénitales, y compris l'information des partenaires, et le statut suisse de Veregen® et d'Aldara® (indication, durée maximale) ? Pour chaque médicament, donne la spécialité suisse, la dose, la voie, la durée et les adaptations (rein, foie, enfant, grossesse) selon l'information professionnelle suisse (swissmedicinfo.ch), avec la date de l'IP.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C-044  ·  priorité Moyenne  ·  seuil</w:t>
            </w:r>
          </w:p>
        </w:tc>
        <w:tc>
          <w:tcPr>
            <w:tcW w:w="11200" w:type="dxa"/>
            <w:shd w:val="clear" w:color="auto" w:fill="EBF5FB"/>
            <w:vAlign w:val="top"/>
          </w:tcPr>
          <w:p>
            <w:pPr>
              <w:spacing w:after="0"/>
            </w:pPr>
            <w:r>
              <w:rPr>
                <w:sz w:val="17"/>
                <w:szCs w:val="17"/>
              </w:rPr>
              <w:t xml:space="preserve">LOT 234 · SSP O7.12 · LOT_234_Appel_B_V5_Ultra_Pedagogique_Partie_1_DX.1_a_DX.2.html ; LOT_234_Appel_B_V5_Ultra_Pedagogique_Partie_4_DX.8_a_DX.10.html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234 Partie 1 DX.1 a DX.2 › LOT 234 : Infection sexuellement transmissible (situation de (lacune #8) ; LOT 234 Partie 4 DX.8 a DX.10 › LOT 234 : Infection sexuellement transmissible (SSP O7.12 de (lacune #62)</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désigne le TAAN comme gold standard de C. trachomatis et la PCR de lésion pour le mpox, sans sensibilité ni spécificité chiffrées.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sensibilités et spécificités publient les sources européennes (IUSTI, ECDC) pour le TAAN de C. trachomatis selon le site de prélèvement et pour la PCR mpox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C-045  ·  priorité Moyenne  ·  autre</w:t>
            </w:r>
          </w:p>
        </w:tc>
        <w:tc>
          <w:tcPr>
            <w:tcW w:w="11200" w:type="dxa"/>
            <w:shd w:val="clear" w:color="auto" w:fill="EBF5FB"/>
            <w:vAlign w:val="top"/>
          </w:tcPr>
          <w:p>
            <w:pPr>
              <w:spacing w:after="0"/>
            </w:pPr>
            <w:r>
              <w:rPr>
                <w:sz w:val="17"/>
                <w:szCs w:val="17"/>
              </w:rPr>
              <w:t xml:space="preserve">LOT 234 · SSP O7.12 · LOT_234_Appel_B_V5_Ultra_Pedagogique_Partie_3_DX.6_a_DX.7.html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234 Partie 3 DX.6 a DX.7 › LOT 234 : Infection sexuellement transmissible (SSP O7.12) › prise en charge par l’assurance et dépistage Constat. Le dépistage d’I (lacune #35) ; LOT 234 Partie 3 DX.6 a DX.7 › LOT 234 : Infection sexuellement transmissible (SSP O7.12) › partenaires, secret professionnel et assurance (lacune #50)</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que le dépistage d'IST chez l'asymptomatique n'est pas à la charge de l'assurance de base, sauf programme cantonal ou communal.</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prestations de dépistage d'IST et de VIH l'OPAS couvre-t-elle en 2026 (y compris la PrEP et ses examens depuis 2024) et quels programmes cantonaux gratuits existent (Neuchâtel, Vaud, Genève)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C-052  ·  priorité Critique  ·  dose</w:t>
            </w:r>
          </w:p>
        </w:tc>
        <w:tc>
          <w:tcPr>
            <w:tcW w:w="11200" w:type="dxa"/>
            <w:shd w:val="clear" w:color="auto" w:fill="FADBD8"/>
            <w:vAlign w:val="top"/>
          </w:tcPr>
          <w:p>
            <w:pPr>
              <w:spacing w:after="0"/>
            </w:pPr>
            <w:r>
              <w:rPr>
                <w:sz w:val="17"/>
                <w:szCs w:val="17"/>
              </w:rPr>
              <w:t xml:space="preserve">LOT 235 · SSP O7.13 · LOT_235_Appel_A_V5_Ultra_Pedagogique_Plan_et_Liste.html ; LOT_235_Appel_B_V5_Ultra_Pedagogique_Partie_3_DX.6_a_DX.7.html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235 Plan et Liste › Lacunes restantes (lacune #21) ; LOT 235 Partie 3 DX.6 a DX.7 › LOT 235 : Patient d'un autre contexte culturel, migration (c › Artésunate IV (lacune #105) ; LOT 235 Partie 3 DX.6 a DX.7 › LOT 235 : Patient d'un autre contexte culturel, migration (c (lacune #107) ; LOT 235 Partie 3 DX.6 a DX.7 › LOT 235 : Patient d'un autre contexte culturel, migration (c (lacune #108) ; LOT 235 Partie 3 DX.6 a DX.7 › Lacunes restantes (lacune #112) ; LOT 235 Partie 3 DX.6 a DX.7 › Lacunes restantes (lacune #113)</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suit l'ESCMID : artésunate i.v. 2,4 mg/kg à H0, H12, H24 puis 1×/j ; quinine i.v. de repli (charge 20 mg/kg en 4 h puis 10 mg/kg/8 h) ; chloroquine de première ligne pour le paludisme non falciparum, alors que la liste Swissmedic ne contient pas de chloroquine seule ; aucune ligne directrice suisse du paludisme n'a été trouvée.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recommandations suisses existent pour le traitement du paludisme (Swiss TPH, Société suisse d'infectiologie, CEMV/OFSP, année) ? Comment obtient-on l'artésunate i.v. et la quinine i.v. en Suisse (autorisation, importation art. 49 OAMéd, hôpitaux de référence) ? Quelles spécialités et doses suisses s'emploient pour le paludisme simple (artéméther-luméfantrine Riamet®, atovaquone-proguanil Malarone®) et non falciparum (hydroxychloroquine, chloroquine importée) ? Pour chaque médicament, donne la spécialité suisse, la dose, la voie, la durée et les adaptations (rein, foie, enfant, grossesse) selon l'information professionnelle suisse (swissmedicinfo.ch), avec la date de l'IP.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C-053  ·  priorité Critique  ·  seuil</w:t>
            </w:r>
          </w:p>
        </w:tc>
        <w:tc>
          <w:tcPr>
            <w:tcW w:w="11200" w:type="dxa"/>
            <w:shd w:val="clear" w:color="auto" w:fill="FADBD8"/>
            <w:vAlign w:val="top"/>
          </w:tcPr>
          <w:p>
            <w:pPr>
              <w:spacing w:after="0"/>
            </w:pPr>
            <w:r>
              <w:rPr>
                <w:sz w:val="17"/>
                <w:szCs w:val="17"/>
              </w:rPr>
              <w:t xml:space="preserve">LOT 235 · SSP O7.13 · LOT_235_Appel_B_V5_Ultra_Pedagogique_Partie_3_DX.6_a_DX.7.html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235 Partie 3 DX.6 a DX.7 › LOT 235 : Patient d'un autre contexte culturel, migration (c › dosage de la glucose-6-phosphate déshydrogénase (G6PD) (lacune #103) ; LOT 235 Partie 3 DX.6 a DX.7 › LOT 235 : Patient d'un autre contexte culturel, migration (c › dosage de la glucose-6-phosphate déshydrogénase (G6PD) (lacune #104)</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exige le dosage de la G6PD avant la primaquine (contre-indiquée en cas de déficit ; schéma hebdomadaire OMS si déficit léger), sans seuil d'activité enzymatique ; le statut suisse de la primaquine n'est pas vérifié.</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seuils d'activité G6PD (% de la normale, U/g Hb) recommandent l'OMS et les sources européennes pour la primaquine et la tafénoquine ? Quelle dose de primaquine (0,25 ou 0,5 mg/kg/j, 7 ou 14 jours) et comment l'obtenir en Suisse ? Pour chaque médicament, donne la spécialité suisse, la dose, la voie, la durée et les adaptations (rein, foie, enfant, grossesse) selon l'information professionnelle suisse (swissmedicinfo.ch), avec la date de l'IP.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C-035  ·  priorité Haute  ·  dose</w:t>
            </w:r>
          </w:p>
        </w:tc>
        <w:tc>
          <w:tcPr>
            <w:tcW w:w="11200" w:type="dxa"/>
            <w:shd w:val="clear" w:color="auto" w:fill="FDEBD0"/>
            <w:vAlign w:val="top"/>
          </w:tcPr>
          <w:p>
            <w:pPr>
              <w:spacing w:after="0"/>
            </w:pPr>
            <w:r>
              <w:rPr>
                <w:sz w:val="17"/>
                <w:szCs w:val="17"/>
              </w:rPr>
              <w:t xml:space="preserve">LOT 235 · SSP O7.13 · LOT_235_Appel_B_V5_Ultra_Pedagogique_Partie_3_DX.6_a_DX.7.html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235 Partie 3 DX.6 a DX.7 › LOT 235 : Patient d'un autre contexte culturel, migration (c (lacune #93) ; LOT 235 Partie 3 DX.6 a DX.7 › LOT 235 : Patient d'un autre contexte culturel, migration (c (lacune #94) ; LOT 235 Partie 3 DX.6 a DX.7 › LOT 235 : Patient d'un autre contexte culturel, migration (c (lacune #95) ; LOT 235 Partie 3 DX.6 a DX.7 › Lacunes restantes (lacune #110)</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dit qu'en cas d'échec ou de résistance, le schéma suit le génotype (darunavir boosté + deux INTI) sans dose ; le calendrier de surveillance EACS, l'imagerie et la marche à suivre pour le VIH-2 ne sont pas donnés.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doses de darunavir boosté (Prezista®/Prezcobix®, Symtuza®) et quel schéma de deuxième intention recommande l'EACS 2025 (comparé à 2023) ? Quel calendrier de surveillance biologique de l'ART fixe l'EACS ? Quelle procédure suit le diagnostic du VIH-2 en Suisse (Centre national de référence pour les rétrovirus, directive OFSP 2025) ? Pour chaque médicament, donne la spécialité suisse, la dose, la voie, la durée et les adaptations (rein, foie, enfant, grossesse) selon l'information professionnelle suisse (swissmedicinfo.ch), avec la date de l'IP.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C-047  ·  priorité Haute  ·  seuil</w:t>
            </w:r>
          </w:p>
        </w:tc>
        <w:tc>
          <w:tcPr>
            <w:tcW w:w="11200" w:type="dxa"/>
            <w:shd w:val="clear" w:color="auto" w:fill="FDEBD0"/>
            <w:vAlign w:val="top"/>
          </w:tcPr>
          <w:p>
            <w:pPr>
              <w:spacing w:after="0"/>
            </w:pPr>
            <w:r>
              <w:rPr>
                <w:sz w:val="17"/>
                <w:szCs w:val="17"/>
              </w:rPr>
              <w:t xml:space="preserve">LOT 235 · SSP O7.13 · LOT_235_Appel_A_V5_Ultra_Pedagogique_Plan_et_Liste.html ; LOT_235_Appel_B_V5_Ultra_Pedagogique_Partie_3_DX.6_a_DX.7.html ; LOT_235_Appel_B_V5_Ultra_Pedagogique_Partie_4_DX.8_a_DX.10.html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235 Plan et Liste › LOT 235 : Patient d'un autre contexte culturel, migration (c › Fièvre (lacune #5) ; LOT 235 Plan et Liste › LOT 235 : Patient d'un autre contexte culturel, migration (c › Éosinophilie (lacune #6) ; LOT 235 Plan et Liste › LOT 235 : Patient d'un autre contexte culturel, migration (c › Élévation de l'alanine aminotransférase (ALAT) (lacune #7) ; LOT 235 Partie 3 DX.6 a DX.7 › LOT 235 : Patient d'un autre contexte culturel, migration (c › Fièvre (lacune #97) ; LOT 235 Partie 4 DX.8 a DX.10 › LOT 235 : Patient d'un autre contexte culturel, migration (c (lacune #118) ; LOT 235 Partie 4 DX.8 a DX.10 › Lacunes restantes (lacune #129)</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définit fièvre, éosinophilie et élévation des ALAT sans seuil chiffré ; il utilise un consensus international [S408] pour l'éosinophilie et un seuil « selon le fabricant » pour la sérologie Strongyloides.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seuils chiffrés retiennent les sources suisses ou européennes pour la fièvre (°C, site de mesure), l'éosinophilie (légère, modérée, sévère, en /µL), l'élévation des ALAT (× limite supérieure, EASL) et la positivité des sérologies Strongyloides et Schistosoma (ELISA) chez le migrant ? Quelle conduite devant une éosinophilie chez un migrant (Swiss TPH, ESCMID)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C-048  ·  priorité Haute  ·  recommandation</w:t>
            </w:r>
          </w:p>
        </w:tc>
        <w:tc>
          <w:tcPr>
            <w:tcW w:w="11200" w:type="dxa"/>
            <w:shd w:val="clear" w:color="auto" w:fill="FDEBD0"/>
            <w:vAlign w:val="top"/>
          </w:tcPr>
          <w:p>
            <w:pPr>
              <w:spacing w:after="0"/>
            </w:pPr>
            <w:r>
              <w:rPr>
                <w:sz w:val="17"/>
                <w:szCs w:val="17"/>
              </w:rPr>
              <w:t xml:space="preserve">LOT 235 · SSP O7.13 · LOT_235_Appel_A_V5_Ultra_Pedagogique_Plan_et_Liste.html ; LOT_235_Appel_B_V5_Ultra_Pedagogique_Partie_2_DX.3_a_DX.5.html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235 Plan et Liste › Lacunes restantes (lacune #18) ; LOT 235 Partie 2 DX.3 a DX.5 › LOT 235 : Patient d'un autre contexte culturel, migration (c › [S31] (lacune #76) ; LOT 235 Partie 2 DX.3 a DX.5 › LOT 235 : Patient d'un autre contexte culturel, migration (c › lecture du carnet de vaccination (lacune #77) ; LOT 235 Partie 2 DX.3 a DX.5 › LOT 235 : Patient d'un autre contexte culturel, migration (c › [S32] [S7] (lacune #78)</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utilise le Plan de vaccination suisse 2026 faute de recommandation OFSP dédiée au rattrapage vaccinal des requérants d'asile ; les titres d'anticorps ne servent qu'en de rares situations.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recommandation OFSP/CFV fixe le rattrapage vaccinal des requérants d'asile et des migrants sans carnet (vaccins prioritaires à l'arrivée en centre fédéral, schémas de rattrapage, sérologies utiles : rougeole, varicelle, hépatite B) ? Quelles différences avec la version précédente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C-049  ·  priorité Haute  ·  seuil</w:t>
            </w:r>
          </w:p>
        </w:tc>
        <w:tc>
          <w:tcPr>
            <w:tcW w:w="11200" w:type="dxa"/>
            <w:shd w:val="clear" w:color="auto" w:fill="FDEBD0"/>
            <w:vAlign w:val="top"/>
          </w:tcPr>
          <w:p>
            <w:pPr>
              <w:spacing w:after="0"/>
            </w:pPr>
            <w:r>
              <w:rPr>
                <w:sz w:val="17"/>
                <w:szCs w:val="17"/>
              </w:rPr>
              <w:t xml:space="preserve">LOT 235 · SSP O7.13 · LOT_235_Appel_A_V5_Ultra_Pedagogique_Plan_et_Liste.html ; LOT_235_Appel_B_V5_Ultra_Pedagogique_Partie_1_DX.1_a_DX.2.html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235 Plan et Liste › Lacunes restantes (lacune #20) ; LOT 235 Partie 1 DX.1 a DX.2 › LOT 235 : Patient d'un autre contexte culturel, migration (c › MINI (lacune #38) ; LOT 235 Partie 1 DX.1 a DX.2 › LOT 235 : Patient d'un autre contexte culturel, migration (c › [S19] (lacune #39) ; LOT 235 Partie 1 DX.1 a DX.2 › LOT 235 : Patient d'un autre contexte culturel, migration (c › Échelle diagnostique post-traumatique (Posttraumatic Diagnostic Scale, (lacune #40) ; LOT 235 Partie 1 DX.1 a DX.2 › LOT 235 : Patient d'un autre contexte culturel, migration (c › Liste de symptômes de Hopkins (Hopkins Symptom Checklist, HSCL) (lacune #41) ; LOT 235 Partie 1 DX.1 a DX.2 › LOT 235 : Patient d'un autre contexte culturel, migration (c › Questionnaire international du trauma (International Trauma Questionna (lacune #42) ; LOT 235 Partie 1 DX.1 a DX.2 › LOT 235 : Patient d'un autre contexte culturel, migration (c › Questionnaire international du trauma (International Trauma Questionna (lacune #43) ; LOT 235 Partie 1 DX.1 a DX.2 › LOT 235 : Patient d'un autre contexte culturel, migration (c › Dépistage de santé du réfugié à 15 items (Refugee Health Screener-15,  (lacune #44) ; LOT 235 Partie 1 DX.1 a DX.2 › LOT 235 : Patient d'un autre contexte culturel, migration (c › Dépistage de santé du réfugié à 15 items (Refugee Health Screener-15,  (lacune #45) ; LOT 235 Partie 1 DX.1 a DX.2 › Lacunes restantes (lacune #58)</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MINI, PDS, HSCL (63,1 % de symptômes chez les requérants en 2014), ITQ et RHS-15 (52 % positifs en Allemagne) sans seuil, sans validation suisse ; aucun outil suisse validé de dépistage psychique n'est connu.</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seuils de positivité publiés retenir pour le RHS-15, la HSCL-25, l'ITQ, la PDS et le PHQ-9 chez les réfugiés, avec sensibilité et spécificité ? Existe-t-il un outil validé ou recommandé en Suisse (SEM, OFSP, Croix-Rouge suisse, centres ambulatoires pour victimes de torture) pour le dépistage psychique des requérants d'asile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C-050  ·  priorité Haute  ·  recommandation</w:t>
            </w:r>
          </w:p>
        </w:tc>
        <w:tc>
          <w:tcPr>
            <w:tcW w:w="11200" w:type="dxa"/>
            <w:shd w:val="clear" w:color="auto" w:fill="FDEBD0"/>
            <w:vAlign w:val="top"/>
          </w:tcPr>
          <w:p>
            <w:pPr>
              <w:spacing w:after="0"/>
            </w:pPr>
            <w:r>
              <w:rPr>
                <w:sz w:val="17"/>
                <w:szCs w:val="17"/>
              </w:rPr>
              <w:t xml:space="preserve">LOT 235 · SSP O7.13 ; O7.14 · LOT_235_Appel_B_V5_Ultra_Pedagogique_Partie_1_DX.1_a_DX.2.html ; LOT_236_Appel_B_V5_Ultra_Pedagogique_Partie_3_DX.6_a_DX.7.html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235 Partie 1 DX.1 a DX.2 › LOT 235 : Patient d'un autre contexte culturel, migration (c (lacune #50) ; LOT 235 Partie 1 DX.1 a DX.2 › Lacunes restantes (lacune #60) ; LOT 236 Partie 3 DX.6 a DX.7 › LOT 236 : Réadaptation physique et psychosociale, hospitaliè (lacune #107) ; LOT 236 Partie 3 DX.6 a DX.7 › LOT 236 : Réadaptation physique et psychosociale, hospitaliè (lacune #111) ; LOT 236 Partie 3 DX.6 a DX.7 › LOT 236 : Réadaptation physique et psychosociale, hospitaliè (lacune #112) ; LOT 236 Partie 3 DX.6 a DX.7 › LOT 236 : Réadaptation physique et psychosociale, hospitaliè (lacune #115) ; LOT 236 Partie 3 DX.6 a DX.7 › LOT 236 : Réadaptation physique et psychosociale, hospitaliè (lacune #116)</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traite le TSPT et la dépression par sertraline (Zoloft®) selon l'IP seule ; il ne cite aucune ligne directrice suisse du TSPT ni de la dépression, ni durée de traitement, ni critère de rémission, ni critère de recours au psychiatre.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recommandations suisses fixent la prise en charge du TSPT (SSPP, SGPP 2024 ou plus récentes) et de la dépression unipolaire (SSAD/SGAD 2016 ou mise à jour) : psychothérapies de première ligne, antidépresseurs de choix, durée de traitement après rémission, critères de rémission (PHQ-9 &lt; 5, MADRS) et critères d'adressage au psychiatre ? À défaut, donne les recommandations NICE/ISTSS ou WFSBP les plus récentes.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C-051  ·  priorité Haute  ·  seuil</w:t>
            </w:r>
          </w:p>
        </w:tc>
        <w:tc>
          <w:tcPr>
            <w:tcW w:w="11200" w:type="dxa"/>
            <w:shd w:val="clear" w:color="auto" w:fill="FDEBD0"/>
            <w:vAlign w:val="top"/>
          </w:tcPr>
          <w:p>
            <w:pPr>
              <w:spacing w:after="0"/>
            </w:pPr>
            <w:r>
              <w:rPr>
                <w:sz w:val="17"/>
                <w:szCs w:val="17"/>
              </w:rPr>
              <w:t xml:space="preserve">LOT 235 · SSP O7.13 ; O7.14 · LOT_235_Appel_B_V5_Ultra_Pedagogique_Partie_1_DX.1_a_DX.2.html ; LOT_236_Appel_A_V5_Ultra_Pedagogique_Plan_et_Liste.html ; LOT_236_Appel_B_V5_Ultra_Pedagogique_Partie_3_DX.6_a_DX.7.html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235 Partie 1 DX.1 a DX.2 › LOT 235 : Patient d'un autre contexte culturel, migration (c › Insuffisance hépatique (classes de Child-Pugh) (lacune #46) ; LOT 235 Partie 1 DX.1 a DX.2 › LOT 235 : Patient d'un autre contexte culturel, migration (c › Électrocardiogramme (ECG) avec intervalle QTc (lacune #47) ; LOT 235 Partie 1 DX.1 a DX.2 › LOT 235 : Patient d'un autre contexte culturel, migration (c › Électrocardiogramme (ECG) avec intervalle QTc (lacune #48) ; LOT 235 Partie 1 DX.1 a DX.2 › LOT 235 : Patient d'un autre contexte culturel, migration (c (lacune #49) ; LOT 235 Partie 1 DX.1 a DX.2 › LOT 235 : Patient d'un autre contexte culturel, migration (c › [S50] (lacune #51) ; LOT 235 Partie 1 DX.1 a DX.2 › LOT 235 : Patient d'un autre contexte culturel, migration (c › syndrome malin des neuroleptiques (lacune #52) ; LOT 235 Partie 1 DX.1 a DX.2 › LOT 235 : Patient d'un autre contexte culturel, migration (c (lacune #53) ; LOT 235 Partie 1 DX.1 a DX.2 › LOT 235 : Patient d'un autre contexte culturel, migration (c (lacune #54) ; LOT 236 Plan et Liste › LOT 236 : Réadaptation physique et psychosociale, hospitaliè (lacune #10) ; LOT 236 Partie 3 DX.6 a DX.7 › LOT 236 : Réadaptation physique et psychosociale, hospitaliè (lacune #101) ; LOT 236 Partie 3 DX.6 a DX.7 › LOT 236 : Réadaptation physique et psychosociale, hospitaliè (lacune #105) ; LOT 236 Partie 3 DX.6 a DX.7 › LOT 236 : Réadaptation physique et psychosociale, hospitaliè (lacune #106) ; LOT 236 Partie 3 DX.6 a DX.7 › LOT 236 : Réadaptation physique et psychosociale, hospitaliè (lacune #108) ; LOT 236 Partie 3 DX.6 a DX.7 › LOT 236 : Réadaptation physique et psychosociale, hospitaliè (lacune #110) ; LOT 236 Partie 3 DX.6 a DX.7 › LOT 236 : Réadaptation physique et psychosociale, hospitaliè (lacune #113) ; LOT 236 Partie 3 DX.6 a DX.7 › LOT 236 : Réadaptation physique et psychosociale, hospitaliè (lacune #114)</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Pour la sertraline, le cours donne : 50 mg/j, paliers ≤ 50 mg/semaine, maximum 200 mg/j, Child A/B moitié, Child C contre-indiquée, arrêt progressif ; hyponatrémie &lt; 135 mmol/L, QTc et syndrome sérotoninergique cités sans calendrier de natrémie, sans seuil de QTc, sans seuil de DFGe ni conduite détaillée ; le score de Child-Pugh n'est pas détaillé.</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fixe l'IP suisse actuelle de Zoloft® et des génériques pour l'adaptation rénale, le calendrier de contrôle de la natrémie, le seuil de QTc ou la conduite ECG ? Quelles recommandations européennes donnent un seuil d'arrêt du QTc (&gt; 500 ms ou + 60 ms) et la conduite devant un syndrome sérotoninergique (critères de Hunter, cyproheptadine) ou un syndrome malin des neuroleptiques ? Quels sont les items et points du score de Child-Pugh ? Pour chaque médicament, donne la spécialité suisse, la dose, la voie, la durée et les adaptations (rein, foie, enfant, grossesse) selon l'information professionnelle suisse (swissmedicinfo.ch), avec la date de l'IP.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C-055  ·  priorité Haute  ·  autorisation</w:t>
            </w:r>
          </w:p>
        </w:tc>
        <w:tc>
          <w:tcPr>
            <w:tcW w:w="11200" w:type="dxa"/>
            <w:shd w:val="clear" w:color="auto" w:fill="FDEBD0"/>
            <w:vAlign w:val="top"/>
          </w:tcPr>
          <w:p>
            <w:pPr>
              <w:spacing w:after="0"/>
            </w:pPr>
            <w:r>
              <w:rPr>
                <w:sz w:val="17"/>
                <w:szCs w:val="17"/>
              </w:rPr>
              <w:t xml:space="preserve">LOT 235 · SSP O7.13 · LOT_235_Appel_B_V5_Ultra_Pedagogique_Partie_4_DX.8_a_DX.10.html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235 Partie 4 DX.8 a DX.10 › LOT 235 : Patient d'un autre contexte culturel, migration (c (lacune #116) ; LOT 235 Partie 4 DX.8 a DX.10 › LOT 235 : Patient d'un autre contexte culturel, migration (c (lacune #117) ; LOT 235 Partie 4 DX.8 a DX.10 › LOT 235 : Patient d'un autre contexte culturel, migration (c › ③ Praziquantel — non autorisé en Suisse (importation) (lacune #119) ; LOT 235 Partie 4 DX.8 a DX.10 › Lacunes restantes (lacune #128) ; LOT 235 Partie 4 DX.8 a DX.10 › Lacunes restantes (lacune #130)</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suit l'ECDC et la SIMET : prévalence européenne de schistosomiase &gt; 17 % chez les migrants subsahariens ; praziquantel 40 mg/kg/j absent de la liste Swissmedic (30.09.2026), à importer ; critères formels de strongyloïdose et prévalence suisse inconnus.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Comment obtient-on en Suisse le praziquantel (Biltricide®) et l'ivermectine (Stromectol®, Scabioral®) pour la schistosomiase et la strongyloïdose (importation, autorisation, remboursement), et à quelles doses ? Quelle stratégie suisse (Swiss TPH, OFSP) recommande le dépistage ou le traitement présomptif chez le migrant ? Existe-t-il des données suisses de prévalence ? Pour chaque médicament, donne la spécialité suisse, la dose, la voie, la durée et les adaptations (rein, foie, enfant, grossesse) selon l'information professionnelle suisse (swissmedicinfo.ch), avec la date de l'IP.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C-057  ·  priorité Haute  ·  conduite</w:t>
            </w:r>
          </w:p>
        </w:tc>
        <w:tc>
          <w:tcPr>
            <w:tcW w:w="11200" w:type="dxa"/>
            <w:shd w:val="clear" w:color="auto" w:fill="FDEBD0"/>
            <w:vAlign w:val="top"/>
          </w:tcPr>
          <w:p>
            <w:pPr>
              <w:spacing w:after="0"/>
            </w:pPr>
            <w:r>
              <w:rPr>
                <w:sz w:val="17"/>
                <w:szCs w:val="17"/>
              </w:rPr>
              <w:t xml:space="preserve">LOT 235 · SSP O7.13 · LOT_235_Appel_A_V5_Ultra_Pedagogique_Plan_et_Liste.html ; LOT_235_Appel_B_V5_Ultra_Pedagogique_Partie_4_DX.8_a_DX.10.html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235 Plan et Liste › LOT 235 : Patient d'un autre contexte culturel, migration (c › Hémogramme, ferritine et HPLC de l'hémoglobine (lacune #11) ; LOT 235 Partie 4 DX.8 a DX.10 › LOT 235 : Patient d'un autre contexte culturel, migration (c › Calcul dérivé : teneur corpusculaire moyenne en hémoglobine (lacune #123) ; LOT 235 Partie 4 DX.8 a DX.10 › LOT 235 : Patient d'un autre contexte culturel, migration (c (lacune #124) ; LOT 235 Partie 4 DX.8 a DX.10 › LOT 235 : Patient d'un autre contexte culturel, migration (c › syndrome thoracique aigu (lacune #125) ; LOT 235 Partie 4 DX.8 a DX.10 › LOT 235 : Patient d'un autre contexte culturel, migration (c (lacune #126) ; LOT 235 Partie 4 DX.8 a DX.10 › LOT 235 : Patient d'un autre contexte culturel, migration (c (lacune #127) ; LOT 235 Partie 4 DX.8 a DX.10 › Lacunes restantes (lacune #132)</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utilise le NICE CG143 (crise vaso-occlusive) faute de recommandation suisse ; TCMH &lt; 27 pg et HbA2 ≥ 3,5 % sans limite normale ; anémie de grossesse &lt; 110 g/L (étude bâloise) ; le traitement du syndrome thoracique aigu n'est pas donné.</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Existe-t-il une recommandation suisse (Société suisse d'hématologie, SSP pédiatrie) ou européenne récente (EHA, ERN-EuroBloodNet) pour la drépanocytose : crise vaso-occlusive (analgésie, hydratation), syndrome thoracique aigu (antibiotiques, oxygène, transfusion d'échange), hydroxyurée ? Quels sont les intervalles de référence de la TCMH et de l'HbA2 et la stratégie de dépistage des hémoglobinopathies en grossesse en Suisse ? Pour chaque médicament, donne la spécialité suisse, la dose, la voie, la durée et les adaptations (rein, foie, enfant, grossesse) selon l'information professionnelle suisse (swissmedicinfo.ch), avec la date de l'IP.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C-046  ·  priorité Moyenne  ·  épidémiologie</w:t>
            </w:r>
          </w:p>
        </w:tc>
        <w:tc>
          <w:tcPr>
            <w:tcW w:w="11200" w:type="dxa"/>
            <w:shd w:val="clear" w:color="auto" w:fill="EBF5FB"/>
            <w:vAlign w:val="top"/>
          </w:tcPr>
          <w:p>
            <w:pPr>
              <w:spacing w:after="0"/>
            </w:pPr>
            <w:r>
              <w:rPr>
                <w:sz w:val="17"/>
                <w:szCs w:val="17"/>
              </w:rPr>
              <w:t xml:space="preserve">LOT 235 · SSP O7.13 · LOT_235_Appel_A_V5_Ultra_Pedagogique_Plan_et_Liste.html ; LOT_235_Appel_B_V5_Ultra_Pedagogique_Partie_1_DX.1_a_DX.2.html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235 Plan et Liste › LOT 235 : Patient d'un autre contexte culturel, migration (c (lacune #3) ; LOT 235 Plan et Liste › Lacunes restantes (lacune #15) ; LOT 235 Partie 1 DX.1 a DX.2 › Lacunes restantes (lacune #56)</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que l'état de santé récent de la population migrante (monitoring OFS/Obsan) n'a pas été trouvé ; 9 % de la population a une langue principale non nationale.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sont les données les plus récentes du monitoring suisse de la santé de la population migrante (OFS, Obsan, OFSP « Santé des migrants », enquête ESS 2022), avec indicateurs clés et URL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C-054  ·  priorité Moyenne  ·  épidémiologie</w:t>
            </w:r>
          </w:p>
        </w:tc>
        <w:tc>
          <w:tcPr>
            <w:tcW w:w="11200" w:type="dxa"/>
            <w:shd w:val="clear" w:color="auto" w:fill="EBF5FB"/>
            <w:vAlign w:val="top"/>
          </w:tcPr>
          <w:p>
            <w:pPr>
              <w:spacing w:after="0"/>
            </w:pPr>
            <w:r>
              <w:rPr>
                <w:sz w:val="17"/>
                <w:szCs w:val="17"/>
              </w:rPr>
              <w:t xml:space="preserve">LOT 235 · SSP O7.13 · LOT_235_Appel_B_V5_Ultra_Pedagogique_Partie_3_DX.6_a_DX.7.html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235 Partie 3 DX.6 a DX.7 › Lacunes restantes (lacune #114)</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n'a pas trouvé les chiffres suisses du paludisme 2020–2025 ni la proportion de voyageurs VFR.</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Combien de cas de paludisme l'OFSP a-t-il déclarés par année de 2020 à 2025, avec la part de P. falciparum, la proportion de migrants rendant visite à leur famille (VFR) et la létalité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C-056  ·  priorité Moyenne  ·  recommandation</w:t>
            </w:r>
          </w:p>
        </w:tc>
        <w:tc>
          <w:tcPr>
            <w:tcW w:w="11200" w:type="dxa"/>
            <w:shd w:val="clear" w:color="auto" w:fill="EBF5FB"/>
            <w:vAlign w:val="top"/>
          </w:tcPr>
          <w:p>
            <w:pPr>
              <w:spacing w:after="0"/>
            </w:pPr>
            <w:r>
              <w:rPr>
                <w:sz w:val="17"/>
                <w:szCs w:val="17"/>
              </w:rPr>
              <w:t xml:space="preserve">LOT 235 · SSP O7.13 · LOT_235_Appel_B_V5_Ultra_Pedagogique_Partie_4_DX.8_a_DX.10.html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235 Partie 4 DX.8 a DX.10 › LOT 235 : Patient d'un autre contexte culturel, migration (c (lacune #120) ; LOT 235 Partie 4 DX.8 a DX.10 › LOT 235 : Patient d'un autre contexte culturel, migration (c (lacune #121) ; LOT 235 Partie 4 DX.8 a DX.10 › Lacunes restantes (lacune #131)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traite l'excision et les mutilations génitales féminines (inspection clinique, désinfibulation, programme OFSP/SEM) sans critère de guérison ni recommandation clinique suisse citée.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recommandations suisses s'appliquent aux mutilations génitales féminines (avis d'experts SSGO, Réseau suisse contre l'excision, CP 124), avec classification OMS, prise en charge obstétricale et désinfibulation, version et URL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C-058  ·  priorité Haute  ·  recommandation</w:t>
            </w:r>
          </w:p>
        </w:tc>
        <w:tc>
          <w:tcPr>
            <w:tcW w:w="11200" w:type="dxa"/>
            <w:shd w:val="clear" w:color="auto" w:fill="FDEBD0"/>
            <w:vAlign w:val="top"/>
          </w:tcPr>
          <w:p>
            <w:pPr>
              <w:spacing w:after="0"/>
            </w:pPr>
            <w:r>
              <w:rPr>
                <w:sz w:val="17"/>
                <w:szCs w:val="17"/>
              </w:rPr>
              <w:t xml:space="preserve">LOT 236 · SSP O7.14 · LOT_236_Appel_A_V5_Ultra_Pedagogique_Plan_et_Liste.html ; LOT_236_Appel_B_V5_Ultra_Pedagogique_Partie_1_DX.1_a_DX.2.html ; LOT_236_Appel_B_V5_Ultra_Pedagogique_Partie_2_DX.3_a_DX.5.html ; LOT_236_Appel_B_V5_Ultra_Pedagogique_Partie_3_DX.6_a_DX.7.html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236 Plan et Liste › LOT 236 : Réadaptation physique et psychosociale, hospitaliè › 🔍 Fenêtre : LAMal : ce que l’assurance obligatoire des soins rembourse (lacune #0) ; LOT 236 Plan et Liste › LOT 236 : Réadaptation physique et psychosociale, hospitaliè (lacune #1) ; LOT 236 Plan et Liste › LOT 236 : Réadaptation physique et psychosociale, hospitaliè (lacune #4) ; LOT 236 Plan et Liste › LOT 236 : Réadaptation physique et psychosociale, hospitaliè › critères de qualité ANQ Les objectifs de participation sont atteints d (lacune #7) ; LOT 236 Partie 1 DX.1 a DX.2 › LOT 236 : Réadaptation physique et psychosociale, hospitaliè (lacune #20) ; LOT 236 Partie 1 DX.1 a DX.2 › LOT 236 : Réadaptation physique et psychosociale, hospitaliè (lacune #28) ; LOT 236 Partie 2 DX.3 a DX.5 › LOT 236 : Réadaptation physique et psychosociale, hospitaliè (lacune #57) ; LOT 236 Partie 3 DX.6 a DX.7 › LOT 236 : Réadaptation physique et psychosociale, hospitaliè (lacune #85) ; LOT 236 Partie 3 DX.6 a DX.7 › LOT 236 : Réadaptation physique et psychosociale, hospitaliè › réadaptation psychosomatique (lacune #95) ; LOT 236 Partie 3 DX.6 a DX.7 › LOT 236 : Réadaptation physique et psychosociale, hospitaliè › réadaptation psychosomatique (lacune #96)</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décrit l'indication de la réadaptation stationnaire (LAMal art. 39, liste hospitalière cantonale, garantie préalable de l'assureur après avis du médecin-conseil) et cite les profils de la réadaptation cardiaque (15.3.2011) et pulmonaire (2003) et les critères ST Reha et FMH BA.1–BA.8, non lus.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critères en vigueur en 2026 conditionnent la prise en charge LAMal de la réadaptation stationnaire et ambulatoire (art. 39 LAMal, OPAS art. 5 et 25, ST Reha, DefReha H+) et quelles sont les prestations minimales par type de réadaptation (cardiaque, pulmonaire, neurologique, psychosomatique, gériatrique, musculosquélettique) ? Quelles sont les versions actuelles des profils SCPRS (cardiaque) et de la Société suisse de pneumologie (pulmonaire)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C-060  ·  priorité Haute  ·  conduite</w:t>
            </w:r>
          </w:p>
        </w:tc>
        <w:tc>
          <w:tcPr>
            <w:tcW w:w="11200" w:type="dxa"/>
            <w:shd w:val="clear" w:color="auto" w:fill="FDEBD0"/>
            <w:vAlign w:val="top"/>
          </w:tcPr>
          <w:p>
            <w:pPr>
              <w:spacing w:after="0"/>
            </w:pPr>
            <w:r>
              <w:rPr>
                <w:sz w:val="17"/>
                <w:szCs w:val="17"/>
              </w:rPr>
              <w:t xml:space="preserve">LOT 236 · SSP O7.14 · LOT_236_Appel_A_V5_Ultra_Pedagogique_Plan_et_Liste.html ; LOT_236_Appel_B_V5_Ultra_Pedagogique_Partie_2_DX.3_a_DX.5.html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236 Plan et Liste › LOT 236 : Réadaptation physique et psychosociale, hospitaliè › 🔍 Fenêtre : LCR et OAC : aptitude à conduire et secret médical (lacune #3) ; LOT 236 Partie 2 DX.3 a DX.5 › LOT 236 : Réadaptation physique et psychosociale, hospitaliè (lacune #39)</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 LCR (contrôle tous les deux ans dès 75 ans, art. 15d) et l'OAC, mais aucun délai suisse de reprise de la conduite après AVC.</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délais de reprise de la conduite après AIT, AVC, infarctus et chirurgie recommandent la Société suisse de médecine légale (SSML, guide « Aptitude à la conduite ») et la Société suisse de neurologie, selon le groupe de permis (1 et 2), avec la version et l'URL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C-063  ·  priorité Haute  ·  dose</w:t>
            </w:r>
          </w:p>
        </w:tc>
        <w:tc>
          <w:tcPr>
            <w:tcW w:w="11200" w:type="dxa"/>
            <w:shd w:val="clear" w:color="auto" w:fill="FDEBD0"/>
            <w:vAlign w:val="top"/>
          </w:tcPr>
          <w:p>
            <w:pPr>
              <w:spacing w:after="0"/>
            </w:pPr>
            <w:r>
              <w:rPr>
                <w:sz w:val="17"/>
                <w:szCs w:val="17"/>
              </w:rPr>
              <w:t xml:space="preserve">LOT 236 · SSP O7.14 · LOT_236_Appel_B_V5_Ultra_Pedagogique_Partie_1_DX.1_a_DX.2.html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236 Partie 1 DX.1 a DX.2 › LOT 236 : Réadaptation physique et psychosociale, hospitaliè (lacune #29) ; LOT 236 Partie 1 DX.1 a DX.2 › LOT 236 : Réadaptation physique et psychosociale, hospitaliè › (mécanisme) Anticorps IgG2 qui se lie à RANKL, essentiel à la formatio (lacune #30) ; LOT 236 Partie 1 DX.1 a DX.2 › LOT 236 : Réadaptation physique et psychosociale, hospitaliè › (mécanisme) Anticorps IgG2 qui se lie à RANKL, essentiel à la formatio (lacune #31)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suit la SVGO (cinq catégories de risque fracturaire) : ostéoanaboliques prioritaires en risque très élevé (tériparatide 24 mois, abaloparatide 18 mois, romosozumab à éviter après infarctus ou AVC récent) ; vitamine D 800–1000 UI/j, 50 000–125 000 UI avant Aclasta® ; spécialités suisses et doses des ostéoanaboliques et de la vitamine D, valeur normale de la calcémie non données.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version la plus récente des recommandations SVGO/ASCO sur l'ostéoporose (année, comparée à celle du cours) ? Quelles spécialités suisses et doses existent pour le tériparatide (Forsteo®, biosimilaires), l'abaloparatide (Eladynos®) et le romosozumab (Evenity®), avec conditions de remboursement LS, et pour la vitamine D3 ? Quelle calcémie (totale corrigée et ionisée) exiger avant denosumab et zolédronate ? Pour chaque médicament, donne la spécialité suisse, la dose, la voie, la durée et les adaptations (rein, foie, enfant, grossesse) selon l'information professionnelle suisse (swissmedicinfo.ch), avec la date de l'IP.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C-065  ·  priorité Haute  ·  conduite</w:t>
            </w:r>
          </w:p>
        </w:tc>
        <w:tc>
          <w:tcPr>
            <w:tcW w:w="11200" w:type="dxa"/>
            <w:shd w:val="clear" w:color="auto" w:fill="FDEBD0"/>
            <w:vAlign w:val="top"/>
          </w:tcPr>
          <w:p>
            <w:pPr>
              <w:spacing w:after="0"/>
            </w:pPr>
            <w:r>
              <w:rPr>
                <w:sz w:val="17"/>
                <w:szCs w:val="17"/>
              </w:rPr>
              <w:t xml:space="preserve">LOT 236 · SSP O7.14 · LOT_236_Appel_B_V5_Ultra_Pedagogique_Partie_2_DX.3_a_DX.5.html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236 Partie 2 DX.3 a DX.5 › LOT 236 : Réadaptation physique et psychosociale, hospitaliè (lacune #40) ; LOT 236 Partie 2 DX.3 a DX.5 › LOT 236 : Réadaptation physique et psychosociale, hospitaliè › 🔍 Interprétation 9.b : dépistage de la déglutition (lacune #41) ; LOT 236 Partie 2 DX.3 a DX.5 › LOT 236 : Réadaptation physique et psychosociale, hospitaliè (lacune #42) ; LOT 236 Partie 2 DX.3 a DX.5 › LOT 236 : Réadaptation physique et psychosociale, hospitaliè (lacune #43) ; LOT 236 Partie 2 DX.3 a DX.5 › LOT 236 : Réadaptation physique et psychosociale, hospitaliè (lacune #44) ; LOT 236 Partie 2 DX.3 a DX.5 › LOT 236 : Réadaptation physique et psychosociale, hospitaliè (lacune #45)</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Pour la réadaptation après AVC, le cours exige un dépistage de la dysphagie chez tous les patients sans nommer l'outil, et ne cite ni imagerie, ni électromyographie, ni recommandations suisses de prévention secondaire ou de rééducation.</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recommandations suisses (Swiss Stroke Society, SSN, SGNOR) ou européennes (ESO, EAN) fixent l'outil de dépistage de la dysphagie (GUSS, autre), l'évaluation instrumentale (FEES, vidéofluoroscopie), le traitement de la spasticité (toxine botulique, doses) et la prévention secondaire après AVC ischémique (antiagrégation, cibles LDL et TA)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C-066  ·  priorité Haute  ·  recommandation</w:t>
            </w:r>
          </w:p>
        </w:tc>
        <w:tc>
          <w:tcPr>
            <w:tcW w:w="11200" w:type="dxa"/>
            <w:shd w:val="clear" w:color="auto" w:fill="FDEBD0"/>
            <w:vAlign w:val="top"/>
          </w:tcPr>
          <w:p>
            <w:pPr>
              <w:spacing w:after="0"/>
            </w:pPr>
            <w:r>
              <w:rPr>
                <w:sz w:val="17"/>
                <w:szCs w:val="17"/>
              </w:rPr>
              <w:t xml:space="preserve">LOT 236 · SSP O7.14 · LOT_236_Appel_B_V5_Ultra_Pedagogique_Partie_2_DX.3_a_DX.5.html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236 Partie 2 DX.3 a DX.5 › LOT 236 : Réadaptation physique et psychosociale, hospitaliè › syndrome coronarien aigu (lacune #46) ; LOT 236 Partie 2 DX.3 a DX.5 › LOT 236 : Réadaptation physique et psychosociale, hospitaliè › insuffisance cardiaque (lacune #47) ; LOT 236 Partie 2 DX.3 a DX.5 › LOT 236 : Réadaptation physique et psychosociale, hospitaliè (lacune #48) ; LOT 236 Partie 2 DX.3 a DX.5 › LOT 236 : Réadaptation physique et psychosociale, hospitaliè (lacune #51) ; LOT 236 Partie 2 DX.3 a DX.5 › LOT 236 : Réadaptation physique et psychosociale, hospitaliè (lacune #55) ; LOT 236 Partie 2 DX.3 a DX.5 › LOT 236 : Réadaptation physique et psychosociale, hospitaliè (lacune #58) ; LOT 236 Partie 2 DX.3 a DX.5 › LOT 236 : Réadaptation physique et psychosociale, hospitaliè (lacune #59) ; LOT 236 Partie 2 DX.3 a DX.5 › LOT 236 : Réadaptation physique et psychosociale, hospitaliè › 🔍 Intensité d’exercice : ce que les sources permettent de dire (lacune #61) ; LOT 236 Partie 2 DX.3 a DX.5 › LOT 236 : Réadaptation physique et psychosociale, hospitaliè (lacune #62) ; LOT 236 Partie 2 DX.3 a DX.5 › LOT 236 : Réadaptation physique et psychosociale, hospitaliè › 🔍 Calendrier de surveillance (lacune #63) ; LOT 236 Partie 2 DX.3 a DX.5 › LOT 236 : Réadaptation physique et psychosociale, hospitaliè (lacune #64) ; LOT 236 Partie 2 DX.3 a DX.5 › LOT 236 : Réadaptation physique et psychosociale, hospitaliè (lacune #65) ; LOT 236 Partie 2 DX.3 a DX.5 › LOT 236 : Réadaptation physique et psychosociale, hospitaliè (lacune #66)</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Pour la réadaptation cardiaque, le cours cite Cochrane et l'EAPC faute d'avoir lu l'ESC 2023 (SCA), 2021 (insuffisance cardiaque et prévention) et 2024 (syndromes coronariens chroniques) ; il ne donne ni classes de recommandation, ni intensité d'exercice, ni signes d'arrêt de l'effort, ni cibles LDL/TA, ni médicaments.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classes de recommandation l'ESC 2023 (SCA), 2024 (SCC) et 2021/2023 (insuffisance cardiaque) donnent-elles à la réadaptation cardiaque ? Quelle prescription d'intensité (réserve de fréquence cardiaque, seuils ventilatoires, Borg) et quels critères d'arrêt de l'effort recommandent l'EAPC et la SCPRS ? Quelles cibles de LDL et de pression artérielle fixent l'ESC 2021/2024 et l'AGLA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C-068  ·  priorité Haute  ·  seuil</w:t>
            </w:r>
          </w:p>
        </w:tc>
        <w:tc>
          <w:tcPr>
            <w:tcW w:w="11200" w:type="dxa"/>
            <w:shd w:val="clear" w:color="auto" w:fill="FDEBD0"/>
            <w:vAlign w:val="top"/>
          </w:tcPr>
          <w:p>
            <w:pPr>
              <w:spacing w:after="0"/>
            </w:pPr>
            <w:r>
              <w:rPr>
                <w:sz w:val="17"/>
                <w:szCs w:val="17"/>
              </w:rPr>
              <w:t xml:space="preserve">LOT 236 · SSP O7.14 · LOT_236_Appel_B_V5_Ultra_Pedagogique_Partie_3_DX.6_a_DX.7.html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236 Partie 3 DX.6 a DX.7 › LOT 236 : Réadaptation physique et psychosociale, hospitaliè (lacune #79) ; LOT 236 Partie 3 DX.6 a DX.7 › LOT 236 : Réadaptation physique et psychosociale, hospitaliè (lacune #80) ; LOT 236 Partie 3 DX.6 a DX.7 › LOT 236 : Réadaptation physique et psychosociale, hospitaliè (lacune #81) ; LOT 236 Partie 3 DX.6 a DX.7 › LOT 236 : Réadaptation physique et psychosociale, hospitaliè (lacune #82) ; LOT 236 Partie 3 DX.6 a DX.7 › LOT 236 : Réadaptation physique et psychosociale, hospitaliè (lacune #83) ; LOT 236 Partie 3 DX.6 a DX.7 › LOT 236 : Réadaptation physique et psychosociale, hospitaliè › Fenêtre : le questionnaire mMRC (lacune #84) ; LOT 236 Partie 3 DX.6 a DX.7 › LOT 236 : Réadaptation physique et psychosociale, hospitaliè (lacune #86) ; LOT 236 Partie 3 DX.6 a DX.7 › LOT 236 : Réadaptation physique et psychosociale, hospitaliè (lacune #88) ; LOT 236 Partie 3 DX.6 a DX.7 › LOT 236 : Réadaptation physique et psychosociale, hospitaliè (lacune #89) ; LOT 236 Partie 3 DX.6 a DX.7 › LOT 236 : Réadaptation physique et psychosociale, hospitaliè › l’échelle de Borg (lacune #90) ; LOT 236 Partie 3 DX.6 a DX.7 › LOT 236 : Réadaptation physique et psychosociale, hospitaliè (lacune #91) ; LOT 236 Partie 3 DX.6 a DX.7 › LOT 236 : Réadaptation physique et psychosociale, hospitaliè (lacune #92) ; LOT 236 Partie 3 DX.6 a DX.7 › LOT 236 : Réadaptation physique et psychosociale, hospitaliè (lacune #93)</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Pour la réadaptation pulmonaire, le cours suit GOLD (mMRC ≥ 2, VEMS/CVF &lt; 0,7, SpO₂ ≤ 92 % → gazométrie) et l'ERS/ATS ; il ne donne ni seuil de désaturation à l'effort, ni critères suisses d'oxygénothérapie, ni libellé des degrés mMRC, ni limite inférieure du 6MWD, ni prescription chiffrée suisse, ni durée de l'effet.</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version la plus récente de GOLD (2026) et des recommandations de la Société suisse de pneumologie sur la BPCO et l'oxygénothérapie (critères PaO₂, désaturation à l'effort ≥ 4 % ou &lt; 88 %) ? Quels sont les libellés des cinq degrés mMRC, la différence minimale cliniquement importante du 6MWD et l'intensité d'exercice recommandée (ERS/ATS 2023, Borg) ? Quels seuils de NT-proBNP orientent vers une insuffisance cardiaque (ESC)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C-059  ·  priorité Moyenne  ·  conduite</w:t>
            </w:r>
          </w:p>
        </w:tc>
        <w:tc>
          <w:tcPr>
            <w:tcW w:w="11200" w:type="dxa"/>
            <w:shd w:val="clear" w:color="auto" w:fill="EBF5FB"/>
            <w:vAlign w:val="top"/>
          </w:tcPr>
          <w:p>
            <w:pPr>
              <w:spacing w:after="0"/>
            </w:pPr>
            <w:r>
              <w:rPr>
                <w:sz w:val="17"/>
                <w:szCs w:val="17"/>
              </w:rPr>
              <w:t xml:space="preserve">LOT 236 · SSP O7.14 · LOT_236_Appel_A_V5_Ultra_Pedagogique_Plan_et_Liste.html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236 Plan et Liste › LOT 236 : Réadaptation physique et psychosociale, hospitaliè › 🔍 Fenêtre : Code civil : capacité de discernement et représentation th (lacune #2)</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renvoie au Code civil pour la représentation dans le domaine médical sans reproduire l'ordre des représentants.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est l'ordre légal des représentants dans le domaine médical selon le CC 378 et comment s'applique-t-il pendant une réadaptation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C-061  ·  priorité Moyenne  ·  seuil</w:t>
            </w:r>
          </w:p>
        </w:tc>
        <w:tc>
          <w:tcPr>
            <w:tcW w:w="11200" w:type="dxa"/>
            <w:shd w:val="clear" w:color="auto" w:fill="EBF5FB"/>
            <w:vAlign w:val="top"/>
          </w:tcPr>
          <w:p>
            <w:pPr>
              <w:spacing w:after="0"/>
            </w:pPr>
            <w:r>
              <w:rPr>
                <w:sz w:val="17"/>
                <w:szCs w:val="17"/>
              </w:rPr>
              <w:t xml:space="preserve">LOT 236 · SSP O7.14 · LOT_236_Appel_A_V5_Ultra_Pedagogique_Plan_et_Liste.html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236 Plan et Liste › LOT 236 : Réadaptation physique et psychosociale, hospitaliè (lacune #5)</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donne le GAD-7 (0–21) avec un seuil optimisant Se 89 %, Sp 82 %, sans la valeur du seuil.</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sont les seuils du GAD-7 (5, 10, 15) et du PHQ-9 et la valeur du seuil associée à Se 89 % et Sp 82 % dans l'étude de validation de Spitzer 2006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C-062  ·  priorité Moyenne  ·  épidémiologie</w:t>
            </w:r>
          </w:p>
        </w:tc>
        <w:tc>
          <w:tcPr>
            <w:tcW w:w="11200" w:type="dxa"/>
            <w:shd w:val="clear" w:color="auto" w:fill="EBF5FB"/>
            <w:vAlign w:val="top"/>
          </w:tcPr>
          <w:p>
            <w:pPr>
              <w:spacing w:after="0"/>
            </w:pPr>
            <w:r>
              <w:rPr>
                <w:sz w:val="17"/>
                <w:szCs w:val="17"/>
              </w:rPr>
              <w:t xml:space="preserve">LOT 236 · SSP O7.14 · LOT_236_Appel_B_V5_Ultra_Pedagogique_Partie_1_DX.1_a_DX.2.html ; LOT_236_Appel_B_V5_Ultra_Pedagogique_Partie_2_DX.3_a_DX.5.html ; LOT_236_Appel_B_V5_Ultra_Pedagogique_Partie_3_DX.6_a_DX.7.html ; LOT_236_Appel_B_V5_Ultra_Pedagogique_Partie_4_DX.8_a_DX.10.html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236 Partie 1 DX.1 a DX.2 › LOT 236 : Réadaptation physique et psychosociale, hospitaliè › 31 229 patients Source. 68 cliniques ont transmis les données de 31 22 (lacune #14) ; LOT 236 Partie 1 DX.1 a DX.2 › LOT 236 : Réadaptation physique et psychosociale, hospitaliè › comorbidité (CIRS) Définition. La Cumulative Illness Rating Scale cote (lacune #15) ; LOT 236 Partie 1 DX.1 a DX.2 › LOT 236 : Réadaptation physique et psychosociale, hospitaliè › fracture de l’extrémité proximale du fémur (lacune #24) ; LOT 236 Partie 1 DX.1 a DX.2 › LOT 236 : Réadaptation physique et psychosociale, hospitaliè (lacune #25) ; LOT 236 Partie 2 DX.3 a DX.5 › LOT 236 : Réadaptation physique et psychosociale, hospitaliè › ANQ (Association nationale pour le développement de la qualité dans le (lacune #34) ; LOT 236 Partie 2 DX.3 a DX.5 › LOT 236 : Réadaptation physique et psychosociale, hospitaliè (lacune #67) ; LOT 236 Partie 2 DX.3 a DX.5 › LOT 236 : Réadaptation physique et psychosociale, hospitaliè (lacune #68) ; LOT 236 Partie 3 DX.6 a DX.7 › LOT 236 : Réadaptation physique et psychosociale, hospitaliè › ANQ (lacune #78) ; LOT 236 Partie 3 DX.6 a DX.7 › LOT 236 : Réadaptation physique et psychosociale, hospitaliè › réadaptation psychosomatique (lacune #97) ; LOT 236 Partie 4 DX.8 a DX.10 › LOT 236 : Réadaptation physique et psychosociale, hospitaliè (lacune #121)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utilise les chiffres ANQ 2024 (99 274 cas de réadaptation stationnaire dans neuf domaines) et SIRIS ; la part des patients prothésés, la mortalité après arthroplastie, l'incidence et la mortalité suisses de la fracture de hanche, la part de la réadaptation ambulatoire et celle de la faiblesse acquise en réanimation ne sont pas connues.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sont les données suisses les plus récentes (OFS, Obsan, SIRIS, ANQ) sur l'incidence et la mortalité à un an de la fracture de hanche, la mortalité et les complications après arthroplastie, et le volume de la réadaptation ambulatoire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C-064  ·  priorité Moyenne  ·  seuil</w:t>
            </w:r>
          </w:p>
        </w:tc>
        <w:tc>
          <w:tcPr>
            <w:tcW w:w="11200" w:type="dxa"/>
            <w:shd w:val="clear" w:color="auto" w:fill="EBF5FB"/>
            <w:vAlign w:val="top"/>
          </w:tcPr>
          <w:p>
            <w:pPr>
              <w:spacing w:after="0"/>
            </w:pPr>
            <w:r>
              <w:rPr>
                <w:sz w:val="17"/>
                <w:szCs w:val="17"/>
              </w:rPr>
              <w:t xml:space="preserve">LOT 236 · SSP O7.14 · LOT_236_Appel_B_V5_Ultra_Pedagogique_Partie_1_DX.1_a_DX.2.html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236 Partie 1 DX.1 a DX.2 › LOT 236 : Réadaptation physique et psychosociale, hospitaliè › amplitude articulaire (lacune #13) ; LOT 236 Partie 1 DX.1 a DX.2 › LOT 236 : Réadaptation physique et psychosociale, hospitaliè › 29,8 % Définition. SIRIS enregistre la classe ASA (American Society of (lacune #16) ; LOT 236 Partie 1 DX.1 a DX.2 › LOT 236 : Réadaptation physique et psychosociale, hospitaliè › peur de bouger (lacune #17) ; LOT 236 Partie 1 DX.1 a DX.2 › LOT 236 : Réadaptation physique et psychosociale, hospitaliè › luxation (lacune #18) ; LOT 236 Partie 1 DX.1 a DX.2 › LOT 236 : Réadaptation physique et psychosociale, hospitaliè › Oxford Knee Score (OKS) Définition. L’Oxford Knee Score est un questio (lacune #19) ; LOT 236 Partie 1 DX.1 a DX.2 › LOT 236 : Réadaptation physique et psychosociale, hospitaliè (lacune #22)</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Pour la réadaptation après arthroplastie, le cours ne donne pas les amplitudes articulaires normales et cibles (flexion du genou), les classes ASA, l'échelle de peur du mouvement, la présentation de la luxation de prothèse ni le suivi radiologique.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valeurs d'amplitude articulaire normales et cibles après prothèse totale de hanche et de genou, quelle définition des classes ASA (version 2020), quelle échelle de kinésiophobie (TSK-11/17, seuil) et quel suivi radiologique de prothèse recommandent les sources suisses ou européennes (Swiss Orthopaedics, EFORT) ? Quels signes cliniques signent une luxation de prothèse de hanche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C-067  ·  priorité Moyenne  ·  conduite</w:t>
            </w:r>
          </w:p>
        </w:tc>
        <w:tc>
          <w:tcPr>
            <w:tcW w:w="11200" w:type="dxa"/>
            <w:shd w:val="clear" w:color="auto" w:fill="EBF5FB"/>
            <w:vAlign w:val="top"/>
          </w:tcPr>
          <w:p>
            <w:pPr>
              <w:spacing w:after="0"/>
            </w:pPr>
            <w:r>
              <w:rPr>
                <w:sz w:val="17"/>
                <w:szCs w:val="17"/>
              </w:rPr>
              <w:t xml:space="preserve">LOT 236 · SSP O7.14 · LOT_236_Appel_B_V5_Ultra_Pedagogique_Partie_2_DX.3_a_DX.5.html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236 Partie 2 DX.3 a DX.5 › LOT 236 : Réadaptation physique et psychosociale, hospitaliè › toux inefficace (lacune #69) ; LOT 236 Partie 2 DX.3 a DX.5 › LOT 236 : Réadaptation physique et psychosociale, hospitaliè › dysphagie après extubation (lacune #70) ; LOT 236 Partie 2 DX.3 a DX.5 › LOT 236 : Réadaptation physique et psychosociale, hospitaliè (lacune #74) ; LOT 236 Partie 2 DX.3 a DX.5 › LOT 236 : Réadaptation physique et psychosociale, hospitaliè › 🔍 Preuves et limites (lacune #75) ; LOT 236 Partie 2 DX.3 a DX.5 › LOT 236 : Réadaptation physique et psychosociale, hospitaliè › 🔍 Médicaments testés : aucune spécialité suisse recommandée (lacune #76)</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Pour la faiblesse acquise en réanimation, le cours cite le score MRC somme et la dynamométrie sans seuils chiffrés, une cible glycémique controversée sans chiffre et l'oxandrolone sans indication suisse.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seuil du score MRC somme (&lt; 48/60) et de la dynamométrie définit la faiblesse acquise en réanimation ? Quelle cible glycémique recommandent l'ESICM et la SSMI ? L'oxandrolone est-elle autorisée en Suisse ? Quel dépistage de la dysphagie après extubation et de la toux inefficace recommandent les sources européennes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C-069  ·  priorité Moyenne  ·  conduite</w:t>
            </w:r>
          </w:p>
        </w:tc>
        <w:tc>
          <w:tcPr>
            <w:tcW w:w="11200" w:type="dxa"/>
            <w:shd w:val="clear" w:color="auto" w:fill="EBF5FB"/>
            <w:vAlign w:val="top"/>
          </w:tcPr>
          <w:p>
            <w:pPr>
              <w:spacing w:after="0"/>
            </w:pPr>
            <w:r>
              <w:rPr>
                <w:sz w:val="17"/>
                <w:szCs w:val="17"/>
              </w:rPr>
              <w:t xml:space="preserve">LOT 236 · SSP O7.14 · LOT_236_Appel_B_V5_Ultra_Pedagogique_Partie_3_DX.6_a_DX.7.html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236 Partie 3 DX.6 a DX.7 › LOT 236 : Réadaptation physique et psychosociale, hospitaliè (lacune #109)</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traite la communication avec l'office AI (LAI art. 3b al. 3, 3c al. 4) sans avoir lu la portée du secret médical selon le CP 321.</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Comment le CP 321 et la LAI (art. 3b, 3c, 6a, 7d) articulent-ils la levée du secret médical lors d'une détection ou d'une intervention précoce AI, selon la version en vigueur en 2026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C-070  ·  priorité Moyenne  ·  conduite</w:t>
            </w:r>
          </w:p>
        </w:tc>
        <w:tc>
          <w:tcPr>
            <w:tcW w:w="11200" w:type="dxa"/>
            <w:shd w:val="clear" w:color="auto" w:fill="EBF5FB"/>
            <w:vAlign w:val="top"/>
          </w:tcPr>
          <w:p>
            <w:pPr>
              <w:spacing w:after="0"/>
            </w:pPr>
            <w:r>
              <w:rPr>
                <w:sz w:val="17"/>
                <w:szCs w:val="17"/>
              </w:rPr>
              <w:t xml:space="preserve">LOT 236 · SSP O7.14 · LOT_236_Appel_B_V5_Ultra_Pedagogique_Partie_4_DX.8_a_DX.10.html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 236 Partie 4 DX.8 a DX.10 › LOT 236 : Réadaptation physique et psychosociale, hospitaliè (lacune #118) ; LOT 236 Partie 4 DX.8 a DX.10 › LOT 236 : Réadaptation physique et psychosociale, hospitaliè › test de marche de 6 minutes (lacune #119) ; LOT 236 Partie 4 DX.8 a DX.10 › LOT 236 : Réadaptation physique et psychosociale, hospitaliè › 7.1 Syndrome de fatigue liée au cancer (lacune #120) ; LOT 236 Partie 4 DX.8 a DX.10 › LOT 236 : Réadaptation physique et psychosociale, hospitaliè (lacune #122)</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Pour la réadaptation oncologique, le cours ne donne ni valeur de référence du 6MWT, ni liste des complications à exclure devant une stagnation, ni mécanisme de la fatigue, ni calendrier biologique sous AINS.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recommandations suisses (Ligue suisse contre le cancer, SAKK, oncoreha.ch) ou européennes (ESMO 2020 sur la fatigue liée au cancer) fixent l'évaluation, l'exercice et le suivi en réadaptation oncologique, y compris la surveillance biologique sous AINS (créatinine, Hb) selon l'IP suisse ? Donne la recommandation suisse en vigueur (titre, organisme, année, URL), compare-la à la version citée dans le cours et liste les différences ; à défaut de source suisse, donne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p>
      <w:pPr>
        <w:pStyle w:val="Titre1"/>
      </w:pPr>
      <w:r>
        <w:rPr>
          <w:b/>
          <w:color w:val="1A5276"/>
          <w:sz w:val="28"/>
          <w:szCs w:val="28"/>
        </w:rPr>
        <w:t xml:space="preserve">7. Groupe D — Lots Claude 237 à 241</w:t>
      </w: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D-013  ·  priorité Critique  ·  dose</w:t>
            </w:r>
          </w:p>
        </w:tc>
        <w:tc>
          <w:tcPr>
            <w:tcW w:w="11200" w:type="dxa"/>
            <w:shd w:val="clear" w:color="auto" w:fill="FADBD8"/>
            <w:vAlign w:val="top"/>
          </w:tcPr>
          <w:p>
            <w:pPr>
              <w:spacing w:after="0"/>
            </w:pPr>
            <w:r>
              <w:rPr>
                <w:sz w:val="17"/>
                <w:szCs w:val="17"/>
              </w:rPr>
              <w:t xml:space="preserve">LOT 237 · SSP O7.15 · LOT_237_Appel_B_V5_Ultra_Pedagogique_Partie_4_DX.8_a_DX.10.html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DX.10 › point 11.B › tableau tacrolimus (Envarsus®, Advagraf®, Prograf®)</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posologie d'Envarsus® non lue dans la FI ; la Suisse montre que la conversion vers le tacrolimus 1 fois par jour ne modifie pas la non-adhésion BAASIS.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doses initiales d'Envarsus® (transplantation rénale et hépatique) donne la FI suisse, et quel facteur de conversion appliquer depuis Prograf® (2 prises) et depuis Advagraf® (1 prise) ? Quel contrôle des taux résiduels après conversion ? Donner les doses, voies, adaptations (rénale, hépatique, pédiatrique, grossesse) selon l'information professionnelle suisse (AIPS, swissmedicinfo.ch), avec la date de la FI.</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D-015  ·  priorité Critique  ·  dose</w:t>
            </w:r>
          </w:p>
        </w:tc>
        <w:tc>
          <w:tcPr>
            <w:tcW w:w="11200" w:type="dxa"/>
            <w:shd w:val="clear" w:color="auto" w:fill="FADBD8"/>
            <w:vAlign w:val="top"/>
          </w:tcPr>
          <w:p>
            <w:pPr>
              <w:spacing w:after="0"/>
            </w:pPr>
            <w:r>
              <w:rPr>
                <w:sz w:val="17"/>
                <w:szCs w:val="17"/>
              </w:rPr>
              <w:t xml:space="preserve">LOT 237 · SSP O7.15 · LOT_237_Appel_B_V5_Ultra_Pedagogique_Partie_4_DX.8_a_DX.10.html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DX.8 › point 9 › tableau « Dosage sérique de l'antiépileptique » ; point 11.B › formes injectables de l'état de mal</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plages de référence des antiépileptiques non chiffrées ; posologie des formes injectables pour l'état de mal non lue dans la FI.</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doses IV ou IM de première et deuxième ligne pour l'état de mal épileptique (midazolam, lorazépam, lévétiracétam, valproate, phénytoïne/fosphénytoïne) donnent la FI suisse et la recommandation de la Ligue suisse contre l'épilepsie (et l'EAN/ILAE la plus récente) ? Quelles plages thérapeutiques usuelles (lévétiracétam, lamotrigine, valproate, carbamazépine) ? Donner les doses, voies, adaptations (rénale, hépatique, pédiatrique, grossesse) selon l'information professionnelle suisse (AIPS, swissmedicinfo.ch), avec la date de la FI.</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D-001  ·  priorité Haute  ·  seuil</w:t>
            </w:r>
          </w:p>
        </w:tc>
        <w:tc>
          <w:tcPr>
            <w:tcW w:w="11200" w:type="dxa"/>
            <w:shd w:val="clear" w:color="auto" w:fill="FDEBD0"/>
            <w:vAlign w:val="top"/>
          </w:tcPr>
          <w:p>
            <w:pPr>
              <w:spacing w:after="0"/>
            </w:pPr>
            <w:r>
              <w:rPr>
                <w:sz w:val="17"/>
                <w:szCs w:val="17"/>
              </w:rPr>
              <w:t xml:space="preserve">LOT 237 · SSP O7.15 · LOT_237_Appel_B_V5_Ultra_Pedagogique_Partie_1_DX.1_a_DX.2.html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DX.1 › point 9 › tableau d'interprétation (rapport aldostérone/rénine)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seuil « propre à la méthode et au laboratoire », valeur ESH non trouvée ; il s'appuie sur l'ESC/ESH 2018 (texte ESH 2023/ESC 2024 refusé, HTTP 403).</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seuils de rapport aldostérone/rénine (en pmol/L et ng/L, selon la méthode : activité ou concentration de rénine) retiennent l'ESH 2023 et l'ESC 2024 pour dépister l'hyperaldostéronisme primaire ? Quelles conditions de prélèvement (kaliémie, arrêt des médicaments interférents) sont exigées ? Existe-t-il une position suisse (SSH, SSED) ? Citer la recommandation suisse en vigueur (titre, année, URL) ; comparer la version la plus récente à celle du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D-002  ·  priorité Haute  ·  recommandation</w:t>
            </w:r>
          </w:p>
        </w:tc>
        <w:tc>
          <w:tcPr>
            <w:tcW w:w="11200" w:type="dxa"/>
            <w:shd w:val="clear" w:color="auto" w:fill="FDEBD0"/>
            <w:vAlign w:val="top"/>
          </w:tcPr>
          <w:p>
            <w:pPr>
              <w:spacing w:after="0"/>
            </w:pPr>
            <w:r>
              <w:rPr>
                <w:sz w:val="17"/>
                <w:szCs w:val="17"/>
              </w:rPr>
              <w:t xml:space="preserve">LOT 237 · SSP O7.15 · LOT_237_Appel_B_V5_Ultra_Pedagogique_Partie_1_DX.1_a_DX.2.html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DX.1 › point 9.a gold standard et point 11 (HTA résistante, dépistage chimique de l'observance)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l'ESC/ESH 2018 [S12] : dosage du médicament dans le sang ou l'urine comme méthode la plus exacte ; résistance vraie = PA ≥ 140/90 mmHg confirmée hors cabinet avec adhésion confirmée. ESH 2023 et ESC 2024 non lus.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disent l'ESH 2023 et l'ESC 2024 (et la Société suisse d'hypertension, SSH) sur la définition de l'hypertension résistante, la pseudo-résistance et le dépistage chimique de l'observance (quand, comment, par quelle méthode) ? Citer la recommandation suisse en vigueur (titre, année, URL) ; comparer la version la plus récente à celle du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D-006  ·  priorité Haute  ·  seuil</w:t>
            </w:r>
          </w:p>
        </w:tc>
        <w:tc>
          <w:tcPr>
            <w:tcW w:w="11200" w:type="dxa"/>
            <w:shd w:val="clear" w:color="auto" w:fill="FDEBD0"/>
            <w:vAlign w:val="top"/>
          </w:tcPr>
          <w:p>
            <w:pPr>
              <w:spacing w:after="0"/>
            </w:pPr>
            <w:r>
              <w:rPr>
                <w:sz w:val="17"/>
                <w:szCs w:val="17"/>
              </w:rPr>
              <w:t xml:space="preserve">LOT 237 · SSP O7.15 · LOT_237_Appel_A_V5_Ultra_Pedagogique_Plan_et_Liste.html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fenêtre « hypoglycémies » ; P3 › DX.6 › fenêtre « hypoglycémie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seuil glycémique suisse de l'hypoglycémie non trouvé ; Smarter Medicine relie le contrôle strict chez l'âgé à l'hypoglycémie [S22].</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seuils glycémiques (mmol/L) définissent l'hypoglycémie de niveau 1, 2 et 3 selon la SSED/SGED (version la plus récente) et la recommandation européenne (EASD/ADA consensus) ? Quelle cible d'HbA1c la SSED et la gériatrie suisse retiennent-elles chez la personne âgée fragile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D-008  ·  priorité Haute  ·  recommandation</w:t>
            </w:r>
          </w:p>
        </w:tc>
        <w:tc>
          <w:tcPr>
            <w:tcW w:w="11200" w:type="dxa"/>
            <w:shd w:val="clear" w:color="auto" w:fill="FDEBD0"/>
            <w:vAlign w:val="top"/>
          </w:tcPr>
          <w:p>
            <w:pPr>
              <w:spacing w:after="0"/>
            </w:pPr>
            <w:r>
              <w:rPr>
                <w:sz w:val="17"/>
                <w:szCs w:val="17"/>
              </w:rPr>
              <w:t xml:space="preserve">LOT 237 · SSP O7.15 · LOT_237_Appel_B_V5_Ultra_Pedagogique_Partie_2_DX.3_a_DX.5.html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DX.3 › points 1, 9 et 11 › pièges ESC/EAS, fenêtre « Interprétation de la CK (9.b) » et fenêtre « alternatives thérapeutiques » (grossesse)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définitions ESC/EAS 2019 non lues ; cibles tirées d'une revue EHJ 2026 ; mise à jour ESC/EAS 2025 non lue (HTTP 403) ; référence suisse de la CK non trouvée ; alternative à l'atorvastatine pendant la grossesse non trouvée.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cibles de LDL-cholestérol, quelle définition de l'intolérance aux statines et quels seuils de CK (× LSN) pour arrêter ou reprendre une statine donnent la mise à jour ESC/EAS 2025 et le consensus EAS sur les symptômes musculaires ? Quelle conduite hypolipémiante pendant la grossesse ? La AGLA (Groupe suisse lipides et athérosclérose) a-t-elle une position plus récente ? Citer la recommandation suisse en vigueur (titre, année, URL) ; comparer la version la plus récente à celle du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D-011  ·  priorité Haute  ·  dose</w:t>
            </w:r>
          </w:p>
        </w:tc>
        <w:tc>
          <w:tcPr>
            <w:tcW w:w="11200" w:type="dxa"/>
            <w:shd w:val="clear" w:color="auto" w:fill="FDEBD0"/>
            <w:vAlign w:val="top"/>
          </w:tcPr>
          <w:p>
            <w:pPr>
              <w:spacing w:after="0"/>
            </w:pPr>
            <w:r>
              <w:rPr>
                <w:sz w:val="17"/>
                <w:szCs w:val="17"/>
              </w:rPr>
              <w:t xml:space="preserve">LOT 237 · SSP O7.15 · LOT_237_Appel_B_V5_Ultra_Pedagogique_Partie_3_DX.6_a_DX.7.html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DX.7 › point 11.B › tableau Halopéridol (Haldol® comprimés/gouttes, Haldol® decanoas), lignes « Posologie orale », « Durée », « Règle d'oubli » ; fenêtre QTc ; tableau kaliémie/magnésémie ; A › Bloc 1 › tableau des formes à action prolongée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posologie orale d'Haldol® non trouvée (FI non récupérée) ; plafond oral-équivalent 20 mg/j en association au dépôt ; règle d'oubli de Haldol® decanoas absente de la FI ; formule de correction du QTc et magnésémie normale non trouvées.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doses orales d'Haldol® (comprimés et gouttes) donne la FI suisse pour la schizophrénie, l'agitation et le sujet âgé, avec adaptations rénale et hépatique ? Que prévoit la FI d'Haldol® decanoas en cas d'injection retardée ou manquée ? Quelle formule de correction du QTc (Bazett, Fridericia) et quelle magnésémie cible recommandent la FI ou l'ESC 2022 (arythmies ventriculaires) ? Donner les doses, voies, adaptations (rénale, hépatique, pédiatrique, grossesse) selon l'information professionnelle suisse (AIPS, swissmedicinfo.ch), avec la date de la FI.</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D-014  ·  priorité Haute  ·  recommandation</w:t>
            </w:r>
          </w:p>
        </w:tc>
        <w:tc>
          <w:tcPr>
            <w:tcW w:w="11200" w:type="dxa"/>
            <w:shd w:val="clear" w:color="auto" w:fill="FDEBD0"/>
            <w:vAlign w:val="top"/>
          </w:tcPr>
          <w:p>
            <w:pPr>
              <w:spacing w:after="0"/>
            </w:pPr>
            <w:r>
              <w:rPr>
                <w:sz w:val="17"/>
                <w:szCs w:val="17"/>
              </w:rPr>
              <w:t xml:space="preserve">LOT 237 · SSP O7.15 · LOT_237_Appel_B_V5_Ultra_Pedagogique_Partie_4_DX.8_a_DX.10.html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DX.9 › points 9 et 11.C › surveillance (charge virale VIH ; aminotransférases sous cabotégravir)</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tire les fréquences de mesure de l'EACS 12.0 (version 13.0 non lue) ; valeurs de référence des aminotransférases non trouvées.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disent les EACS Guidelines 13.0 (2025) sur la fréquence de mesure de l'ARN du VIH-1 (instauration, stabilité, injectables cabotégravir + rilpivirine) et sur la surveillance hépatique sous cabotégravir ? Quelles différences avec la version 12.0 ? La Société suisse d'infectiologie / Swiss HIV Cohort Study a-t-elle une position propre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D-017  ·  priorité Haute  ·  conduite</w:t>
            </w:r>
          </w:p>
        </w:tc>
        <w:tc>
          <w:tcPr>
            <w:tcW w:w="11200" w:type="dxa"/>
            <w:shd w:val="clear" w:color="auto" w:fill="FDEBD0"/>
            <w:vAlign w:val="top"/>
          </w:tcPr>
          <w:p>
            <w:pPr>
              <w:spacing w:after="0"/>
            </w:pPr>
            <w:r>
              <w:rPr>
                <w:sz w:val="17"/>
                <w:szCs w:val="17"/>
              </w:rPr>
              <w:t xml:space="preserve">LOT 237 · SSP O7.15 · LOT_237_Appel_B_V5_Ultra_Pedagogique_Partie_3_DX.6_a_DX.7.html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DX.6 › points 1, 11.B et 11.C › fenêtres « déprescription », « STOPP/START, Beers, PRISCUS », « Fiches pratiques de déprescription », « Polymedication-Check » ; surveillance biologique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définition formelle de la déprescription non trouvée ; listes STOPP/START non lues ; schéma de sevrage des benzodiazépines, dose et spécialité non trouvés ; calendrier de surveillance (J3, J7, M1) non trouvé ; détail des aides à l'adhésion non trouvé (source principale : OPERAM, Smarter Medicine).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définition de la déprescription et quels outils (STOPP/START version 3 de 2023, PRISCUS 2.0, EU(7)-PIM) recommandent les sociétés suisses (SSMIG, Société professionnelle suisse de gériatrie) ou européennes (EuGMS) ? Quel schéma de sevrage progressif des benzodiazépines et des hypnotiques chez la personne âgée est recommandé en Suisse ou en Europe (paliers, durée) ? Quel suivi clinique et biologique après arrêt ? Citer la recommandation suisse en vigueur (titre, année, URL) ; comparer la version la plus récente à celle du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D-003  ·  priorité Moyenne  ·  seuil</w:t>
            </w:r>
          </w:p>
        </w:tc>
        <w:tc>
          <w:tcPr>
            <w:tcW w:w="11200" w:type="dxa"/>
            <w:shd w:val="clear" w:color="auto" w:fill="EBF5FB"/>
            <w:vAlign w:val="top"/>
          </w:tcPr>
          <w:p>
            <w:pPr>
              <w:spacing w:after="0"/>
            </w:pPr>
            <w:r>
              <w:rPr>
                <w:sz w:val="17"/>
                <w:szCs w:val="17"/>
              </w:rPr>
              <w:t xml:space="preserve">LOT 237 · SSP O7.15 · LOT_237_Appel_A_V5_Ultra_Pedagogique_Plan_et_Liste.html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9.a gold standard ; repris dans P1 (DX.1, DX.2), P2 (DX.3–DX.5), P3 (DX.6–DX.7) et P4 (DX.8–DX.10) › point 9 › fenêtres « méthodes de mesure de l'adhésion », MPR/PDC/DPPR</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dans chaque DX : aucun gold standard (OMS 2003) ; sensibilité et spécificité des méthodes (dosage médicamenteux, questionnaires, comptage, monitoring électronique, MPR/PDC, DPPR, essai n-of-1, démonstration d'inhalation) non trouvées ; seuil de 80 % présenté comme convention d'étude.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sensibilité et spécificité ont, pour détecter la non-adhésion, le dosage urinaire ou sanguin des médicaments, les questionnaires (MARS-5, Morisky/MMAS-8), le comptage des comprimés, le monitoring électronique (MEMS) et les indicateurs de délivrance (MPR, PDC, DPPR) ? Quel seuil (p. ex. PDC ≥ 80 %) les consensus européens (ESPACOMP, ABC/EMERGE) ou suisses retiennent-ils ? Citer les méta-analyses européennes les plus récentes.</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D-004  ·  priorité Moyenne  ·  seuil</w:t>
            </w:r>
          </w:p>
        </w:tc>
        <w:tc>
          <w:tcPr>
            <w:tcW w:w="11200" w:type="dxa"/>
            <w:shd w:val="clear" w:color="auto" w:fill="EBF5FB"/>
            <w:vAlign w:val="top"/>
          </w:tcPr>
          <w:p>
            <w:pPr>
              <w:spacing w:after="0"/>
            </w:pPr>
            <w:r>
              <w:rPr>
                <w:sz w:val="17"/>
                <w:szCs w:val="17"/>
              </w:rPr>
              <w:t xml:space="preserve">LOT 237 · SSP O7.15 · LOT_237_Appel_B_V5_Ultra_Pedagogique_Partie_1_DX.1_a_DX.2.html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DX.1 › point 9 › tableau d'interprétation (imagerie des artères rénales ; métanéphrines)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l'ESC/ESH 2018, tableau 26 : sténose significative sans seuil chiffré ; métanéphrines : valeurs normales et seuil non trouvés.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degré de sténose de l'artère rénale (en %, critères Doppler : vitesse systolique maximale, index rénal-aortique) définit une sténose significative selon l'ESH 2023/ESC 2024 ? Quels seuils de métanéphrines plasmatiques libres ou urinaires orientent vers un phéochromocytome selon la recommandation européenne la plus récente (ESE/ENETS)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D-005  ·  priorité Moyenne  ·  seuil</w:t>
            </w:r>
          </w:p>
        </w:tc>
        <w:tc>
          <w:tcPr>
            <w:tcW w:w="11200" w:type="dxa"/>
            <w:shd w:val="clear" w:color="auto" w:fill="EBF5FB"/>
            <w:vAlign w:val="top"/>
          </w:tcPr>
          <w:p>
            <w:pPr>
              <w:spacing w:after="0"/>
            </w:pPr>
            <w:r>
              <w:rPr>
                <w:sz w:val="17"/>
                <w:szCs w:val="17"/>
              </w:rPr>
              <w:t xml:space="preserve">LOT 237 · SSP O7.15 · LOT_237_Appel_A_V5_Ultra_Pedagogique_Plan_et_Liste.html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8 › fenêtre « La fréquence cardiaque sous bêtabloquant » et fenêtre « Constatations objectives selon le traitement » ; P1 › DX.1 › fenêtre « Fréquence cardiaque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d'après la SSH 2021 [S10] : une fréquence inadaptée sous bêtabloquant suggère la non-prise ; valeur cible chiffrée non trouvée.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fréquence cardiaque de repos attendue ou cible sous bêtabloquant (hypertension, coronaropathie, insuffisance cardiaque) donnent la SSH, l'ESC 2023 (insuffisance cardiaque) et l'ESC 2024 (syndromes coronariens chroniques / hypertension) ? À partir de quelle fréquence une non-prise doit-elle être suspectée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D-007  ·  priorité Moyenne  ·  seuil</w:t>
            </w:r>
          </w:p>
        </w:tc>
        <w:tc>
          <w:tcPr>
            <w:tcW w:w="11200" w:type="dxa"/>
            <w:shd w:val="clear" w:color="auto" w:fill="EBF5FB"/>
            <w:vAlign w:val="top"/>
          </w:tcPr>
          <w:p>
            <w:pPr>
              <w:spacing w:after="0"/>
            </w:pPr>
            <w:r>
              <w:rPr>
                <w:sz w:val="17"/>
                <w:szCs w:val="17"/>
              </w:rPr>
              <w:t xml:space="preserve">LOT 237 · SSP O7.15 · LOT_237_Appel_B_V5_Ultra_Pedagogique_Partie_1_DX.1_a_DX.2.html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DX.2 › point 9 › tableaux d'interprétation (HbA1c, peptide C, anticorps, cétonurie, poids/IMC)</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 SGED/SSED 2023 [S100] : cibles d'HbA1c 7,0 % (53 mmol/mol), peptide C &gt; 200 et &lt; 600 pmol/L ; valeurs normales de l'HbA1c, seuils des anticorps anti-GAD/IA2/ZnT8 et seuil de cétonurie non trouvés ; IMC &gt; 28 kg/m² pour le remboursement du GLP-1.</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valeurs de référence de l'HbA1c (mmol/mol et %) et quels seuils de cétonémie/cétonurie retient la SSED ? Quelle est la limitation actuelle de la Liste des spécialités (OFSP) pour les agonistes du GLP-1 et le sémaglutide (IMC, HbA1c, durée) ? Citer la recommandation suisse en vigueur (titre, année, URL) ; comparer la version la plus récente à celle du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D-009  ·  priorité Moyenne  ·  épidémiologie</w:t>
            </w:r>
          </w:p>
        </w:tc>
        <w:tc>
          <w:tcPr>
            <w:tcW w:w="11200" w:type="dxa"/>
            <w:shd w:val="clear" w:color="auto" w:fill="EBF5FB"/>
            <w:vAlign w:val="top"/>
          </w:tcPr>
          <w:p>
            <w:pPr>
              <w:spacing w:after="0"/>
            </w:pPr>
            <w:r>
              <w:rPr>
                <w:sz w:val="17"/>
                <w:szCs w:val="17"/>
              </w:rPr>
              <w:t xml:space="preserve">LOT 237 · SSP O7.15 · LOT_237_Appel_B_V5_Ultra_Pedagogique_Partie_2_DX.3_a_DX.5.html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P2 › DX.4 (FA, AOD) et DX.5 (asthme/BPCO) › point 2 ; P3 › DX.7 › fenêtre « insight » ; P4 › DX.8 › point 2 et fenêtre « Chiffres clés » ; A › Bloc 1 › point 2</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fréquences suisses de la non-adhésion dans la FA hors AVC, l'asthme, la schizophrénie et l'épilepsie non trouvées ; mortalité attribuable à la non-adhésion non chiffrée ; sexe non établi comme facteur (données OMS 2003 et mondiales).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Existe-t-il des données suisses (Obsan, OFS, cohortes CoLaus, SSHF, études d'assureurs Helsana/CSS) sur la fréquence de la non-adhésion aux AOD dans la fibrillation auriculaire, aux corticoïdes inhalés dans l'asthme, aux antipsychotiques dans la schizophrénie et aux antiépileptiques ? À défaut, quelles données européennes récentes ? Quelle mortalité attribuable à la non-adhésion est publiée pour l'Europe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D-010  ·  priorité Moyenne  ·  autorisation</w:t>
            </w:r>
          </w:p>
        </w:tc>
        <w:tc>
          <w:tcPr>
            <w:tcW w:w="11200" w:type="dxa"/>
            <w:shd w:val="clear" w:color="auto" w:fill="EBF5FB"/>
            <w:vAlign w:val="top"/>
          </w:tcPr>
          <w:p>
            <w:pPr>
              <w:spacing w:after="0"/>
            </w:pPr>
            <w:r>
              <w:rPr>
                <w:sz w:val="17"/>
                <w:szCs w:val="17"/>
              </w:rPr>
              <w:t xml:space="preserve">LOT 237 · SSP O7.15 · LOT_237_Appel_A_V5_Ultra_Pedagogique_Plan_et_Liste.html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11.D (recherche) › piège « Zilébésiran / polypilule » ; P1 › DX.1 › fenêtre « Zilébésiran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zilébésiran = résultat de phase 1, numéro NCT non trouvé, autorisation suisse non vérifiée ; aucune polypilule cardiovasculaire dans la Liste des spécialités.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Une polypilule cardiovasculaire (p. ex. Trinomia® : aspirine, ramipril, atorvastatine) est-elle autorisée par Swissmedic ou listée dans la LS ? Quels sont le statut et les numéros NCT des essais de phase 2/3 du zilébésiran (KARDIA-1, -2, -3) en 2026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D-012  ·  priorité Moyenne  ·  dose</w:t>
            </w:r>
          </w:p>
        </w:tc>
        <w:tc>
          <w:tcPr>
            <w:tcW w:w="11200" w:type="dxa"/>
            <w:shd w:val="clear" w:color="auto" w:fill="EBF5FB"/>
            <w:vAlign w:val="top"/>
          </w:tcPr>
          <w:p>
            <w:pPr>
              <w:spacing w:after="0"/>
            </w:pPr>
            <w:r>
              <w:rPr>
                <w:sz w:val="17"/>
                <w:szCs w:val="17"/>
              </w:rPr>
              <w:t xml:space="preserve">LOT 237 · SSP O7.15 · LOT_237_Appel_A_V5_Ultra_Pedagogique_Plan_et_Liste.html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11.B › tableau des formes simplifiées (colonne « durée » / « Donnée non trouvée ») : Exforge HCT®, Ozempic®, Leqvio®, Biktarvy®</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donne les posologies FI mais écrit « donnée non trouvée » pour la durée de traitement (sauf tacrolimus) et pour l'effet de Leqvio® sur la morbi-mortalité.</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Pour Exforge HCT®, Ozempic®, Leqvio® et Biktarvy®, la FI suisse fixe-t-elle une durée de traitement ou une réévaluation, et quelles données grossesse/allaitement donne-t-elle ? Le résultat de l'essai ORION-4 ou VICTORION-2-PREVENT sur la morbi-mortalité de l'inclisiran est-il publié et intégré à la FI ? Donner les doses, voies, adaptations (rénale, hépatique, pédiatrique, grossesse) selon l'information professionnelle suisse (AIPS, swissmedicinfo.ch), avec la date de la FI.</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D-016  ·  priorité Moyenne  ·  seuil</w:t>
            </w:r>
          </w:p>
        </w:tc>
        <w:tc>
          <w:tcPr>
            <w:tcW w:w="11200" w:type="dxa"/>
            <w:shd w:val="clear" w:color="auto" w:fill="EBF5FB"/>
            <w:vAlign w:val="top"/>
          </w:tcPr>
          <w:p>
            <w:pPr>
              <w:spacing w:after="0"/>
            </w:pPr>
            <w:r>
              <w:rPr>
                <w:sz w:val="17"/>
                <w:szCs w:val="17"/>
              </w:rPr>
              <w:t xml:space="preserve">LOT 237 · SSP O7.15 · LOT_237_Appel_B_V5_Ultra_Pedagogique_Partie_4_DX.8_a_DX.10.html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DX.8 › point 6 › tableau des mimes « cause aiguë qui mime la rupture » ; et LOT_239 Appel A (exemples d'aptitude : crise provoquée)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 une crise provoquée n'est pas une crise non provoquée » [S402] ; valeurs seuils (glycémie, natrémie, calcémie…) non trouvées. L'audit du LOT 239 Appel A demande une définition sourcée de la crise provoquée.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définition et quels seuils biologiques (glycémie, natrémie, calcémie, magnésémie, urémie, délai après AVC ou traumatisme) la Commission ILAE retient-elle pour la crise symptomatique aiguë (provoquée) ? Quelle est la version la plus récente (Beghi 2010 ou ultérieure)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D-018  ·  priorité Moyenne  ·  autre</w:t>
            </w:r>
          </w:p>
        </w:tc>
        <w:tc>
          <w:tcPr>
            <w:tcW w:w="11200" w:type="dxa"/>
            <w:shd w:val="clear" w:color="auto" w:fill="EBF5FB"/>
            <w:vAlign w:val="top"/>
          </w:tcPr>
          <w:p>
            <w:pPr>
              <w:spacing w:after="0"/>
            </w:pPr>
            <w:r>
              <w:rPr>
                <w:sz w:val="17"/>
                <w:szCs w:val="17"/>
              </w:rPr>
              <w:t xml:space="preserve">LOT 237 · SSP O7.15 · LOT_237_Appel_B_V5_Ultra_Pedagogique_Partie_3_DX.6_a_DX.7.html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DX.6 › fenêtre « Polymedication-Check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revue de médication en pharmacie dès 4 médicaments depuis plus de 3 mois, remboursée ; durée de l'entretien non trouvée.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sont les conditions actuelles (2026) du Polymedication-Check (pharmaSuisse, convention tarifaire LOA/RBP) : critères d'accès, durée, rémunération, fréquence admise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D-019  ·  priorité Moyenne  ·  recommandation</w:t>
            </w:r>
          </w:p>
        </w:tc>
        <w:tc>
          <w:tcPr>
            <w:tcW w:w="11200" w:type="dxa"/>
            <w:shd w:val="clear" w:color="auto" w:fill="EBF5FB"/>
            <w:vAlign w:val="top"/>
          </w:tcPr>
          <w:p>
            <w:pPr>
              <w:spacing w:after="0"/>
            </w:pPr>
            <w:r>
              <w:rPr>
                <w:sz w:val="17"/>
                <w:szCs w:val="17"/>
              </w:rPr>
              <w:t xml:space="preserve">LOT 237 · SSP O7.15 · LOT_237_Appel_B_V5_Ultra_Pedagogique_Partie_3_DX.6_a_DX.7.html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DX.6 › fenêtres « Mini Mental Status Examination (MMSE) » et MacCAT-T ; LOT_238 P4 › DX.9 › fenêtre « Décision pour un patient incapable de discernement » et tableau MMSE ; LOT_241 P4 › DX.9 › fenêtre « Capacité de discernement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les directives ASSM sur la capacité de discernement (2019) : le MMSE ne mesure pas la capacité ; seuils du MMSE et du MacCAT-T non trouvés ; le LOT 238 écrit que ces directives n'ont pas été lues ; le LOT 241 n'en a pas la base légale précise.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disent les directives médico-éthiques de l'ASSM « Évaluation de la capacité de discernement dans la pratique médicale » (année, URL, version en vigueur) sur la méthode, les instruments (MMSE, MacCAT-T, U-Doc) et leurs seuils ? Quelle base légale (CC art. 16, art. 377 ss) s'applique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D-020  ·  priorité Moyenne  ·  conduite</w:t>
            </w:r>
          </w:p>
        </w:tc>
        <w:tc>
          <w:tcPr>
            <w:tcW w:w="11200" w:type="dxa"/>
            <w:shd w:val="clear" w:color="auto" w:fill="EBF5FB"/>
            <w:vAlign w:val="top"/>
          </w:tcPr>
          <w:p>
            <w:pPr>
              <w:spacing w:after="0"/>
            </w:pPr>
            <w:r>
              <w:rPr>
                <w:sz w:val="17"/>
                <w:szCs w:val="17"/>
              </w:rPr>
              <w:t xml:space="preserve">LOT 237 · SSP O7.15 · LOT_237_Appel_B_V5_Ultra_Pedagogique_Partie_3_DX.6_a_DX.7.html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DX.7 › fenêtres « signes extrapyramidaux », « Akathisie », « Hypotension orthostatique » ; tableau « Poids, glycémie » ; surveillance J3/J7/M1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technique d'examen des signes extrapyramidaux, définition formelle de l'akathisie, seuil d'hypotension orthostatique, valeurs et calendrier de surveillance métabolique sous antipsychotiques non trouvés.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calendrier de surveillance métabolique et cardiaque (poids, tour de taille, glycémie/HbA1c, lipides, prolactine, ECG) sous antipsychotique recommandent la Société suisse de psychiatrie et psychothérapie (SSPP) ou l'EPA ? Quel seuil définit l'hypotension orthostatique (consensus européen ESC/EFAS) ? Quelles échelles (Barnes, Simpson-Angus, AIMS) servent à dépister akathisie et signes extrapyramidaux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D-021  ·  priorité Moyenne  ·  autre</w:t>
            </w:r>
          </w:p>
        </w:tc>
        <w:tc>
          <w:tcPr>
            <w:tcW w:w="11200" w:type="dxa"/>
            <w:shd w:val="clear" w:color="auto" w:fill="EBF5FB"/>
            <w:vAlign w:val="top"/>
          </w:tcPr>
          <w:p>
            <w:pPr>
              <w:spacing w:after="0"/>
            </w:pPr>
            <w:r>
              <w:rPr>
                <w:sz w:val="17"/>
                <w:szCs w:val="17"/>
              </w:rPr>
              <w:t xml:space="preserve">LOT 237 · SSP O7.15 · LOT_237_Appel_A_V5_Ultra_Pedagogique_Plan_et_Liste.html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fenêtres « anurie », « idées délirantes et hallucinations », « états comateux » ; P3 › DX.6 › fenêtre « chute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seuil chiffré de l'anurie, définition clinique du coma, définitions formelles des idées délirantes, des hallucinations et de la chute non trouvés.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définitions sourcées (CIM-11 OMS, KDIGO, ProFaNE/OMS pour la chute, échelle de Glasgow) donner pour : anurie (seuil en mL/24 h), oligurie, coma, idée délirante, hallucination et chute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D-023  ·  priorité Critique  ·  dose</w:t>
            </w:r>
          </w:p>
        </w:tc>
        <w:tc>
          <w:tcPr>
            <w:tcW w:w="11200" w:type="dxa"/>
            <w:shd w:val="clear" w:color="auto" w:fill="FADBD8"/>
            <w:vAlign w:val="top"/>
          </w:tcPr>
          <w:p>
            <w:pPr>
              <w:spacing w:after="0"/>
            </w:pPr>
            <w:r>
              <w:rPr>
                <w:sz w:val="17"/>
                <w:szCs w:val="17"/>
              </w:rPr>
              <w:t xml:space="preserve">LOT 238 · SSP O7.16 · LOT_238_Appel_B_V5_Ultra_Pedagogique_Partie_1_DX.1_a_DX.2.html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DX.2 › point 11.B › antagonisation de l'AVK (vitamine K) ; A › Bloc 1 › piège PAUSE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FI adulte de Konakion® MM introuvable (seule la forme pédiatrique lue) ; doses de vitamine K tirées des FI Marcoumar®/Sintrom® ; dose adulte non trouvée.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doses de Konakion® MM (phytoménadione) chez l'adulte indique la FI suisse, par voie orale et IV, pour un INR élevé sans saignement, avec saignement mineur et avec saignement majeur (associé au concentré de complexe prothrombinique) ? Quel délai d'effet et quel contrôle de l'INR ? Donner les doses, voies, adaptations (rénale, hépatique, pédiatrique, grossesse) selon l'information professionnelle suisse (AIPS, swissmedicinfo.ch), avec la date de la FI.</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D-024  ·  priorité Critique  ·  conduite</w:t>
            </w:r>
          </w:p>
        </w:tc>
        <w:tc>
          <w:tcPr>
            <w:tcW w:w="11200" w:type="dxa"/>
            <w:shd w:val="clear" w:color="auto" w:fill="FADBD8"/>
            <w:vAlign w:val="top"/>
          </w:tcPr>
          <w:p>
            <w:pPr>
              <w:spacing w:after="0"/>
            </w:pPr>
            <w:r>
              <w:rPr>
                <w:sz w:val="17"/>
                <w:szCs w:val="17"/>
              </w:rPr>
              <w:t xml:space="preserve">LOT 238 · SSP O7.16 · LOT_238_Appel_B_V5_Ultra_Pedagogique_Partie_1_DX.1_a_DX.2.html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DX.1 et DX.2 › point 11.B › tableau des délais d'arrêt (AOD, HBPM, relais)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l'EHRA (figure 14 non lue) et l'ESC 2022 (tableaux non lus) ; délai entre dernière dose curative d'HBPM et chirurgie sans anesthésie neuraxiale non trouvé ; l'audit cite pour Clexane® ≥ 24 h avant un geste neuraxial.</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délai sépare la dernière dose curative (et prophylactique) d'énoxaparine (Clexane®) d'une chirurgie sans anesthésie neuraxiale selon la FI suisse, l'ESAIC 2022 (anticoagulation et anesthésie régionale) et l'ESC 2022 ? Quels délais d'arrêt des AOD selon le risque hémorragique et la clairance, d'après le guide EHRA 2021 (figure 14) ? Citer la recommandation suisse en vigueur (titre, année, URL) ; comparer la version la plus récente à celle du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D-028  ·  priorité Critique  ·  conduite</w:t>
            </w:r>
          </w:p>
        </w:tc>
        <w:tc>
          <w:tcPr>
            <w:tcW w:w="11200" w:type="dxa"/>
            <w:shd w:val="clear" w:color="auto" w:fill="FADBD8"/>
            <w:vAlign w:val="top"/>
          </w:tcPr>
          <w:p>
            <w:pPr>
              <w:spacing w:after="0"/>
            </w:pPr>
            <w:r>
              <w:rPr>
                <w:sz w:val="17"/>
                <w:szCs w:val="17"/>
              </w:rPr>
              <w:t xml:space="preserve">LOT 238 · SSP O7.16 · LOT_238_Appel_B_V5_Ultra_Pedagogique_Partie_4_DX.8_a_DX.10.html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DX.10 › points 8–11 › tableau « Critères cliniques d'anaphylaxie », fenêtre « ② Autres mesures », calendrier « Après la réaction », « Semaines suivantes », fenêtre « Plan pour la prochaine anesthésie », fenêtre « tests cutanés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l'EAACI 2021 en résumé : critères cliniques non transcrits ; durée d'observation, volumes de remplissage, spécialités et doses des antihistaminiques, corticoïdes et salbutamol non trouvés ; délai de consultation allergologique et textes suisses de déclaration non trouvés. L'adrénaline IM est documentée (FI).</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critères cliniques d'anaphylaxie, quelles doses d'adrénaline IV titrée en périopératoire (bolus et perfusion, FI suisse et EAACI/SSAPM), quelle conduite pendant la grossesse, quelle durée d'observation après la réaction, quels volumes de remplissage (cristalloïdes, mL/kg) et quelles doses d'antihistaminique, de corticoïde et de salbutamol recommandent l'EAACI 2021 (ou sa mise à jour) et la SSAI (Société suisse d'allergologie et d'immunologie) ? Quel délai pour le bilan allergologique (4 à 6 semaines ?), quelles concentrations des tests cutanés (ENDA/EAACI) et quelle obligation de déclaration à Swissmedic (pharmacovigilance ElViS) s'appliquent ? Donner les doses, voies, adaptations (rénale, hépatique, pédiatrique, grossesse) selon l'information professionnelle suisse (AIPS, swissmedicinfo.ch), avec la date de la FI.</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D-022  ·  priorité Haute  ·  recommandation</w:t>
            </w:r>
          </w:p>
        </w:tc>
        <w:tc>
          <w:tcPr>
            <w:tcW w:w="11200" w:type="dxa"/>
            <w:shd w:val="clear" w:color="auto" w:fill="FDEBD0"/>
            <w:vAlign w:val="top"/>
          </w:tcPr>
          <w:p>
            <w:pPr>
              <w:spacing w:after="0"/>
            </w:pPr>
            <w:r>
              <w:rPr>
                <w:sz w:val="17"/>
                <w:szCs w:val="17"/>
              </w:rPr>
              <w:t xml:space="preserve">LOT 238 · SSP O7.16 · LOT_238_Appel_A_V5_Ultra_Pedagogique_Plan_et_Liste.html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9 › tableau « interprétation des examens » (ECG, hs-cTn, BNP/NT-proBNP, ETT, tests plaquettaires, spirométrie, polysomnographie) ; P2 › DX.4 › biomarqueurs ; LOT_240 P3 › DX.7 › tableau BNP/NT-proBNP et ECG</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classes ESC 2022 obtenues par transcription secondaire [S9] (tableaux originaux non lus, HTTP 403) ; NT-proBNP ≥ 300 pg/mL et BNP ≥ 92 pg/mL attribués aux CCS canadiens, non à l'ESC ; hs-cTnT &gt; 14 ng/L ; classe de l'ECG préopératoire de routine non précisée ; LOT 240 : aucun seuil de BNP trouvé.</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Dans la guideline ESC 2022 sur l'évaluation cardiovasculaire avant chirurgie non cardiaque, quels sont le texte original, la classe et le niveau de preuve pour : hs-cTn avant et après chirurgie, BNP/NT-proBNP (avec ou sans seuil chiffré), ECG préopératoire (y compris de routine chez le patient à bas risque), échocardiographie, imagerie de stress ? Une mise à jour ESC postérieure à 2022 existe-t-elle ? La SSAPM (Société suisse d'anesthésiologie et de médecine périopératoire) a-t-elle une position ? Citer la recommandation suisse en vigueur (titre, année, URL) ; comparer la version la plus récente à celle du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D-025  ·  priorité Haute  ·  conduite</w:t>
            </w:r>
          </w:p>
        </w:tc>
        <w:tc>
          <w:tcPr>
            <w:tcW w:w="11200" w:type="dxa"/>
            <w:shd w:val="clear" w:color="auto" w:fill="FDEBD0"/>
            <w:vAlign w:val="top"/>
          </w:tcPr>
          <w:p>
            <w:pPr>
              <w:spacing w:after="0"/>
            </w:pPr>
            <w:r>
              <w:rPr>
                <w:sz w:val="17"/>
                <w:szCs w:val="17"/>
              </w:rPr>
              <w:t xml:space="preserve">LOT 238 · SSP O7.16 · LOT_238_Appel_B_V5_Ultra_Pedagogique_Partie_2_DX.3_a_DX.5.html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DX.3 › point 11.B › tableau « Reprise du P2Y12 » ; point 9.a ; fenêtre « alternatives (grossesse, enfant)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date de reprise du P2Y12 après chirurgie non trouvée ; aucun test de fonction plaquettaire retenu ; gestion périopératoire de la DAPT chez la femme enceinte et chez l'enfant non trouvée.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délai de reprise du clopidogrel, du prasugrel et du ticagrélor après chirurgie (selon le risque hémorragique) recommandent l'ESC 2022 (chirurgie non cardiaque) et l'ESC 2023 (syndromes coronariens aigus) ? Les tests de fonction plaquettaire ont-ils une place (classe) pour décider du moment de l'opération ? Citer la recommandation suisse en vigueur (titre, année, URL) ; comparer la version la plus récente à celle du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D-026  ·  priorité Haute  ·  seuil</w:t>
            </w:r>
          </w:p>
        </w:tc>
        <w:tc>
          <w:tcPr>
            <w:tcW w:w="11200" w:type="dxa"/>
            <w:shd w:val="clear" w:color="auto" w:fill="FDEBD0"/>
            <w:vAlign w:val="top"/>
          </w:tcPr>
          <w:p>
            <w:pPr>
              <w:spacing w:after="0"/>
            </w:pPr>
            <w:r>
              <w:rPr>
                <w:sz w:val="17"/>
                <w:szCs w:val="17"/>
              </w:rPr>
              <w:t xml:space="preserve">LOT 238 · SSP O7.16 · LOT_238_Appel_B_V5_Ultra_Pedagogique_Partie_4_DX.8_a_DX.10.html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DX.8 › point 11.B › fenêtre « ③ Érythropoïétine, acide tranexamique, transfusion » ; A › Bloc 1 (smarter medicine n° 2)</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et l'audit citent Smarter Medicine 2018 (médecine interne hospitalière) : seuil transfusionnel « &gt; 70 g/L », à confirmer sur le PDF.</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est le texte exact de la recommandation Smarter Medicine 2018 (médecine interne hospitalière) sur la transfusion (seuil d'hémoglobine, exceptions coronariennes) ? Une version plus récente existe-t-elle ? Quel seuil retiennent les recommandations européennes 2023 (ESAIC, saignement périopératoire) et les directives suisses de gestion du sang du patient (PBM)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D-027  ·  priorité Haute  ·  conduite</w:t>
            </w:r>
          </w:p>
        </w:tc>
        <w:tc>
          <w:tcPr>
            <w:tcW w:w="11200" w:type="dxa"/>
            <w:shd w:val="clear" w:color="auto" w:fill="FDEBD0"/>
            <w:vAlign w:val="top"/>
          </w:tcPr>
          <w:p>
            <w:pPr>
              <w:spacing w:after="0"/>
            </w:pPr>
            <w:r>
              <w:rPr>
                <w:sz w:val="17"/>
                <w:szCs w:val="17"/>
              </w:rPr>
              <w:t xml:space="preserve">LOT 238 · SSP O7.16 · LOT_238_Appel_B_V5_Ultra_Pedagogique_Partie_3_DX.6_a_DX.7.html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DX.6 › point 8 (STOP-Bang), point 9 (polysomnographie, IAH) et point 11.B–C (CPAP, surveillance postopératoire du SAOS)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seuils d'âge (&gt; 50 ans) et de tour de cou (&gt; 40 cm) du STOP-Bang non sourcés ; recommandation ESAIC sur la CPAP périopératoire non trouvée ; surveillance postopératoire spécifique (CPAP, monitorage) non trouvée ; un panel international 2026 recommande l'assistance non invasive.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L'ESAIC ou une autre source européenne (ERS, SSAPM, Ligue pulmonaire suisse) recommande-t-elle la CPAP en périopératoire chez le patient avec SAOS connu ou suspecté, avec quelle force de recommandation ? Quels seuils du STOP-Bang (âge, tour de cou, IMC) et quel score orientent vers un SAOS modéré à sévère ? Quelle surveillance postopératoire (SpO₂ continue, durée) ? Citer la recommandation suisse en vigueur (titre, année, URL) ; comparer la version la plus récente à celle du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D-031  ·  priorité Haute  ·  dose</w:t>
            </w:r>
          </w:p>
        </w:tc>
        <w:tc>
          <w:tcPr>
            <w:tcW w:w="11200" w:type="dxa"/>
            <w:shd w:val="clear" w:color="auto" w:fill="FDEBD0"/>
            <w:vAlign w:val="top"/>
          </w:tcPr>
          <w:p>
            <w:pPr>
              <w:spacing w:after="0"/>
            </w:pPr>
            <w:r>
              <w:rPr>
                <w:sz w:val="17"/>
                <w:szCs w:val="17"/>
              </w:rPr>
              <w:t xml:space="preserve">LOT 238 · SSP O7.16 · LOT_238_Appel_A_V5_Ultra_Pedagogique_Plan_et_Liste.html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11.B › fenêtre « antibioprophylaxie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donne le moment (0–60 min avant l'incision), la réadministration et la durée ≤ 24 h ; molécule et dose non trouvées.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molécule et quelle dose d'antibioprophylaxie chirurgicale (céfazoline, adaptation au poids &gt; 120 kg, alternative si allergie aux bêta-lactamines) recommande Swissnoso (version la plus récente) ? Différences avec l'ECDC/ESCMID ? Citer la recommandation suisse en vigueur (titre, année, URL) ; comparer la version la plus récente à celle du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D-033  ·  priorité Haute  ·  conduite</w:t>
            </w:r>
          </w:p>
        </w:tc>
        <w:tc>
          <w:tcPr>
            <w:tcW w:w="11200" w:type="dxa"/>
            <w:shd w:val="clear" w:color="auto" w:fill="FDEBD0"/>
            <w:vAlign w:val="top"/>
          </w:tcPr>
          <w:p>
            <w:pPr>
              <w:spacing w:after="0"/>
            </w:pPr>
            <w:r>
              <w:rPr>
                <w:sz w:val="17"/>
                <w:szCs w:val="17"/>
              </w:rPr>
              <w:t xml:space="preserve">LOT 238 · SSP O7.16 · LOT_238_Appel_B_V5_Ultra_Pedagogique_Partie_2_DX.3_a_DX.5.html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DX.4 › point 11.B › tableau « Médicaments cardiovasculaires périopératoires » (colonne doses/délais) ; fenêtre DFGe &lt; 30</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résume l'ESC 2022 [S7] : poursuivre antihypertenseurs, statines, traitement de l'insuffisance cardiaque ; amiodarone préventive ; colonne posologie « donnée non trouvée » ; interprétation du BNP et de la troponine en insuffisance rénale non trouvée.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Selon l'ESC 2022 (texte original), quelles conduites précises : arrêt des IEC/ARA la veille ou non, bêtabloquants (ne pas initier), diurétiques, iSGLT2 (arrêt 3 jours avant), statines, amiodarone préventive (dose et schéma) ? Comment interpréter BNP et hs-cTn si DFGe &lt; 30 mL/min/1,73 m² ? Donner les doses, voies, adaptations (rénale, hépatique, pédiatrique, grossesse) selon l'information professionnelle suisse (AIPS, swissmedicinfo.ch), avec la date de la FI.</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D-034  ·  priorité Haute  ·  seuil</w:t>
            </w:r>
          </w:p>
        </w:tc>
        <w:tc>
          <w:tcPr>
            <w:tcW w:w="11200" w:type="dxa"/>
            <w:shd w:val="clear" w:color="auto" w:fill="FDEBD0"/>
            <w:vAlign w:val="top"/>
          </w:tcPr>
          <w:p>
            <w:pPr>
              <w:spacing w:after="0"/>
            </w:pPr>
            <w:r>
              <w:rPr>
                <w:sz w:val="17"/>
                <w:szCs w:val="17"/>
              </w:rPr>
              <w:t xml:space="preserve">LOT 238 · SSP O7.16 · LOT_238_Appel_B_V5_Ultra_Pedagogique_Partie_3_DX.6_a_DX.7.html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DX.6 › fenêtres « hypertension artérielle » et « pression artérielle de repos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seuil de pression artérielle justifiant un report de l'intervention non trouvé.</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À partir de quelle pression artérielle (p. ex. ≥ 180/110 mmHg) l'ESC 2022 ou l'ESH 2023 recommandent-elles de reporter une chirurgie élective ? Quelle classe et quel niveau de preuve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D-037  ·  priorité Haute  ·  conduite</w:t>
            </w:r>
          </w:p>
        </w:tc>
        <w:tc>
          <w:tcPr>
            <w:tcW w:w="11200" w:type="dxa"/>
            <w:shd w:val="clear" w:color="auto" w:fill="FDEBD0"/>
            <w:vAlign w:val="top"/>
          </w:tcPr>
          <w:p>
            <w:pPr>
              <w:spacing w:after="0"/>
            </w:pPr>
            <w:r>
              <w:rPr>
                <w:sz w:val="17"/>
                <w:szCs w:val="17"/>
              </w:rPr>
              <w:t xml:space="preserve">LOT 238 · SSP O7.16 · LOT_238_Appel_B_V5_Ultra_Pedagogique_Partie_3_DX.6_a_DX.7.html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DX.7 › point 9 › tableaux DFGe, créatinine, ClCr ; fenêtre « stades KDIGO de l'IRA » ; fenêtre « hydratation intraveineuse préventive » ; points 9.c (grossesse, contraste) et 11.D</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l'ESUR [S24][S25] et KDIGO : valeurs de référence suisses du DFGe et de la créatinine, délais de contrôle et prise en charge par stade KDIGO, seuils de récupération et conduite en grossesse non trouvés ; correspondance des niveaux de preuve ESUR à confirmer.</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recommande la version la plus récente de l'ESUR (Contrast Media Safety Committee, version 10.0 ou ultérieure) pour la prévention de la PC-AKI : seuils de DFGe, protocole et volume d'hydratation (mL/kg/h), metformine, délais de contrôle de la créatinine, grossesse ? Quels délais de contrôle et quelle prise en charge par stade KDIGO 2012 (ou mise à jour KDIGO AKI 2025/2026) ? Quelle position de la Société suisse de néphrologie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D-038  ·  priorité Haute  ·  dose</w:t>
            </w:r>
          </w:p>
        </w:tc>
        <w:tc>
          <w:tcPr>
            <w:tcW w:w="11200" w:type="dxa"/>
            <w:shd w:val="clear" w:color="auto" w:fill="FDEBD0"/>
            <w:vAlign w:val="top"/>
          </w:tcPr>
          <w:p>
            <w:pPr>
              <w:spacing w:after="0"/>
            </w:pPr>
            <w:r>
              <w:rPr>
                <w:sz w:val="17"/>
                <w:szCs w:val="17"/>
              </w:rPr>
              <w:t xml:space="preserve">LOT 238 · SSP O7.16 · LOT_238_Appel_B_V5_Ultra_Pedagogique_Partie_4_DX.8_a_DX.10.html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DX.8 › point 9 (étalon-or carence martiale, B12/folates) ; point 11.B › fenêtres « ① Fer oral », « ③ Érythropoïétine » ; P3 › tableau « hémoglobine et ARISCAT » ; LOT_240 P3 › DX.7 › fenêtre « anémie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l'ESC [S8] (Hb, ferritine, saturation de la transferrine) ; seuils de ferritine/TSAT, délai du fer IV (3 à 8 semaines), adaptation rénale et hépatique du fer oral, spécialité/dose/durée de l'érythropoïétine et valeurs normales suisses de l'Hb non trouvés.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seuils de ferritine et de saturation de la transferrine définissent la carence martiale préopératoire selon le consensus international PBM 2017/2023 et l'ESAIC 2023 ? Quel délai minimal entre fer IV et chirurgie ? Quelles doses de fer IV (Ferinject®, Monofer®) et d'érythropoïétine (spécialités suisses) donne la FI suisse ? Quelles valeurs limites de l'hémoglobine (OMS, femme/homme) ? Donner les doses, voies, adaptations (rénale, hépatique, pédiatrique, grossesse) selon l'information professionnelle suisse (AIPS, swissmedicinfo.ch), avec la date de la FI.</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D-039  ·  priorité Haute  ·  dose</w:t>
            </w:r>
          </w:p>
        </w:tc>
        <w:tc>
          <w:tcPr>
            <w:tcW w:w="11200" w:type="dxa"/>
            <w:shd w:val="clear" w:color="auto" w:fill="FDEBD0"/>
            <w:vAlign w:val="top"/>
          </w:tcPr>
          <w:p>
            <w:pPr>
              <w:spacing w:after="0"/>
            </w:pPr>
            <w:r>
              <w:rPr>
                <w:sz w:val="17"/>
                <w:szCs w:val="17"/>
              </w:rPr>
              <w:t xml:space="preserve">LOT 238 · SSP O7.16 · LOT_238_Appel_B_V5_Ultra_Pedagogique_Partie_4_DX.8_a_DX.10.html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DX.9 › point 11.B › halopéridol dans le délire (durée), tableaux ECG/QTc et kaliémie, fenêtre « ② Benzodiazépines », tableau « Spécialités suisses » ; point 3 (causes)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l'ESAIC 2024 [S13] et la FI Haldol® [S60] : arrêt si QTc &gt; 500 ms, hypokaliémie à corriger ; durée exacte pour le délire, spécialités suisses des benzodiazépines et des autres antipsychotiques, valeurs de référence QTc/kaliémie et causes sous-jacentes non trouvées.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doses et quelle durée d'halopéridol (et alternatives : quétiapine, rispéridone) dans le délire postopératoire donnent la FI suisse et la recommandation ESAIC la plus récente ? Quelles spécialités suisses de benzodiazépines pour le sevrage alcoolique (lorazépam, oxazépam), avec doses ? Quelles valeurs limites du QTc (homme/femme) ? Donner les doses, voies, adaptations (rénale, hépatique, pédiatrique, grossesse) selon l'information professionnelle suisse (AIPS, swissmedicinfo.ch), avec la date de la FI.</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D-029  ·  priorité Moyenne  ·  seuil</w:t>
            </w:r>
          </w:p>
        </w:tc>
        <w:tc>
          <w:tcPr>
            <w:tcW w:w="11200" w:type="dxa"/>
            <w:shd w:val="clear" w:color="auto" w:fill="EBF5FB"/>
            <w:vAlign w:val="top"/>
          </w:tcPr>
          <w:p>
            <w:pPr>
              <w:spacing w:after="0"/>
            </w:pPr>
            <w:r>
              <w:rPr>
                <w:sz w:val="17"/>
                <w:szCs w:val="17"/>
              </w:rPr>
              <w:t xml:space="preserve">LOT 238 · SSP O7.16 · LOT_238_Appel_B_V5_Ultra_Pedagogique_Partie_4_DX.8_a_DX.10.html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DX.10 › tableau « Tryptase sérique : interprétation et calendrier » ; fenêtre « Alternative : l'enfant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applique la règle 1,2 × basale + 2 µg/L ; valeur de base de référence de la population et formule pédiatrique non trouvées.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valeur de référence de la tryptase basale (µg/L) et quel seuil d'hypertryptasémie (α-tryptasémie héréditaire, mastocytose) retiennent l'EAACI et le consensus international le plus récent ? Une formule adaptée à l'enfant est-elle validée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D-030  ·  priorité Moyenne  ·  autre</w:t>
            </w:r>
          </w:p>
        </w:tc>
        <w:tc>
          <w:tcPr>
            <w:tcW w:w="11200" w:type="dxa"/>
            <w:shd w:val="clear" w:color="auto" w:fill="EBF5FB"/>
            <w:vAlign w:val="top"/>
          </w:tcPr>
          <w:p>
            <w:pPr>
              <w:spacing w:after="0"/>
            </w:pPr>
            <w:r>
              <w:rPr>
                <w:sz w:val="17"/>
                <w:szCs w:val="17"/>
              </w:rPr>
              <w:t xml:space="preserve">LOT 238 · SSP O7.16 · LOT_238_Appel_A_V5_Ultra_Pedagogique_Plan_et_Liste.html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fenêtre « quatre délais chirurgicaux » (immédiat, urgent,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définitions horaires des délais chirurgicaux non trouvées.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définitions horaires de la chirurgie immédiate, urgente, à délai court et élective donne l'ESC 2022 (chirurgie non cardiaque) ou la classification NCEPOD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D-032  ·  priorité Moyenne  ·  recommandation</w:t>
            </w:r>
          </w:p>
        </w:tc>
        <w:tc>
          <w:tcPr>
            <w:tcW w:w="11200" w:type="dxa"/>
            <w:shd w:val="clear" w:color="auto" w:fill="EBF5FB"/>
            <w:vAlign w:val="top"/>
          </w:tcPr>
          <w:p>
            <w:pPr>
              <w:spacing w:after="0"/>
            </w:pPr>
            <w:r>
              <w:rPr>
                <w:sz w:val="17"/>
                <w:szCs w:val="17"/>
              </w:rPr>
              <w:t xml:space="preserve">LOT 238 · SSP O7.16 · LOT_238_Appel_A_V5_Ultra_Pedagogique_Plan_et_Liste.html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fenêtre « ligne directrice GRADE de l'ESA » ; fenêtre « grossesse, enfant, DFGe, contraste, pacemaker » ; P4 › tableau « Test de grossesse préopératoire systématique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lit seulement le résumé de la ligne directrice ESA (tests recommandés non trouvés) ; test de grossesse préopératoire, enfant, allergie au contraste et pacemaker non documentés.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examens préopératoires (biologie, ECG, radiographie thoracique, test de grossesse) recommande la ligne directrice ESAIC la plus récente sur l'évaluation préopératoire de l'adulte (2018 et mise à jour éventuelle), avec la force de recommandation ? Faut-il un test de grossesse systématique selon l'ESAIC ou la SSAPM ? Quelle conduite préopératoire spécifique pour la femme enceinte (bilan cardiaque, diabète, corticoïdes) et pour l'enfant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D-035  ·  priorité Moyenne  ·  seuil</w:t>
            </w:r>
          </w:p>
        </w:tc>
        <w:tc>
          <w:tcPr>
            <w:tcW w:w="11200" w:type="dxa"/>
            <w:shd w:val="clear" w:color="auto" w:fill="EBF5FB"/>
            <w:vAlign w:val="top"/>
          </w:tcPr>
          <w:p>
            <w:pPr>
              <w:spacing w:after="0"/>
            </w:pPr>
            <w:r>
              <w:rPr>
                <w:sz w:val="17"/>
                <w:szCs w:val="17"/>
              </w:rPr>
              <w:t xml:space="preserve">LOT 238 · SSP O7.16 · LOT_238_Appel_B_V5_Ultra_Pedagogique_Partie_3_DX.6_a_DX.7.html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DX.6 › fenêtre « bronchopneumopathie chronique obstructive », fenêtre « Interprétation : spirométrie post-bronchodilatateur », fenêtre « bronchodilatateurs de longue durée » (tableau des spécialités)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GOLD 2023 : seuils de VEMS des grades 1 à 4 non lus ; poursuite périopératoire des LABA/LAMA et spécialités suisses non vérifiées.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seuils de VEMS post-bronchodilatateur (en % de la théorique) définissent GOLD 1 à 4 dans la version GOLD la plus récente (2025/2026) ? Quelles spécialités suisses LABA + LAMA (FI) et quelle conduite périopératoire (poursuite le matin de l'intervention) recommandent la Ligue pulmonaire / Société suisse de pneumologie ou l'ERS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D-036  ·  priorité Moyenne  ·  épidémiologie</w:t>
            </w:r>
          </w:p>
        </w:tc>
        <w:tc>
          <w:tcPr>
            <w:tcW w:w="11200" w:type="dxa"/>
            <w:shd w:val="clear" w:color="auto" w:fill="EBF5FB"/>
            <w:vAlign w:val="top"/>
          </w:tcPr>
          <w:p>
            <w:pPr>
              <w:spacing w:after="0"/>
            </w:pPr>
            <w:r>
              <w:rPr>
                <w:sz w:val="17"/>
                <w:szCs w:val="17"/>
              </w:rPr>
              <w:t xml:space="preserve">LOT 238 · SSP O7.16 · LOT_238_Appel_B_V5_Ultra_Pedagogique_Partie_3_DX.6_a_DX.7.html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A › Bloc 1 › point 2 ; P1–P4 › point 2 de DX.1, DX.3, DX.4, DX.5, DX.6, DX.7, DX.8, DX.9, DX.10 (fréquences suisses préopératoires)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fréquences suisses des patients sous AOD, AVK, DAPT, iSGLT2, avec IRC, diabète, BPCO, anémie, délire postopératoire et allergie périopératoire non trouvées ; données ADS 2010, ARISCAT (Espagne) et ALICE (international).</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Existe-t-il des données suisses (registre ADS/A-QUA de la SSAPM, OFS statistique médicale des hôpitaux, Obsan) ou européennes récentes sur la prévalence en consultation préopératoire de : anticoagulants, DAPT, diabète, BPCO, insuffisance rénale chronique, anémie ; et sur l'incidence du délire postopératoire et des réactions d'hypersensibilité périopératoires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D-040  ·  priorité Haute  ·  autre</w:t>
            </w:r>
          </w:p>
        </w:tc>
        <w:tc>
          <w:tcPr>
            <w:tcW w:w="11200" w:type="dxa"/>
            <w:shd w:val="clear" w:color="auto" w:fill="FDEBD0"/>
            <w:vAlign w:val="top"/>
          </w:tcPr>
          <w:p>
            <w:pPr>
              <w:spacing w:after="0"/>
            </w:pPr>
            <w:r>
              <w:rPr>
                <w:sz w:val="17"/>
                <w:szCs w:val="17"/>
              </w:rPr>
              <w:t xml:space="preserve">LOT 239 · SSP O7.17 · LOT_239_Appel_B_V5_Ultra_Pedagogique_Partie_2_DX.3_a_DX.5.html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A › fenêtre « B- Honoraires » ; P1 › DX.1 › fenêtre « annonce à l'AI » ; P2 › DX.3 « honoraires du certificat détaillé », DX.4 et DX.5 point 11.D ; P3 › DX.6 fenêtre [S41] ; P4 › DX.10 point 11.D</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TARMED et l'ASSM 2020 (certificat simple inclus dans la consultation ; détaillé à charge de l'employeur, forfait SIM 100 CHF) et la position 605-CGIAM ; position TARDOC (dès le 1.1.2026) pour certificats et rapports non trouvée.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positions TARDOC (en vigueur depuis le 1.1.2026) ou forfaits ambulatoires s'appliquent au certificat d'incapacité de travail simple et détaillé, aux rapports à l'assureur-maladie, aux indemnités journalières, à l'AI (rapport du médecin traitant) et aux certificats de bonne santé ? Donner le code, le libellé, la valeur en points et la source (OFSP, OAAT, FMH, tarifsuisse).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D-042  ·  priorité Haute  ·  autre</w:t>
            </w:r>
          </w:p>
        </w:tc>
        <w:tc>
          <w:tcPr>
            <w:tcW w:w="11200" w:type="dxa"/>
            <w:shd w:val="clear" w:color="auto" w:fill="FDEBD0"/>
            <w:vAlign w:val="top"/>
          </w:tcPr>
          <w:p>
            <w:pPr>
              <w:spacing w:after="0"/>
            </w:pPr>
            <w:r>
              <w:rPr>
                <w:sz w:val="17"/>
                <w:szCs w:val="17"/>
              </w:rPr>
              <w:t xml:space="preserve">LOT 239 · SSP O7.17 · LOT_239_Appel_B_V5_Ultra_Pedagogique_Partie_2_DX.3_a_DX.5.html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A › fenêtre « Code des obligations (CO) et Loi sur le travail (LTr) » ; P2 › DX.3 › fenêtre « art. 324a CO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la durée du salaire après la 1re année dépend de la jurisprudence ; échelles bernoise, bâloise et zurichoise non lues.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durée de maintien du salaire (CO art. 324a) prévoient les échelles bernoise, bâloise et zurichoise selon les années de service ? Quels cantons appliquent chaque échelle (source officielle : SECO, tribunaux cantonaux)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D-043  ·  priorité Haute  ·  seuil</w:t>
            </w:r>
          </w:p>
        </w:tc>
        <w:tc>
          <w:tcPr>
            <w:tcW w:w="11200" w:type="dxa"/>
            <w:shd w:val="clear" w:color="auto" w:fill="FDEBD0"/>
            <w:vAlign w:val="top"/>
          </w:tcPr>
          <w:p>
            <w:pPr>
              <w:spacing w:after="0"/>
            </w:pPr>
            <w:r>
              <w:rPr>
                <w:sz w:val="17"/>
                <w:szCs w:val="17"/>
              </w:rPr>
              <w:t xml:space="preserve">LOT 239 · SSP O7.17 · LOT_239_Appel_B_V5_Ultra_Pedagogique_Partie_3_DX.6_a_DX.7.html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DX.7 › point 9 › aptitude à la conduite (alcool, EtG capillaire) ; A › exemples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 seuil EtG de 7 pg/mg (SGRM 2017) ; le consensus plus récent (5 pg/mg pour l'abstinence) n'a pas été lu.</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seuil d'éthylglucuronide capillaire (pg/mg) la SSML/SGRM retient-elle aujourd'hui pour l'abstinence et pour la consommation excessive en médecine du trafic ? Le seuil de 5 pg/mg (SoHT 2016/2019, révision 2022) est-il repris en Suisse ? Citer le texte qui le fixe.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D-044  ·  priorité Haute  ·  recommandation</w:t>
            </w:r>
          </w:p>
        </w:tc>
        <w:tc>
          <w:tcPr>
            <w:tcW w:w="11200" w:type="dxa"/>
            <w:shd w:val="clear" w:color="auto" w:fill="FDEBD0"/>
            <w:vAlign w:val="top"/>
          </w:tcPr>
          <w:p>
            <w:pPr>
              <w:spacing w:after="0"/>
            </w:pPr>
            <w:r>
              <w:rPr>
                <w:sz w:val="17"/>
                <w:szCs w:val="17"/>
              </w:rPr>
              <w:t xml:space="preserve">LOT 239 · SSP O7.17 · LOT_239_Appel_B_V5_Ultra_Pedagogique_Partie_3_DX.6_a_DX.7.html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DX.7 › fenêtre « somnolence diurne excessive » (OAC annexe 1 ch. 9) ; recommandations cardiovasculaires d'aptitude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recommandations suisses sur la somnolence (Société suisse de recherche sur le sommeil, 2017) et recommandations cardiologiques d'aptitude citées mais non lues.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dit la recommandation suisse sur la somnolence et l'aptitude à la conduite (SSRSMSC/SGSSC et SSML) : seuils de l'échelle d'Epworth, IAH, délai et preuve d'observance de la CPAP avant reprise, groupes 1 et 2 ? Quelle recommandation suisse sur les maladies cardiovasculaires et l'aptitude à la conduite (SSC/SSML) : délais après syndrome coronarien, syncope, défibrillateur ? Donner titre, année et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D-041  ·  priorité Moyenne  ·  recommandation</w:t>
            </w:r>
          </w:p>
        </w:tc>
        <w:tc>
          <w:tcPr>
            <w:tcW w:w="11200" w:type="dxa"/>
            <w:shd w:val="clear" w:color="auto" w:fill="EBF5FB"/>
            <w:vAlign w:val="top"/>
          </w:tcPr>
          <w:p>
            <w:pPr>
              <w:spacing w:after="0"/>
            </w:pPr>
            <w:r>
              <w:rPr>
                <w:sz w:val="17"/>
                <w:szCs w:val="17"/>
              </w:rPr>
              <w:t xml:space="preserve">LOT 239 · SSP O7.17 · LOT_239_Appel_A_V5_Ultra_Pedagogique_Plan_et_Liste.html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A › cadre déontologique ; P2 et P3 › citations du Code FMH (art. 7, 11, 14, 34, annexe 4) ; P3 › Sources (lacunes) ; LOT_241 A › fenêtre « répond » et P1 › Sources (art. 10)</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 Code de déontologie FMH indirectement (via ASSM/RMS) : fmh.ch refuse l'accès (HTTP 403) ; art. 10 (information) non lu dans le LOT 241.</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est le texte intégral en vigueur (version, date) du Code de déontologie de la FMH pour : art. 7 (traitement à distance / télémédecine), art. 10 (information du patient), art. 11, art. 14, art. 34 (certificats médicaux et rapports) et annexe 4 ? Donner l'URL officielle.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D-045  ·  priorité Moyenne  ·  recommandation</w:t>
            </w:r>
          </w:p>
        </w:tc>
        <w:tc>
          <w:tcPr>
            <w:tcW w:w="11200" w:type="dxa"/>
            <w:shd w:val="clear" w:color="auto" w:fill="EBF5FB"/>
            <w:vAlign w:val="top"/>
          </w:tcPr>
          <w:p>
            <w:pPr>
              <w:spacing w:after="0"/>
            </w:pPr>
            <w:r>
              <w:rPr>
                <w:sz w:val="17"/>
                <w:szCs w:val="17"/>
              </w:rPr>
              <w:t xml:space="preserve">LOT 239 · SSP O7.17 · LOT_239_Appel_B_V5_Ultra_Pedagogique_Partie_3_DX.6_a_DX.7.html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DX.7 › fenêtre « 6,3 % » (directives diabète SGED/SSML 2025) ; point 11.B (Ryzodeg®, antiépileptiques)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a lu les directives diabète et conduite en allemand seulement ; composition et posologie de Ryzodeg® non trouvées ; aucune posologie d'antiépileptique lue.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Existe-t-il une version française officielle des directives SGED/SSML 2025 « Diabète et aptitude à la conduite » ? Quelles catégories de risque hypoglycémique, quels délais après hypoglycémie sévère et quelles obligations d'autocontrôle fixent-elles ? Quelle composition (insuline dégludec + asparte) donne la FI suisse de Ryzodeg®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D-046  ·  priorité Moyenne  ·  épidémiologie</w:t>
            </w:r>
          </w:p>
        </w:tc>
        <w:tc>
          <w:tcPr>
            <w:tcW w:w="11200" w:type="dxa"/>
            <w:shd w:val="clear" w:color="auto" w:fill="EBF5FB"/>
            <w:vAlign w:val="top"/>
          </w:tcPr>
          <w:p>
            <w:pPr>
              <w:spacing w:after="0"/>
            </w:pPr>
            <w:r>
              <w:rPr>
                <w:sz w:val="17"/>
                <w:szCs w:val="17"/>
              </w:rPr>
              <w:t xml:space="preserve">LOT 239 · SSP O7.17 · LOT_239_Appel_B_V5_Ultra_Pedagogique_Partie_3_DX.6_a_DX.7.html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A › Bloc 1 › point 2 (fréquences) ; P1 › DX.1 et DX.2 › point 2 ; P2 › DX.3–DX.5 › point 2 ; P3 › DX.6 fenêtres « 15 000 expertises » et « nouvelles rentes », DX.7 fenêtre « 350 000 personnes de 70 ans et plus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fréquence des demandes rétroactives, de complaisance, des employeurs, des autorités, des incapacités partielles et des rapports aux assureurs non trouvée ; rapport SuisseMED@P 2024 introuvable ; chiffres OFS actuels des conducteurs âgés et comparaisons européennes non trouvés.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données suisses récentes (OFS, OFAS, SuisseMED@P rapport annuel 2024/2025, OFROU, Obsan, études SIM/FMH) chiffrent : les certificats d'incapacité de travail, les expertises AI (mono-, bi-, pluridisciplinaires), les nouvelles rentes AI pour motif psychique, les conducteurs de 70/75 ans et plus et les examens d'aptitude ? À défaut, quelles données européennes comparables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D-047  ·  priorité Moyenne  ·  épidémiologie</w:t>
            </w:r>
          </w:p>
        </w:tc>
        <w:tc>
          <w:tcPr>
            <w:tcW w:w="11200" w:type="dxa"/>
            <w:shd w:val="clear" w:color="auto" w:fill="EBF5FB"/>
            <w:vAlign w:val="top"/>
          </w:tcPr>
          <w:p>
            <w:pPr>
              <w:spacing w:after="0"/>
            </w:pPr>
            <w:r>
              <w:rPr>
                <w:sz w:val="17"/>
                <w:szCs w:val="17"/>
              </w:rPr>
              <w:t xml:space="preserve">LOT 239 · SSP O7.17 · LOT_239_Appel_B_V5_Ultra_Pedagogique_Partie_4_DX.8_a_DX.10.html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DX.8 › fenêtre « mort subite du nourrisson », point 6 (mort apparente), drapeaux rouges, point 2 (décès extraordinaires)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l'ASSM 2017/2021 : 6 à 8 morts subites du nourrisson par an ; liste suisse des signes sûrs de la mort, liste exhaustive des signes de mort non naturelle, diagnostic différentiel de la mort apparente et nombre de décès extraordinaires (OFS) non trouvés.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Combien de décès extraordinaires (et de morts subites du nourrisson) l'OFS ou les instituts de médecine légale suisses ont-ils recensés la dernière année disponible ? Quelle liste suisse (ASSM, SSML, législation cantonale) définit les signes sûrs de la mort et les indices de mort non naturelle ? Quelles causes de mort apparente (hypothermie, intoxication) imposent la réanimation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D-048  ·  priorité Moyenne  ·  seuil</w:t>
            </w:r>
          </w:p>
        </w:tc>
        <w:tc>
          <w:tcPr>
            <w:tcW w:w="11200" w:type="dxa"/>
            <w:shd w:val="clear" w:color="auto" w:fill="EBF5FB"/>
            <w:vAlign w:val="top"/>
          </w:tcPr>
          <w:p>
            <w:pPr>
              <w:spacing w:after="0"/>
            </w:pPr>
            <w:r>
              <w:rPr>
                <w:sz w:val="17"/>
                <w:szCs w:val="17"/>
              </w:rPr>
              <w:t xml:space="preserve">LOT 239 · SSP O7.17 · LOT_239_Appel_B_V5_Ultra_Pedagogique_Partie_4_DX.8_a_DX.10.html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DX.8 › point 9 › estimation de l'intervalle post-mortem (nomogramme de Henssge)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tire les formules et tolérances (± 2,8 h, ± 3,2 h, ± 4,5 h) de Zirn 2026 ; Henssge et Madea 2004 (texte original) non lu.</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Le texte original de Henssge (nomogramme, 1988) ou de Henssge et Madea 2004 donne-t-il les mêmes tolérances (± 2,8 h, ± 3,2 h, ± 4,5 h) et les mêmes facteurs correctifs ? Citer la référence exacte.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D-049  ·  priorité Moyenne  ·  autre</w:t>
            </w:r>
          </w:p>
        </w:tc>
        <w:tc>
          <w:tcPr>
            <w:tcW w:w="11200" w:type="dxa"/>
            <w:shd w:val="clear" w:color="auto" w:fill="EBF5FB"/>
            <w:vAlign w:val="top"/>
          </w:tcPr>
          <w:p>
            <w:pPr>
              <w:spacing w:after="0"/>
            </w:pPr>
            <w:r>
              <w:rPr>
                <w:sz w:val="17"/>
                <w:szCs w:val="17"/>
              </w:rPr>
              <w:t xml:space="preserve">LOT 239 · SSP O7.17 · LOT_239_Appel_B_V5_Ultra_Pedagogique_Partie_2_DX.3_a_DX.5.html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DX.3 › point 9 › évaluation de la capacité fonctionnelle (termes CIF)</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utilise des traductions CIF faites par l'auditeur (version française officielle non lue).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termes officiels la traduction française de la CIF (OMS) donne-t-elle pour : mobilité, motricité fine, fonctions sensorimotrices, cognition, fonctions psychiques (avec codes b/d)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D-050  ·  priorité Moyenne  ·  autre</w:t>
            </w:r>
          </w:p>
        </w:tc>
        <w:tc>
          <w:tcPr>
            <w:tcW w:w="11200" w:type="dxa"/>
            <w:shd w:val="clear" w:color="auto" w:fill="EBF5FB"/>
            <w:vAlign w:val="top"/>
          </w:tcPr>
          <w:p>
            <w:pPr>
              <w:spacing w:after="0"/>
            </w:pPr>
            <w:r>
              <w:rPr>
                <w:sz w:val="17"/>
                <w:szCs w:val="17"/>
              </w:rPr>
              <w:t xml:space="preserve">LOT 239 · SSP O7.17 · LOT_239_Appel_A_V5_Ultra_Pedagogique_Plan_et_Liste.html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A › exemples d'aptitude (hémianopsie, glaucome, lombosciatique) sans fenêtre propre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L'audit signale que les termes sémiologiques des exemples n'ont aucune définition sourcée.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Où trouver une définition sourcée, suisse ou européenne (CIM-11 OMS, EGS, OAC annexe 1), de l'hémianopsie, du glaucome et de la lombosciatique, et quelles exigences visuelles minimales (champ visuel) fixe l'OAC annexe 1 pour les groupes 1 et 2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D-051  ·  priorité Moyenne  ·  seuil</w:t>
            </w:r>
          </w:p>
        </w:tc>
        <w:tc>
          <w:tcPr>
            <w:tcW w:w="11200" w:type="dxa"/>
            <w:shd w:val="clear" w:color="auto" w:fill="EBF5FB"/>
            <w:vAlign w:val="top"/>
          </w:tcPr>
          <w:p>
            <w:pPr>
              <w:spacing w:after="0"/>
            </w:pPr>
            <w:r>
              <w:rPr>
                <w:sz w:val="17"/>
                <w:szCs w:val="17"/>
              </w:rPr>
              <w:t xml:space="preserve">LOT 239 · SSP O7.17 · LOT_239_Appel_B_V5_Ultra_Pedagogique_Partie_1_DX.1_a_DX.2.html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DX.1 › fenêtre « fièvre » ; LOT_240 P1 › DX.1 › fenêtre « fièvre » et tableau « Température » ; LOT_240 P4 › DX.9 › fenêtre « Fièvre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seuil chiffré de la fièvre et seuil thermique du critère de Centor non trouvés.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seuil de température (°C, site de mesure) définit la fièvre selon une source suisse ou européenne (SSI, pédiatrie suisse, ESCMID) ? Quel seuil retient le score de Centor/McIsaac (&gt; 38 °C) dans la recommandation suisse sur la pharyngite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D-052  ·  priorité Moyenne  ·  autre</w:t>
            </w:r>
          </w:p>
        </w:tc>
        <w:tc>
          <w:tcPr>
            <w:tcW w:w="11200" w:type="dxa"/>
            <w:shd w:val="clear" w:color="auto" w:fill="EBF5FB"/>
            <w:vAlign w:val="top"/>
          </w:tcPr>
          <w:p>
            <w:pPr>
              <w:spacing w:after="0"/>
            </w:pPr>
            <w:r>
              <w:rPr>
                <w:sz w:val="17"/>
                <w:szCs w:val="17"/>
              </w:rPr>
              <w:t xml:space="preserve">LOT 239 · SSP O7.17 · LOT_239_Appel_B_V5_Ultra_Pedagogique_Partie_4_DX.8_a_DX.10.html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DX.9 › fenêtre « Levée du secret » (P1 DX.2) ; fenêtre transversale « Sanctions » (CP 320) ; DX.10 › fenêtres « grossesse » (LTr 35a) et « LTr art. 36 et CO art. 329h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forme de la demande de levée du secret selon le canton, texte de CP 320 non relu, document médical exigé pour établir la grossesse et articulation LTr 36 al. 4 / CO 329h non trouvés.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est le texte en vigueur de CP art. 320 et 321 (peines) ? Comment s'articulent LTr art. 36 al. 3–4 et CO art. 329h (congé pour proche, enfant malade) selon le SECO ? Quel document médical l'employeur peut-il exiger pour la grossesse (OLT 1, ordonnance sur la protection de la maternité) ? Quelle procédure de levée du secret professionnel prévoit le canton de Neuchâtel (autorité, formulaire)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D-053  ·  priorité Moyenne  ·  autre</w:t>
            </w:r>
          </w:p>
        </w:tc>
        <w:tc>
          <w:tcPr>
            <w:tcW w:w="11200" w:type="dxa"/>
            <w:shd w:val="clear" w:color="auto" w:fill="EBF5FB"/>
            <w:vAlign w:val="top"/>
          </w:tcPr>
          <w:p>
            <w:pPr>
              <w:spacing w:after="0"/>
            </w:pPr>
            <w:r>
              <w:rPr>
                <w:sz w:val="17"/>
                <w:szCs w:val="17"/>
              </w:rPr>
              <w:t xml:space="preserve">LOT 239 · SSP O7.17 · LOT_239_Appel_B_V5_Ultra_Pedagogique_Partie_2_DX.3_a_DX.5.html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DX.3 › point 11 › chômeur apte au placement (brochure SIM)</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L'audit signale la règle « chômeur apte au placement ≥ 50 % » tirée de la brochure SIM 2022 abrogée ; la reprise dans la brochure SIM 2026 n'est pas vérifiée.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La brochure SIM 2026 (Swiss Insurance Medicine) sur l'évaluation de l'incapacité de travail reprend-elle la règle de l'aptitude au placement (≥ 50 %) pour le chômeur ? Quel texte (LACI art. 15, OACI) la fonde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D-054  ·  priorité Haute  ·  autorisation</w:t>
            </w:r>
          </w:p>
        </w:tc>
        <w:tc>
          <w:tcPr>
            <w:tcW w:w="11200" w:type="dxa"/>
            <w:shd w:val="clear" w:color="auto" w:fill="FDEBD0"/>
            <w:vAlign w:val="top"/>
          </w:tcPr>
          <w:p>
            <w:pPr>
              <w:spacing w:after="0"/>
            </w:pPr>
            <w:r>
              <w:rPr>
                <w:sz w:val="17"/>
                <w:szCs w:val="17"/>
              </w:rPr>
              <w:t xml:space="preserve">LOT 240 · SSP O7.18 · LOT_240_Appel_B_V5_Ultra_Pedagogique_Partie_4_DX.8_a_DX.10.html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DX.9 › point 11.B › « Fiche ③ : pivmécillinam » (mécanisme, contre-indications), fiche fosfomycine, fenêtre AINS, tableau des alternatives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mécanisme et contre-indications du pivmécillinam non trouvés ; statut Swissmedic non vérifié ; spécialités suisses des alternatives non vérifiées ; adaptation hépatique de la fosfomycine et posologie de l'AINS dans la cystite non trouvées.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Une information professionnelle suisse existe-t-elle pour le pivmécillinam (Selexid®) ? Si oui, quelles posologie, durée et contre-indications pour la cystite simple ? Sinon, quelles alternatives la recommandation SSI la plus récente (infections urinaires) retient-elle, avec spécialités suisses, doses (fosfomycine, nitrofurantoïne, triméthoprime) et adaptations ? Donner les doses, voies, adaptations (rénale, hépatique, pédiatrique, grossesse) selon l'information professionnelle suisse (AIPS, swissmedicinfo.ch), avec la date de la FI.</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D-055  ·  priorité Haute  ·  seuil</w:t>
            </w:r>
          </w:p>
        </w:tc>
        <w:tc>
          <w:tcPr>
            <w:tcW w:w="11200" w:type="dxa"/>
            <w:shd w:val="clear" w:color="auto" w:fill="FDEBD0"/>
            <w:vAlign w:val="top"/>
          </w:tcPr>
          <w:p>
            <w:pPr>
              <w:spacing w:after="0"/>
            </w:pPr>
            <w:r>
              <w:rPr>
                <w:sz w:val="17"/>
                <w:szCs w:val="17"/>
              </w:rPr>
              <w:t xml:space="preserve">LOT 240 · SSP O7.18 · LOT_240_Appel_B_V5_Ultra_Pedagogique_Partie_2_DX.3_a_DX.5.html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DX.3 › points 2, 7, 9 (PSA, IRM multiparamétrique, biopsie, toucher rectal) et 11.C (intervalle de répétition) ; A › tableau PSA</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s'appuie sur PCPT et sur le résumé de l'EAU 2024 (texte intégral : erreur 404) ; seuils de PSA, intervalles, valeur de référence, échelle de score IRM et sensibilité/spécificité de l'IRM et de la biopsie non trouvés ; SSMIG : limite 75 ans.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seuils de PSA (selon l'âge), quels intervalles de répétition et quelle place de l'IRM (PI-RADS ≥ 3) et des calculateurs de risque la guideline EAU 2025 (ou 2026) retient-elle pour le dépistage individuel et la décision de biopsie ? Quelles sensibilité et spécificité de l'IRM multiparamétrique ? Quelle position de la SSMIG / Smarter Medicine et de la Société suisse d'urologie ? Citer la recommandation suisse en vigueur (titre, année, URL) ; comparer la version la plus récente à celle du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D-056  ·  priorité Haute  ·  dose</w:t>
            </w:r>
          </w:p>
        </w:tc>
        <w:tc>
          <w:tcPr>
            <w:tcW w:w="11200" w:type="dxa"/>
            <w:shd w:val="clear" w:color="auto" w:fill="FDEBD0"/>
            <w:vAlign w:val="top"/>
          </w:tcPr>
          <w:p>
            <w:pPr>
              <w:spacing w:after="0"/>
            </w:pPr>
            <w:r>
              <w:rPr>
                <w:sz w:val="17"/>
                <w:szCs w:val="17"/>
              </w:rPr>
              <w:t xml:space="preserve">LOT 240 · SSP O7.18 · LOT_240_Appel_B_V5_Ultra_Pedagogique_Partie_1_DX.1_a_DX.2.html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DX.1 › point 9 (otoscopie) et point 11.B › tableau « 3e intention (OMA sans amélioration) » (amoxicilline)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donne la posologie FI d'Amoxicilline Spirig HC® ; l'agent, la durée et l'abstention fixés par une recommandation pédiatrique suisse (PIGS/SSI) n'ont pas été lus (guidelines.ch dynamique) ; critères otoscopiques non trouvés.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recommandation suisse (Pédiatrie suisse / PIGS / SSI) encadre l'otite moyenne aiguë : critères otoscopiques, âge et critères de l'abstention, dose d'amoxicilline (mg/kg/j, nombre de prises), durée selon l'âge, alternative en cas d'allergie ? Donner titre, année, URL ; comparer à la version citée. Donner les doses, voies, adaptations (rénale, hépatique, pédiatrique, grossesse) selon l'information professionnelle suisse (AIPS, swissmedicinfo.ch), avec la date de la FI.</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D-057  ·  priorité Haute  ·  conduite</w:t>
            </w:r>
          </w:p>
        </w:tc>
        <w:tc>
          <w:tcPr>
            <w:tcW w:w="11200" w:type="dxa"/>
            <w:shd w:val="clear" w:color="auto" w:fill="FDEBD0"/>
            <w:vAlign w:val="top"/>
          </w:tcPr>
          <w:p>
            <w:pPr>
              <w:spacing w:after="0"/>
            </w:pPr>
            <w:r>
              <w:rPr>
                <w:sz w:val="17"/>
                <w:szCs w:val="17"/>
              </w:rPr>
              <w:t xml:space="preserve">LOT 240 · SSP O7.18 · LOT_240_Appel_B_V5_Ultra_Pedagogique_Partie_1_DX.1_a_DX.2.html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DX.1 › point 9 › tableau « TAR streptococcique » et fenêtre « allergie croisée », fenêtre « Pénicilline V » (alternative)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 recommandation suisse [S66, S10] : TAR seulement si Centor 3–4 ; performance du TAR et alternative sûre en cas d'allergie aux pénicillines non trouvées.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sensibilité et spécificité du test antigénique rapide streptococcique cite la recommandation SSI la plus récente (pharyngite) ? Quelle alternative antibiotique (molécule, dose, durée) recommande-t-elle en cas d'allergie aux pénicillines (immédiate ou non) ? Donner les doses, voies, adaptations (rénale, hépatique, pédiatrique, grossesse) selon l'information professionnelle suisse (AIPS, swissmedicinfo.ch), avec la date de la FI.</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D-067  ·  priorité Haute  ·  conduite</w:t>
            </w:r>
          </w:p>
        </w:tc>
        <w:tc>
          <w:tcPr>
            <w:tcW w:w="11200" w:type="dxa"/>
            <w:shd w:val="clear" w:color="auto" w:fill="FDEBD0"/>
            <w:vAlign w:val="top"/>
          </w:tcPr>
          <w:p>
            <w:pPr>
              <w:spacing w:after="0"/>
            </w:pPr>
            <w:r>
              <w:rPr>
                <w:sz w:val="17"/>
                <w:szCs w:val="17"/>
              </w:rPr>
              <w:t xml:space="preserve">LOT 240 · SSP O7.18 · LOT_240_Appel_B_V5_Ultra_Pedagogique_Partie_4_DX.8_a_DX.10.html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DX.9 › points 2, 9 (culture, bandelette) et 9.c (grossesse, enfant)</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signale une divergence : l'EAU impose une culture pendant la grossesse alors que la SSGO déconseille le dépistage [S85, S11] ; conduites pédiatriques, Se/Sp de la bandelette et de la culture, prévalence suisse non trouvées.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recommandent aujourd'hui la SSGO (avis d'experts le plus récent) et l'EAU 2025 sur le dépistage et le traitement de la bactériurie asymptomatique pendant la grossesse ? Quelle conduite chez l'enfant (Pédiatrie suisse/PIGS) ? Quelles sensibilité et spécificité de la bandelette urinaire (leucocytes, nitrites) ? Présenter la divergence et la source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D-068  ·  priorité Haute  ·  recommandation</w:t>
            </w:r>
          </w:p>
        </w:tc>
        <w:tc>
          <w:tcPr>
            <w:tcW w:w="11200" w:type="dxa"/>
            <w:shd w:val="clear" w:color="auto" w:fill="FDEBD0"/>
            <w:vAlign w:val="top"/>
          </w:tcPr>
          <w:p>
            <w:pPr>
              <w:spacing w:after="0"/>
            </w:pPr>
            <w:r>
              <w:rPr>
                <w:sz w:val="17"/>
                <w:szCs w:val="17"/>
              </w:rPr>
              <w:t xml:space="preserve">LOT 240 · SSP O7.18 · LOT_240_Appel_B_V5_Ultra_Pedagogique_Partie_4_DX.8_a_DX.10.html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DX.10 › point 2, fenêtres « autres items du score de Genève », « diagnostics alternatifs », tableau « scintigraphie V/Q », point 9.c (enfant, grossesse)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l'ESC 2019 (texte original inaccessible, classes de seconde main), YEARS et ADJUST-PE ; définition du « cancer actif », Se/Sp de la scintigraphie, conduite pédiatrique et fréquence suisse non trouvées.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Une guideline ESC sur l'embolie pulmonaire plus récente que 2019 est-elle publiée ? Quelles classes et niveaux pour : D-dimères ajustés à l'âge, YEARS, stratégie pendant la grossesse (algorithme), scintigraphie V/Q ? Quelle définition du cancer actif et quelle conduite chez l'enfant ? Citer la recommandation suisse en vigueur (titre, année, URL) ; comparer la version la plus récente à celle du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D-058  ·  priorité Moyenne  ·  autre</w:t>
            </w:r>
          </w:p>
        </w:tc>
        <w:tc>
          <w:tcPr>
            <w:tcW w:w="11200" w:type="dxa"/>
            <w:shd w:val="clear" w:color="auto" w:fill="EBF5FB"/>
            <w:vAlign w:val="top"/>
          </w:tcPr>
          <w:p>
            <w:pPr>
              <w:spacing w:after="0"/>
            </w:pPr>
            <w:r>
              <w:rPr>
                <w:sz w:val="17"/>
                <w:szCs w:val="17"/>
              </w:rPr>
              <w:t xml:space="preserve">LOT 240 · SSP O7.18 · LOT_240_Appel_B_V5_Ultra_Pedagogique_Partie_1_DX.1_a_DX.2.html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A › fenêtre « Interprétation » (CT cérébral) ; P1 › DX.1 tableau « Imagerie de la rhinosinusite » et DX.2 fenêtres « radiographie, CT, IRM » et « Dose d'irradiation » ; P3 › DX.7 (grossesse) ; P4 › DX.8 tableau « CT du crâne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donne les niveaux de référence diagnostiques OFSP (CTDIvol, DLP) et 0,1 mSv pour la radiographie thoracique ; doses efficaces en mSv du CT des sinus, de l'imagerie lombaire et du CT cérébral non trouvées ; choix de la modalité chez la femme enceinte et l'enfant non trouvé.</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doses efficaces typiques (mSv) l'OFSP, l'EURATOM (Radiation Protection 180) ou la Commission européenne publient-elles pour : radiographie du thorax, radiographie lombaire, CT lombaire, CT thoracique, CT cérébral, CT des sinus, angio-CT thoracique ? Quelle conduite d'imagerie chez la femme enceinte et l'enfant recommande l'OFSP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D-059  ·  priorité Moyenne  ·  recommandation</w:t>
            </w:r>
          </w:p>
        </w:tc>
        <w:tc>
          <w:tcPr>
            <w:tcW w:w="11200" w:type="dxa"/>
            <w:shd w:val="clear" w:color="auto" w:fill="EBF5FB"/>
            <w:vAlign w:val="top"/>
          </w:tcPr>
          <w:p>
            <w:pPr>
              <w:spacing w:after="0"/>
            </w:pPr>
            <w:r>
              <w:rPr>
                <w:sz w:val="17"/>
                <w:szCs w:val="17"/>
              </w:rPr>
              <w:t xml:space="preserve">LOT 240 · SSP O7.18 · LOT_240_Appel_A_V5_Ultra_Pedagogique_Plan_et_Liste.html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A › fenêtre « pacemaker et IRM » ; P1 › DX.2 fenêtre « Allergie aux produits de contraste iodés et pacemaker » ; P4 › DX.8 fenêtre « IRM et pacemaker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l'ESC 2021 (stimulation cardiaque) via une source secondaire : IRM possible si système « MR-conditional » ; classe et conditions pour un système non compatible non lues.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recommande l'ESC 2021 (stimulation cardiaque et resynchronisation) pour l'IRM chez un porteur de stimulateur non compatible IRM (classe, niveau, conditions : délai depuis l'implantation, mode de stimulation, surveillance) ? Une position suisse (Société suisse de cardiologie, Swissmedic) existe-t-elle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D-060  ·  priorité Moyenne  ·  seuil</w:t>
            </w:r>
          </w:p>
        </w:tc>
        <w:tc>
          <w:tcPr>
            <w:tcW w:w="11200" w:type="dxa"/>
            <w:shd w:val="clear" w:color="auto" w:fill="EBF5FB"/>
            <w:vAlign w:val="top"/>
          </w:tcPr>
          <w:p>
            <w:pPr>
              <w:spacing w:after="0"/>
            </w:pPr>
            <w:r>
              <w:rPr>
                <w:sz w:val="17"/>
                <w:szCs w:val="17"/>
              </w:rPr>
              <w:t xml:space="preserve">LOT 240 · SSP O7.18 · LOT_240_Appel_A_V5_Ultra_Pedagogique_Plan_et_Liste.html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A › tableau « Interprétation » (CRP) ; P1 › tableau « CRP et FSC » ; P4 › DX.9 fenêtres « CRP », « PCT » et tableau « CRP et PCT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valeurs de référence suisses de la CRP et de la PCT non trouvées (fiche CHUV sans intervalle) ; « aucun seuil ne justifie à lui seul un antibiotique » [S4].</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valeurs de référence de la CRP et de la PCT publient les laboratoires universitaires suisses ou la SSMIG ? Quels seuils de PCT pour initier ou arrêter un antibiotique (infections respiratoires basses, sepsis) recommandent l'ESCMID ou la SSI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D-061  ·  priorité Moyenne  ·  conduite</w:t>
            </w:r>
          </w:p>
        </w:tc>
        <w:tc>
          <w:tcPr>
            <w:tcW w:w="11200" w:type="dxa"/>
            <w:shd w:val="clear" w:color="auto" w:fill="EBF5FB"/>
            <w:vAlign w:val="top"/>
          </w:tcPr>
          <w:p>
            <w:pPr>
              <w:spacing w:after="0"/>
            </w:pPr>
            <w:r>
              <w:rPr>
                <w:sz w:val="17"/>
                <w:szCs w:val="17"/>
              </w:rPr>
              <w:t xml:space="preserve">LOT 240 · SSP O7.18 · LOT_240_Appel_B_V5_Ultra_Pedagogique_Partie_1_DX.1_a_DX.2.html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DX.2 › point 11.B › tableau « 2e (opioïdes faibles) » ; fenêtres « traumatisme significatif », « spondylarthrite », « STarT Back » ; tableau des manœuvres ; point 11.C (fonction rénale sous AINS)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s'appuie sur NICE (Royaume-Uni) et sur des méta-analyses ; agent et dose de l'opioïde faible, critères de la spondylarthrite, seuils STarT Back, définition du traumatisme significatif, Se/Sp des manœuvres et calendrier de surveillance rénale sous AINS non trouvés.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recommandation suisse (SSMIG, Smarter Medicine, Société suisse de rhumatologie) ou européenne la plus récente encadre la lombalgie aiguë non spécifique : drapeaux rouges définis, outil STarT Back (seuils), place et dose des opioïdes faibles (tramadol, codéine), surveillance rénale sous AINS ? Quels critères ASAS de la lombalgie inflammatoire ? Donner les doses, voies, adaptations (rénale, hépatique, pédiatrique, grossesse) selon l'information professionnelle suisse (AIPS, swissmedicinfo.ch), avec la date de la FI.</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D-062  ·  priorité Moyenne  ·  conduite</w:t>
            </w:r>
          </w:p>
        </w:tc>
        <w:tc>
          <w:tcPr>
            <w:tcW w:w="11200" w:type="dxa"/>
            <w:shd w:val="clear" w:color="auto" w:fill="EBF5FB"/>
            <w:vAlign w:val="top"/>
          </w:tcPr>
          <w:p>
            <w:pPr>
              <w:spacing w:after="0"/>
            </w:pPr>
            <w:r>
              <w:rPr>
                <w:sz w:val="17"/>
                <w:szCs w:val="17"/>
              </w:rPr>
              <w:t xml:space="preserve">LOT 240 · SSP O7.18 · LOT_240_Appel_B_V5_Ultra_Pedagogique_Partie_2_DX.3_a_DX.5.html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DX.4 › point 9 › tableaux « magnésémie », « chromogranine A », « vitamine B12 », « endoscopie » ; fenêtre NNH ; point 11.B (schéma de déprescription)</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tire les schémas de déprescription des IPP de sources canadiennes (Bruyère/CFP) ; valeurs de référence (Mg, B12, chromogranine A) et nécessité d'une endoscopie avant sevrage non trouvées.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schéma de déprescription des IPP (réduction de dose, prise à la demande, arrêt) recommande une source suisse (Smarter Medicine, SSG/SGG) ou européenne (UEG, ESPGHAN) ? Une endoscopie est-elle exigée avant l'arrêt en l'absence de symptôme d'alarme ? Quelle surveillance de la magnésémie et de la vitamine B12 sous IPP prolongé (FI suisse)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D-063  ·  priorité Moyenne  ·  recommandation</w:t>
            </w:r>
          </w:p>
        </w:tc>
        <w:tc>
          <w:tcPr>
            <w:tcW w:w="11200" w:type="dxa"/>
            <w:shd w:val="clear" w:color="auto" w:fill="EBF5FB"/>
            <w:vAlign w:val="top"/>
          </w:tcPr>
          <w:p>
            <w:pPr>
              <w:spacing w:after="0"/>
            </w:pPr>
            <w:r>
              <w:rPr>
                <w:sz w:val="17"/>
                <w:szCs w:val="17"/>
              </w:rPr>
              <w:t xml:space="preserve">LOT 240 · SSP O7.18 · LOT_240_Appel_B_V5_Ultra_Pedagogique_Partie_2_DX.3_a_DX.5.html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DX.5 › fenêtre « insomnie », points 4, 8, 9 (agenda, questionnaires, actigraphie, polysomnographie) et 9.c (zolpidem si DFGe &lt; 30)</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 guideline européenne sur l'insomnie [S58] : critères chiffrés (fréquence, durée), seuils des questionnaires, instrument d'évaluation de la marche/cognition et adaptation du zolpidem si DFGe &lt; 30 non trouvés ; déprescription BZRA de source canadienne.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critères diagnostiques chiffrés de l'insomnie chronique (nuits par semaine, durée) donnent la CIM-11 et la guideline européenne ESRS 2023 ? Quels seuils de l'Insomnia Severity Index ? Que dit la FI suisse du zolpidem en insuffisance rénale sévère ? Quel schéma de sevrage des BZRA chez la personne âgée recommande une source suisse ou européenne ? Citer la recommandation suisse en vigueur (titre, année, URL) ; comparer la version la plus récente à celle du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D-064  ·  priorité Moyenne  ·  conduite</w:t>
            </w:r>
          </w:p>
        </w:tc>
        <w:tc>
          <w:tcPr>
            <w:tcW w:w="11200" w:type="dxa"/>
            <w:shd w:val="clear" w:color="auto" w:fill="EBF5FB"/>
            <w:vAlign w:val="top"/>
          </w:tcPr>
          <w:p>
            <w:pPr>
              <w:spacing w:after="0"/>
            </w:pPr>
            <w:r>
              <w:rPr>
                <w:sz w:val="17"/>
                <w:szCs w:val="17"/>
              </w:rPr>
              <w:t xml:space="preserve">LOT 240 · SSP O7.18 · LOT_240_Appel_B_V5_Ultra_Pedagogique_Partie_3_DX.6_a_DX.7.html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DX.6 › points 2, 7, 9 (tableaux calcémie, calciurie, PAL, créatininémie), 11.B (adaptation hépatique) et 11.C (intervalles de contrôle) ; fenêtres « ostéopénie », « maladie systémique pertinente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 Liste des analyses (lue via des laboratoires) et la CFN : liste des groupes à « risque très élevé » (tableau 2), valeurs de référence suisses, seuil de densité de l'ostéopénie, intervalle de contrôle et adaptation hépatique non trouvés ; signes de l'ostéomalacie tirés d'une série tunisienne.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est le texte officiel actuel de la Liste des analyses (OFSP, annexe 3 OPAS) pour le dosage de la 25(OH)D (indications limitatives, fréquence) ? Quels groupes à « risque très élevé » liste le tableau 2 du rapport CFN sur la vitamine D ? Quels intervalles de contrôle de la calcémie et de la calciurie sous vitamine D à forte dose (FI suisse) ? Quelle source européenne décrit l'ostéomalacie de l'adulte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D-065  ·  priorité Moyenne  ·  recommandation</w:t>
            </w:r>
          </w:p>
        </w:tc>
        <w:tc>
          <w:tcPr>
            <w:tcW w:w="11200" w:type="dxa"/>
            <w:shd w:val="clear" w:color="auto" w:fill="EBF5FB"/>
            <w:vAlign w:val="top"/>
          </w:tcPr>
          <w:p>
            <w:pPr>
              <w:spacing w:after="0"/>
            </w:pPr>
            <w:r>
              <w:rPr>
                <w:sz w:val="17"/>
                <w:szCs w:val="17"/>
              </w:rPr>
              <w:t xml:space="preserve">LOT 240 · SSP O7.18 · LOT_240_Appel_B_V5_Ultra_Pedagogique_Partie_3_DX.6_a_DX.7.html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DX.7 › fenêtre « RCRI », tableau « Laboratoire de routine », point 9.c (grossesse, enfant, DFGe) et point 2</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items et points du RCRI, valeurs de référence du laboratoire préopératoire, conduites grossesse/enfant/DFGe et fréquence suisse des bilans de routine non trouvés.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items et points du score RCRI (Lee) reprend l'ESC 2022 ? Quels examens de routine sont déconseillés (Smarter Medicine anesthésiologie, SSAPM) chez le patient ASA I–II, et quelles exceptions (grossesse, enfant, DFGe &lt; 30)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D-066  ·  priorité Moyenne  ·  recommandation</w:t>
            </w:r>
          </w:p>
        </w:tc>
        <w:tc>
          <w:tcPr>
            <w:tcW w:w="11200" w:type="dxa"/>
            <w:shd w:val="clear" w:color="auto" w:fill="EBF5FB"/>
            <w:vAlign w:val="top"/>
          </w:tcPr>
          <w:p>
            <w:pPr>
              <w:spacing w:after="0"/>
            </w:pPr>
            <w:r>
              <w:rPr>
                <w:sz w:val="17"/>
                <w:szCs w:val="17"/>
              </w:rPr>
              <w:t xml:space="preserve">LOT 240 · SSP O7.18 · LOT_240_Appel_B_V5_Ultra_Pedagogique_Partie_4_DX.8_a_DX.10.html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DX.8 › fenêtres « céphalée non aiguë », « niveaux de preuve IV et IIb », « Céphalée positionnelle », « détail de ces situations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 Liste Top 5 de la Société suisse des céphalées (2026) : durée de la céphalée « non aiguë », échelle des niveaux de preuve et conduite en grossesse/enfant non trouvées.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est le texte intégral de la Liste Top 5 de la Société suisse des céphalées (2026) et de ses recommandations thérapeutiques : définition de la céphalée non aiguë, drapeaux rouges (SNNOOP10), échelle des niveaux de preuve, conduite d'imagerie chez la femme enceinte et l'enfant ? Quelle position de l'EHF/EAN la plus récente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D-069  ·  priorité Moyenne  ·  épidémiologie</w:t>
            </w:r>
          </w:p>
        </w:tc>
        <w:tc>
          <w:tcPr>
            <w:tcW w:w="11200" w:type="dxa"/>
            <w:shd w:val="clear" w:color="auto" w:fill="EBF5FB"/>
            <w:vAlign w:val="top"/>
          </w:tcPr>
          <w:p>
            <w:pPr>
              <w:spacing w:after="0"/>
            </w:pPr>
            <w:r>
              <w:rPr>
                <w:sz w:val="17"/>
                <w:szCs w:val="17"/>
              </w:rPr>
              <w:t xml:space="preserve">LOT 240 · SSP O7.18 · LOT_240_Appel_A_V5_Ultra_Pedagogique_Plan_et_Liste.html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A › Bloc 1 › points 2 et 13 ; P1–P4 › point 2 de chaque DX (fréquence suisse des demandes)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19 indicateurs suisses de faible valeur (2018–2023, &gt; 600 millions CHF) ; mortalité attribuable, définition chiffrée de l'économicité (LAMal art. 32) et fréquences suisses des demandes (antibiotiques, imagerie lombaire, céphalée, PSA, vitamine D) non trouvées.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données suisses (OFSP, Obsan, Helsana/CSS, LUCID, Smarter Medicine) chiffrent la fréquence des prestations à faible valeur par scénario (antibiotiques pour IVRS, imagerie lombaire précoce, imagerie des céphalées, PSA après 75 ans, dosage de la vitamine D) ? Comment l'OFSP opérationnalise-t-il le critère d'économicité (EAE, LAMal art. 32) depuis le 1.1.2026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D-073  ·  priorité Critique  ·  conduite</w:t>
            </w:r>
          </w:p>
        </w:tc>
        <w:tc>
          <w:tcPr>
            <w:tcW w:w="11200" w:type="dxa"/>
            <w:shd w:val="clear" w:color="auto" w:fill="FADBD8"/>
            <w:vAlign w:val="top"/>
          </w:tcPr>
          <w:p>
            <w:pPr>
              <w:spacing w:after="0"/>
            </w:pPr>
            <w:r>
              <w:rPr>
                <w:sz w:val="17"/>
                <w:szCs w:val="17"/>
              </w:rPr>
              <w:t xml:space="preserve">LOT 241 · SSP O7.19 · LOT_241_Appel_B_V5_Ultra_Pedagogique_Partie_3_DX.6_a_DX.7.html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DX.6 (et DX.5 › P2) › point 11.C › surveillance après CAR-T (calendrier biologique, seuils d'arrêt, hématotoxicité, IgG, prophylaxies, revaccination) ; A › fenêtres « calendrier propre à chaque produit » et « tertiaire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calendrier biologique détaillé, seuils d'arrêt, critères de gradation de l'hématotoxicité (EHA/EBMT 2023), seuil d'IgG pour la substitution, choix des prophylaxies (aciclovir, cotrimoxazole) et calendrier de revaccination non trouvés (Hayden 2022 non en libre accès).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recommandent les consensus EBMT/JACIE/EHA (Hayden 2022 et mise à jour) et EHA/EBMT 2023 (CAR-HEMATOTOX) après une thérapie CAR-T : seuil d'IgG pour la substitution, prophylaxie anti-infectieuse (aciclovir/valaciclovir, cotrimoxazole, antifongique : doses et durée), calendrier de revaccination, calendrier biologique, gradation de l'hématotoxicité ? Quelle position suisse (SBST, centres CAR-T)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D-070  ·  priorité Haute  ·  autorisation</w:t>
            </w:r>
          </w:p>
        </w:tc>
        <w:tc>
          <w:tcPr>
            <w:tcW w:w="11200" w:type="dxa"/>
            <w:shd w:val="clear" w:color="auto" w:fill="FDEBD0"/>
            <w:vAlign w:val="top"/>
          </w:tcPr>
          <w:p>
            <w:pPr>
              <w:spacing w:after="0"/>
            </w:pPr>
            <w:r>
              <w:rPr>
                <w:sz w:val="17"/>
                <w:szCs w:val="17"/>
              </w:rPr>
              <w:t xml:space="preserve">LOT 241 · SSP O7.19 · LOT_241_Appel_A_V5_Ultra_Pedagogique_Plan_et_Liste.html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A › Bloc 1 › prévention secondaire (SMA) ; P1 › DX.1 › point 2</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projet pilote national de dépistage néonatal de la SMA approuvé le 20.12.2023 (source associative SMA NBS Alliance) ; confirmation OFSP non trouvée (neoscreening.ch en 503).</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La SMA fait-elle partie du dépistage néonatal suisse (programme du laboratoire de Zurich, neoscreening.ch) ? Depuis quelle date, sur quelle décision (OFSP, Commission fédérale) et avec quel test ? Donner la source officielle.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D-071  ·  priorité Haute  ·  dose</w:t>
            </w:r>
          </w:p>
        </w:tc>
        <w:tc>
          <w:tcPr>
            <w:tcW w:w="11200" w:type="dxa"/>
            <w:shd w:val="clear" w:color="auto" w:fill="FDEBD0"/>
            <w:vAlign w:val="top"/>
          </w:tcPr>
          <w:p>
            <w:pPr>
              <w:spacing w:after="0"/>
            </w:pPr>
            <w:r>
              <w:rPr>
                <w:sz w:val="17"/>
                <w:szCs w:val="17"/>
              </w:rPr>
              <w:t xml:space="preserve">LOT 241 · SSP O7.19 · LOT_241_Appel_B_V5_Ultra_Pedagogique_Partie_1_DX.1_a_DX.2.html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DX.1 › tableau « Types de SMA et éligibilité » ; point 11.B › fiches Zolgensma®, Spinraza™, Evrysdi®, prednisolone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donne les doses FI de Zolgensma® et Spinraza™ ; adaptation rénale (Zolgensma®, Spinraza™, Evrysdi®), dose d'Evrysdi® selon l'âge et le poids, contre-indications et interactions d'Evrysdi®, description des types 0 à 4 et forme pédiatrique liquide de prednisolone en Suisse non trouvées.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Selon les FI suisses de Zolgensma®, Spinraza™ et Evrysdi® : quelles adaptations rénales et hépatiques, quelles doses d'Evrysdi® selon l'âge et le poids, quelles contre-indications et interactions ? Une forme liquide pédiatrique de prednisolone (ou prednisone) est-elle autorisée en Suisse pour la prophylaxie sous Zolgensma® ? Quelle classification des types 0 à 4 retient le consensus européen (TREAT-NMD/EAN) ? Donner les doses, voies, adaptations (rénale, hépatique, pédiatrique, grossesse) selon l'information professionnelle suisse (AIPS, swissmedicinfo.ch), avec la date de la FI.</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D-074  ·  priorité Haute  ·  dose</w:t>
            </w:r>
          </w:p>
        </w:tc>
        <w:tc>
          <w:tcPr>
            <w:tcW w:w="11200" w:type="dxa"/>
            <w:shd w:val="clear" w:color="auto" w:fill="FDEBD0"/>
            <w:vAlign w:val="top"/>
          </w:tcPr>
          <w:p>
            <w:pPr>
              <w:spacing w:after="0"/>
            </w:pPr>
            <w:r>
              <w:rPr>
                <w:sz w:val="17"/>
                <w:szCs w:val="17"/>
              </w:rPr>
              <w:t xml:space="preserve">LOT 241 · SSP O7.19 · LOT_241_Appel_B_V5_Ultra_Pedagogique_Partie_3_DX.6_a_DX.7.html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DX.6 › point 11.B › tableau des médicaments (fludarabine + cyclophosphamide, cytarabine + étoposide, Kymriah®, prémédication, dexaméthasone/méthylprednisolone, lévétiracétam, allopurinol) ; A › fiches tocilizumab, corticoïdes, lymphodéplétion ; P2 › DX.5 fiche tocilizumab</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donne les schémas FI de lymphodéplétion ; spécialités suisses de fludarabine, cyclophosphamide, dexaméthasone, lévétiracétam et allopurinol « non vérifiées » ; adaptation de la lymphodéplétion au DFGe &lt; 30, adaptation rénale et hépatique du tocilizumab et des corticoïdes non trouvées.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spécialités suisses (FI) existent pour la fludarabine IV, le cyclophosphamide (Endoxan®), la dexaméthasone IV, la méthylprednisolone, le lévétiracétam IV et l'allopurinol ? Quelle adaptation de la fludarabine et du cyclophosphamide en insuffisance rénale (DFGe &lt; 30, 30–70 mL/min) ? Quelles adaptations rénale et hépatique pour le tocilizumab (Actemra®) dans le syndrome de libération de cytokines ? Quelles doses de dexaméthasone par grade de SLC/ICANS (consensus EBMT 2022) ? Donner les doses, voies, adaptations (rénale, hépatique, pédiatrique, grossesse) selon l'information professionnelle suisse (AIPS, swissmedicinfo.ch), avec la date de la FI.</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D-076  ·  priorité Haute  ·  autorisation</w:t>
            </w:r>
          </w:p>
        </w:tc>
        <w:tc>
          <w:tcPr>
            <w:tcW w:w="11200" w:type="dxa"/>
            <w:shd w:val="clear" w:color="auto" w:fill="FDEBD0"/>
            <w:vAlign w:val="top"/>
          </w:tcPr>
          <w:p>
            <w:pPr>
              <w:spacing w:after="0"/>
            </w:pPr>
            <w:r>
              <w:rPr>
                <w:sz w:val="17"/>
                <w:szCs w:val="17"/>
              </w:rPr>
              <w:t xml:space="preserve">LOT 241 · SSP O7.19 · LOT_241_Appel_B_V5_Ultra_Pedagogique_Partie_3_DX.6_a_DX.7.html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A › piège « autorisation étrangère pour la catégorie B » ; P3 › DX.7 › fenêtres « Importation privée de médicaments » et « Remboursement hors liste des spécialités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la LPTh art. 49 / OAMéd exigent une autorisation dans un pays à contrôle équivalent ; liste de ces pays non lue (Elevidys autorisé par la FDA, refusé par l'EMA).</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pays Swissmedic reconnaît-il comme ayant un contrôle des médicaments équivalent (OAMéd art. 49, LPTh art. 13, OAMal art. 71b) ? Elevidys (délandistrogène moxéparvovec) a-t-il un statut en Suisse (autorisation, importation, remboursement au cas par cas) en 2026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D-077  ·  priorité Haute  ·  dose</w:t>
            </w:r>
          </w:p>
        </w:tc>
        <w:tc>
          <w:tcPr>
            <w:tcW w:w="11200" w:type="dxa"/>
            <w:shd w:val="clear" w:color="auto" w:fill="FDEBD0"/>
            <w:vAlign w:val="top"/>
          </w:tcPr>
          <w:p>
            <w:pPr>
              <w:spacing w:after="0"/>
            </w:pPr>
            <w:r>
              <w:rPr>
                <w:sz w:val="17"/>
                <w:szCs w:val="17"/>
              </w:rPr>
              <w:t xml:space="preserve">LOT 241 · SSP O7.19 · LOT_241_Appel_B_V5_Ultra_Pedagogique_Partie_2_DX.3_a_DX.5.html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DX.3 › points 2, 9.c et 11.B › fiches hydroxyurée, busulfan IV, plérixafor ± G-CSF ; A › fiches busulfan et plérixafor</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prévalence suisse de la drépanocytose non trouvée (donnée italienne) ; spécialités suisses du busulfan IV et du G-CSF non trouvées ; durée et adaptation hépatique de l'hydroxyurée, adaptation rénale/hépatique du busulfan, seuils d'arrêt pour toxicité et données de grossesse sous Casgevy® non trouvés.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prévalence de la drépanocytose en Suisse (OFS, registre, dépistage néonatal) ? Quelles spécialités suisses existent pour le busulfan IV (Busilvex®), le plérixafor (Mozobil®) et le G-CSF, avec doses et adaptations (FI) ? Quelles doses, titration, durée et adaptation hépatique de l'hydroxyurée (Siklos®) donnent la FI suisse et la recommandation européenne (EHA/SSH Hématologie) ? Donner les doses, voies, adaptations (rénale, hépatique, pédiatrique, grossesse) selon l'information professionnelle suisse (AIPS, swissmedicinfo.ch), avec la date de la FI.</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D-085  ·  priorité Haute  ·  conduite</w:t>
            </w:r>
          </w:p>
        </w:tc>
        <w:tc>
          <w:tcPr>
            <w:tcW w:w="11200" w:type="dxa"/>
            <w:shd w:val="clear" w:color="auto" w:fill="FDEBD0"/>
            <w:vAlign w:val="top"/>
          </w:tcPr>
          <w:p>
            <w:pPr>
              <w:spacing w:after="0"/>
            </w:pPr>
            <w:r>
              <w:rPr>
                <w:sz w:val="17"/>
                <w:szCs w:val="17"/>
              </w:rPr>
              <w:t xml:space="preserve">LOT 241 · SSP O7.19 · LOT_241_Appel_A_V5_Ultra_Pedagogique_Plan_et_Liste.html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A › Bloc 1 › piège « Ignorer le faux positif du VIH » (vecteur lentiviral)</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un test d'amplification VIH peut se positiver après un vecteur lentiviral ; méthode confirmatoire précise non trouvée [S4].</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Après un produit à vecteur lentiviral (CAR-T Kymriah®, Carvykti®, Abecma®), quel test confirme ou exclut une infection par le VIH selon la FI suisse et l'OFSP/SSI (test d'anticorps, PCR ciblant une région absente du vecteur) ? Quelle conséquence pour le don de sang et le dépistage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D-072  ·  priorité Moyenne  ·  conduite</w:t>
            </w:r>
          </w:p>
        </w:tc>
        <w:tc>
          <w:tcPr>
            <w:tcW w:w="11200" w:type="dxa"/>
            <w:shd w:val="clear" w:color="auto" w:fill="EBF5FB"/>
            <w:vAlign w:val="top"/>
          </w:tcPr>
          <w:p>
            <w:pPr>
              <w:spacing w:after="0"/>
            </w:pPr>
            <w:r>
              <w:rPr>
                <w:sz w:val="17"/>
                <w:szCs w:val="17"/>
              </w:rPr>
              <w:t xml:space="preserve">LOT 241 · SSP O7.19 · LOT_241_Appel_B_V5_Ultra_Pedagogique_Partie_1_DX.1_a_DX.2.html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DX.2 › points 2, 11.C (calendrier postopératoire, OCT) ; A › fenêtre Luxturna® et tableau Bloc 2</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calendrier du suivi ophtalmologique après Luxturna® (J1, J7, M1…) et nombre de patients traités en Suisse non trouvés.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calendrier de suivi ophtalmologique après Luxturna® (voretigène néparvovec) prévoient la FI suisse et les centres européens (registre PERCEIVE) ? Combien de patients ont été traités en Suisse (Swissmedic, centres universitaires) ? Quelles contre-indications et quelle spécialité suisse de prednisone pour la prophylaxie de Luxturna®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D-075  ·  priorité Moyenne  ·  autorisation</w:t>
            </w:r>
          </w:p>
        </w:tc>
        <w:tc>
          <w:tcPr>
            <w:tcW w:w="11200" w:type="dxa"/>
            <w:shd w:val="clear" w:color="auto" w:fill="EBF5FB"/>
            <w:vAlign w:val="top"/>
          </w:tcPr>
          <w:p>
            <w:pPr>
              <w:spacing w:after="0"/>
            </w:pPr>
            <w:r>
              <w:rPr>
                <w:sz w:val="17"/>
                <w:szCs w:val="17"/>
              </w:rPr>
              <w:t xml:space="preserve">LOT 241 · SSP O7.19 · LOT_241_Appel_A_V5_Ultra_Pedagogique_Plan_et_Liste.html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A › pièges « CAR-T, Casgevy®, Qalsody™ hors LS » ; P2 › DX.5 › piège « annexe 1 OPAS / LS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prix des CAR-T non publics (tarif assureurs–hôpitaux) ; Casgevy® et Qalsody™ absents de la LS.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est le statut actuel (2026) de remboursement des CAR-T (annexe 1 OPAS, forfaits SwissDRG) et de Casgevy®, Qalsody™, Hemgenix® (LS, OAMal art. 71a–d) ? Des prix ou forfaits sont-ils publiés (SwissDRG, OFSP) ? Combien de patients ont été traités en Suisse par Luxturna®, Casgevy®, Hemgenix®, Carvykti® et Abecma® depuis leur autorisation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D-078  ·  priorité Moyenne  ·  dose</w:t>
            </w:r>
          </w:p>
        </w:tc>
        <w:tc>
          <w:tcPr>
            <w:tcW w:w="11200" w:type="dxa"/>
            <w:shd w:val="clear" w:color="auto" w:fill="EBF5FB"/>
            <w:vAlign w:val="top"/>
          </w:tcPr>
          <w:p>
            <w:pPr>
              <w:spacing w:after="0"/>
            </w:pPr>
            <w:r>
              <w:rPr>
                <w:sz w:val="17"/>
                <w:szCs w:val="17"/>
              </w:rPr>
              <w:t xml:space="preserve">LOT 241 · SSP O7.19 · LOT_241_Appel_B_V5_Ultra_Pedagogique_Partie_2_DX.3_a_DX.5.html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DX.4 › point 9.c et 11.B › fiches Idelvion® et Hemgenix® ; P3 › DX.7 › surveillance hépatique après AAV systémique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durée, adaptation rénale ou hépatique et contre-indications de la prophylaxie Idelvion® non trouvées ; adaptation rénale d'Hemgenix® non trouvée ; conduite chez la femme non trouvée ; formulation de la FI de Zolgensma® sur la surveillance hépatique jugée ambiguë.</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Selon les FI suisses d'Idelvion® et d'Hemgenix® : contre-indications, adaptations rénale et hépatique, conduite chez la femme porteuse ; quel calendrier exact de surveillance hépatique (ALAT, facteur IX) après Hemgenix® et après Zolgensma® ? Donner les doses, voies, adaptations (rénale, hépatique, pédiatrique, grossesse) selon l'information professionnelle suisse (AIPS, swissmedicinfo.ch), avec la date de la FI.</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D-079  ·  priorité Moyenne  ·  seuil</w:t>
            </w:r>
          </w:p>
        </w:tc>
        <w:tc>
          <w:tcPr>
            <w:tcW w:w="11200" w:type="dxa"/>
            <w:shd w:val="clear" w:color="auto" w:fill="EBF5FB"/>
            <w:vAlign w:val="top"/>
          </w:tcPr>
          <w:p>
            <w:pPr>
              <w:spacing w:after="0"/>
            </w:pPr>
            <w:r>
              <w:rPr>
                <w:sz w:val="17"/>
                <w:szCs w:val="17"/>
              </w:rPr>
              <w:t xml:space="preserve">LOT 241 · SSP O7.19 · LOT_241_Appel_B_V5_Ultra_Pedagogique_Partie_3_DX.6_a_DX.7.html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DX.6 › point 2 (incidence LAL-B), point 7 (syndrome de lyse tumorale), point 9 (CD19, fibrinogène) ; P2 › DX.5 fenêtre « LDH et IPI » ; A › fenêtre « Ce qui distingue DX.6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incidence suisse, facteurs de risque et mortalité de la LAL-B, sémiologie européenne de la LAL de l'enfant, seuils biologiques du syndrome de lyse tumorale, seuil du fibrinogène, seuil de positivité CD19 et classes de risque de l'IPI non trouvés.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l'incidence suisse de la LAL de l'enfant et de l'adulte jeune (Registre suisse du cancer de l'enfant, NICER) ? Quels critères biologiques du syndrome de lyse tumorale (Cairo-Bishop) et quel seuil de fibrinogène retiennent les consensus européens ? Quelles classes de risque de l'IPI (0–5 points)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D-080  ·  priorité Moyenne  ·  autorisation</w:t>
            </w:r>
          </w:p>
        </w:tc>
        <w:tc>
          <w:tcPr>
            <w:tcW w:w="11200" w:type="dxa"/>
            <w:shd w:val="clear" w:color="auto" w:fill="EBF5FB"/>
            <w:vAlign w:val="top"/>
          </w:tcPr>
          <w:p>
            <w:pPr>
              <w:spacing w:after="0"/>
            </w:pPr>
            <w:r>
              <w:rPr>
                <w:sz w:val="17"/>
                <w:szCs w:val="17"/>
              </w:rPr>
              <w:t xml:space="preserve">LOT 241 · SSP O7.19 · LOT_241_Appel_B_V5_Ultra_Pedagogique_Partie_3_DX.6_a_DX.7.html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DX.7 › points 2, 6, 7, 9, 11.B (prednisone/deflazacort, sirolimus) et 12 (prévention)</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prévalence suisse, mortalité, distinction Duchenne/Becker, mécanisme neurocognitif non trouvés ; deflazacort sans spécialité dans l'AIPS au 21.10.2026 ; posologies tirées d'un consensus CDC/TREAT-NMD (non suisse) ; Prednisone Streuli® sans indication DMD.</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prévalence de la dystrophie musculaire de Duchenne en Suisse (registre suisse des maladies neuromusculaires) ? Le deflazacort, le vamorolone (Agamree®) ou le givinostat sont-ils autorisés par Swissmedic en 2026 ? Quelle corticothérapie (dose, schéma) recommande le consensus européen le plus récent (TREAT-NMD/EAN 2024) ? Quels critères distinguent Duchenne et Becker ? Quel protocole (éculizumab, rituximab + sirolimus) pour la microangiopathie thrombotique après AAV systémique, et l'AI couvre-t-elle la DMD après 20 ans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D-081  ·  priorité Moyenne  ·  recommandation</w:t>
            </w:r>
          </w:p>
        </w:tc>
        <w:tc>
          <w:tcPr>
            <w:tcW w:w="11200" w:type="dxa"/>
            <w:shd w:val="clear" w:color="auto" w:fill="EBF5FB"/>
            <w:vAlign w:val="top"/>
          </w:tcPr>
          <w:p>
            <w:pPr>
              <w:spacing w:after="0"/>
            </w:pPr>
            <w:r>
              <w:rPr>
                <w:sz w:val="17"/>
                <w:szCs w:val="17"/>
              </w:rPr>
              <w:t xml:space="preserve">LOT 241 · SSP O7.19 · LOT_241_Appel_B_V5_Ultra_Pedagogique_Partie_4_DX.8_a_DX.10.html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DX.8 › points 2, 9 (biopsie, test de marche, vitamine A) et 11 (transplantation, assistance ventriculaire) ; fenêtre « PND, NIS, Karnofsky, NYHA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lit le consensus suisse ATTR 2021 en résumé ; prévalence suisse, classes PND détaillées, valeurs de référence du test de marche et de la vitamine A, rôle de la transplantation non trouvés ; seuils LS (≥ 150 m Amvuttra®, &gt; 100 m Vyndaqel®).</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recommande le texte intégral du consensus suisse sur l'amylose ATTR (Swiss Amyloidosis Network, 2021, et mise à jour) et la guideline ESC 2021/2023 (cardiomyopathies) : critères diagnostiques non invasifs, classes PND, place du tafamidis, du vutrisiran, de l'acoramidis et de la transplantation ? Quelles limitations actuelles de la LS ? Quelle prévalence suisse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D-082  ·  priorité Moyenne  ·  recommandation</w:t>
            </w:r>
          </w:p>
        </w:tc>
        <w:tc>
          <w:tcPr>
            <w:tcW w:w="11200" w:type="dxa"/>
            <w:shd w:val="clear" w:color="auto" w:fill="EBF5FB"/>
            <w:vAlign w:val="top"/>
          </w:tcPr>
          <w:p>
            <w:pPr>
              <w:spacing w:after="0"/>
            </w:pPr>
            <w:r>
              <w:rPr>
                <w:sz w:val="17"/>
                <w:szCs w:val="17"/>
              </w:rPr>
              <w:t xml:space="preserve">LOT 241 · SSP O7.19 · LOT_241_Appel_B_V5_Ultra_Pedagogique_Partie_4_DX.8_a_DX.10.html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DX.9 › fenêtres « Responsabilité du promoteur (LRH art. 19–20) », « Quelle phase ? » ; P3 › DX.6 › sources (directive ASSM CAR-T) ; A › fenêtre « répond » (directive ASSM thérapie standard/expérimentale)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détails de la preuve du lien causal (LRH), définition détaillée des phases et directive ASSM propre au CAR-T non trouvés ; l'ASSM ne publie aucune directive propre à la thérapie génique.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dit la directive ASSM « Distinction entre thérapie standard et thérapie expérimentale » (année, URL) applicable à la thérapie génique et aux CAR-T ? Quelles définitions des phases I à IV donnent l'OClin et l'ICH E8(R1) ? Comment l'ORH/OClin règlent-ils la responsabilité du promoteur et la preuve du lien de causalité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D-083  ·  priorité Moyenne  ·  conduite</w:t>
            </w:r>
          </w:p>
        </w:tc>
        <w:tc>
          <w:tcPr>
            <w:tcW w:w="11200" w:type="dxa"/>
            <w:shd w:val="clear" w:color="auto" w:fill="EBF5FB"/>
            <w:vAlign w:val="top"/>
          </w:tcPr>
          <w:p>
            <w:pPr>
              <w:spacing w:after="0"/>
            </w:pPr>
            <w:r>
              <w:rPr>
                <w:sz w:val="17"/>
                <w:szCs w:val="17"/>
              </w:rPr>
              <w:t xml:space="preserve">LOT 241 · SSP O7.19 · LOT_241_Appel_B_V5_Ultra_Pedagogique_Partie_4_DX.8_a_DX.10.html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DX.10 › exemple « site suisse promettant la guérison », point 2 (fréquence), fenêtre « Constitution fédérale art. 119 et LPMA art. 35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procédure formelle de signalement d'une publicité illicite à Swissmedic, fréquence des demandes sur des thérapies non prouvées et options légales de la procréation non trouvées.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procédure Swissmedic prévoit-elle pour signaler une publicité illicite ou une offre de thérapie cellulaire/génique non autorisée (formulaire, base LPTh art. 32 et 86) ? Quelles options légales de procréation (diagnostic préimplantatoire, LPMA art. 5a) proposer à un couple porteur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D-084  ·  priorité Moyenne  ·  autre</w:t>
            </w:r>
          </w:p>
        </w:tc>
        <w:tc>
          <w:tcPr>
            <w:tcW w:w="11200" w:type="dxa"/>
            <w:shd w:val="clear" w:color="auto" w:fill="EBF5FB"/>
            <w:vAlign w:val="top"/>
          </w:tcPr>
          <w:p>
            <w:pPr>
              <w:spacing w:after="0"/>
            </w:pPr>
            <w:r>
              <w:rPr>
                <w:sz w:val="17"/>
                <w:szCs w:val="17"/>
              </w:rPr>
              <w:t xml:space="preserve">LOT 241 · SSP O7.19 · LOT_241_Appel_B_V5_Ultra_Pedagogique_Partie_1_DX.1_a_DX.2.html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DX.1 et DX.2 › point 9 (tests génétiques SMN1/SMN2, RPE65) ; A › fenêtre « analyse génétique confirmatoire » ; P3 › DX.7 tableau « test génétique du gène DMD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sensibilité et spécificité des tests génétiques SMN1, RPE65 et DMD non trouvées ; cadre LAGH documenté.</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sensibilité et spécificité (ou taux de détection) des analyses génétiques SMN1 (délétion exon 7, MLPA/qPCR), RPE65 (séquençage) et DMD (MLPA + séquençage) publient les guides de bonnes pratiques européens (EMQN, EuroGentest)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p>
      <w:pPr>
        <w:pStyle w:val="Titre1"/>
      </w:pPr>
      <w:r>
        <w:rPr>
          <w:b/>
          <w:color w:val="1A5276"/>
          <w:sz w:val="28"/>
          <w:szCs w:val="28"/>
        </w:rPr>
        <w:t xml:space="preserve">8. Groupe E — Lots Claude 242 à 246</w:t>
      </w: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E-007  ·  priorité Critique  ·  dose</w:t>
            </w:r>
          </w:p>
        </w:tc>
        <w:tc>
          <w:tcPr>
            <w:tcW w:w="11200" w:type="dxa"/>
            <w:shd w:val="clear" w:color="auto" w:fill="FADBD8"/>
            <w:vAlign w:val="top"/>
          </w:tcPr>
          <w:p>
            <w:pPr>
              <w:spacing w:after="0"/>
            </w:pPr>
            <w:r>
              <w:rPr>
                <w:sz w:val="17"/>
                <w:szCs w:val="17"/>
              </w:rPr>
              <w:t xml:space="preserve">LOT 242 · SSP O7.20 · LOT_242_Appel_A_V5_Ultra_Pedagogique_Plan_et_Liste.html ; LOT_242_Appel_B_V5_Ultra_Pedagogique_Partie_2_DX.3_a_DX.5.html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fenêtre « vasopressine (argipressine, Empressin®) » ; Partie 2 › DX.3 › tableau des traitements du donneur (③ catécholamine, ⑤ hormone thyroïdienne) et calendrier de surveillance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Empressin® (indication suisse : choc septique), dopamine 4 µg/kg/min (aucune FI dans AmiKo le 21.10.2026), T4 20 µg puis 10 µg/h ou T3 4 µg puis 3 µg/h (aucune forme i.v. suisse trouvée), desmopressine avec arrêt si Na &lt; 130 mmol/L.</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protocole suisse de conditionnement hémodynamique et hormonal du donneur en mort cérébrale est en vigueur (Swiss Donation Pathway, module donneur, Swisstransplant/CNDO, année, URL) : vasopresseur de choix, dose d'argipressine, place de la dopamine et de la noradrénaline, méthylprednisolone, hormone thyroïdienne, desmopressine et fréquence des contrôles de natrémie et diurèse ? Quelles spécialités suisses existent pour la dopamine, la lévothyroxine i.v. et la liothyronine i.v. (ou leur voie d'importation).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E-009  ·  priorité Critique  ·  dose</w:t>
            </w:r>
          </w:p>
        </w:tc>
        <w:tc>
          <w:tcPr>
            <w:tcW w:w="11200" w:type="dxa"/>
            <w:shd w:val="clear" w:color="auto" w:fill="FADBD8"/>
            <w:vAlign w:val="top"/>
          </w:tcPr>
          <w:p>
            <w:pPr>
              <w:spacing w:after="0"/>
            </w:pPr>
            <w:r>
              <w:rPr>
                <w:sz w:val="17"/>
                <w:szCs w:val="17"/>
              </w:rPr>
              <w:t xml:space="preserve">LOT 242 · SSP O7.20 · LOT_242_Appel_A_V5_Ultra_Pedagogique_Plan_et_Liste.html ; LOT_242_Appel_B_V5_Ultra_Pedagogique_Partie_2_DX.3_a_DX.5.html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B2 traitement immunosuppresseur du receveur (tacrolimus, mycophénolate, ciclosporine, évérolimus, bélatacept) ; Partie 4 › DX.9 › évérolimus « mécanisme » (Kaposi)</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KDIGO 2009 (corticoïdes sans dose) et les FI suisses (Prograf® 0,20–0,30 mg/kg/j, CellCept® 1 g 2×/j, Sandimmun Neoral®, Certican® C0 3–8 ng/mL, Nulojix®) ; durée d'entretien et dose pour le Kaposi absentes.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schémas d'immunosuppression d'induction et d'entretien après greffe rénale suivent les centres suisses (STCS, Swiss Transplant Cohort Study, ou protocoles publiés) et quelle est la recommandation européenne la plus récente (KDIGO 2009 mise à jour ?, ESOT/ERA) : schéma et dose des corticoïdes (bolus puis décroissance), durée de l'entretien, cibles C0 du tacrolimus par période ? Quelle conduite (conversion vers un inhibiteur de mTOR, dose) en cas de sarcome de Kaposi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E-012  ·  priorité Critique  ·  conduite</w:t>
            </w:r>
          </w:p>
        </w:tc>
        <w:tc>
          <w:tcPr>
            <w:tcW w:w="11200" w:type="dxa"/>
            <w:shd w:val="clear" w:color="auto" w:fill="FADBD8"/>
            <w:vAlign w:val="top"/>
          </w:tcPr>
          <w:p>
            <w:pPr>
              <w:spacing w:after="0"/>
            </w:pPr>
            <w:r>
              <w:rPr>
                <w:sz w:val="17"/>
                <w:szCs w:val="17"/>
              </w:rPr>
              <w:t xml:space="preserve">LOT 242 · SSP O7.20 · LOT_242_Appel_B_V5_Ultra_Pedagogique_Partie_4_DX.8_a_DX.10.html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4 › DX.8 › tableau des alternatives (grossesse)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 Valganciclovir et ganciclovir contre-indiqués ; alternative antivirale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conduite antivirale contre le CMV recommander chez la greffée enceinte, selon l'information professionnelle suisse de Valcyte® et Cymevene® et la recommandation européenne la plus récente : alternative (foscarnet, létermovir, maribavir, immunoglobulines), statut Swissmedic de chacune et surveillance fœtale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E-002  ·  priorité Haute  ·  épidémiologie</w:t>
            </w:r>
          </w:p>
        </w:tc>
        <w:tc>
          <w:tcPr>
            <w:tcW w:w="11200" w:type="dxa"/>
            <w:shd w:val="clear" w:color="auto" w:fill="FDEBD0"/>
            <w:vAlign w:val="top"/>
          </w:tcPr>
          <w:p>
            <w:pPr>
              <w:spacing w:after="0"/>
            </w:pPr>
            <w:r>
              <w:rPr>
                <w:sz w:val="17"/>
                <w:szCs w:val="17"/>
              </w:rPr>
              <w:t xml:space="preserve">LOT 242 · SSP O7.20 · LOT_242_Appel_A_V5_Ultra_Pedagogique_Plan_et_Liste.html ; LOT_242_Appel_B_V5_Ultra_Pedagogique_Partie_1_DX.1_a_DX.2.html ; LOT_242_Appel_B_V5_Ultra_Pedagogique_Partie_2_DX.3_a_DX.5.html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2 › fenêtre « SwissPOD et enquête suisse sur la santé 2022 » ; Partie 1 › DX.1 et DX.2 › 2.1 entonnoir SwissPOD et 11.A- But ; Partie 2 › DX.3 › tableau SwissPOD</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un consentement de 48,0 % (SwissPOD 2011–2012), 23 % de volonté écrite et 48 % de proches informés (ESS 2022) ; le rapport 2025 qualifie le consentement de « faible » sans chiffre ; aucune cible nationale chiffrée.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est le taux de consentement (et de refus) des proches au don d'organes en Suisse en 2024 et 2025 selon Swisstransplant/CNDO ou l'OFSP (titre, année, URL) ? Quelles cibles chiffrées le plan d'action fédéral « Plus d'organes pour des transplantations » ou l'OFSP fixent-ils pour le consentement et pour la volonté documentée ? Où en est la mise en œuvre du consentement présumé au sens large (révision LTx acceptée le 15 mai 2022 : date d'entrée en vigueur prévue, registre national) ? Donner le chiffre suisse le plus récent (source, année, URL : OFS, OFSP, registre ou rapport national) ; à défaut, le chiffre européen le plus récent avec sa méthode de mesure.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E-004  ·  priorité Haute  ·  seuil</w:t>
            </w:r>
          </w:p>
        </w:tc>
        <w:tc>
          <w:tcPr>
            <w:tcW w:w="11200" w:type="dxa"/>
            <w:shd w:val="clear" w:color="auto" w:fill="FDEBD0"/>
            <w:vAlign w:val="top"/>
          </w:tcPr>
          <w:p>
            <w:pPr>
              <w:spacing w:after="0"/>
            </w:pPr>
            <w:r>
              <w:rPr>
                <w:sz w:val="17"/>
                <w:szCs w:val="17"/>
              </w:rPr>
              <w:t xml:space="preserve">LOT 242 · SSP O7.20 · LOT_242_Appel_A_V5_Ultra_Pedagogique_Plan_et_Liste.html ; LOT_242_Appel_B_V5_Ultra_Pedagogique_Partie_2_DX.3_a_DX.5.html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9 (examen de référence) › tableau du test d'apnée ; Bloc 2 › B1 conditionnement du donneur ; Partie 2 › DX.3 › tableau du test d'apnée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donne pH &lt; 7,30 (adulte) et &lt; 7,25 (enfant &lt; 1 an), saturation jamais sous 80 % chez l'enfant, PaCO2 cible 35–40 mmHg chez le donneur ; cible de pH et seuil de saturation absents.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critères de validité du test d'apnée fixent les directives ASSM sur le diagnostic de la mort (version 2017 en vigueur et projet de révision 2025) : PaCO2 cible ou hausse minimale, pH artériel, préoxygénation, saturation minimale et conduite en cas de désaturation chez l'adulte et l'enfant ? Quelle cible de pH accompagne la PaCO2 35–40 mmHg dans le conditionnement du donneur (Swiss Donation Pathway, Swisstransplant/CNDO) ? Citer la recommandation suisse en vigueur (société savante ou autorité, titre, année, URL) ; comparer sa version la plus récente avec celle citée dans le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E-005  ·  priorité Haute  ·  recommandation</w:t>
            </w:r>
          </w:p>
        </w:tc>
        <w:tc>
          <w:tcPr>
            <w:tcW w:w="11200" w:type="dxa"/>
            <w:shd w:val="clear" w:color="auto" w:fill="FDEBD0"/>
            <w:vAlign w:val="top"/>
          </w:tcPr>
          <w:p>
            <w:pPr>
              <w:spacing w:after="0"/>
            </w:pPr>
            <w:r>
              <w:rPr>
                <w:sz w:val="17"/>
                <w:szCs w:val="17"/>
              </w:rPr>
              <w:t xml:space="preserve">LOT 242 · SSP O7.20 · LOT_242_Appel_A_V5_Ultra_Pedagogique_Plan_et_Liste.html ; LOT_242_Appel_B_V5_Ultra_Pedagogique_Partie_2_DX.3_a_DX.5.html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9.d deuxième intention ; Partie 2 › DX.3 › tableau « Interpréter les examens complémentaires de la perfusion cérébrale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pour le Doppler transcrânien couleur des pics systoliques &lt; 50 cm/s ou un signal biphasique ; l'IRM est « appropriée mais fastidieuse » ; critères détaillés de l'IRM et valeurs normales absents.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examens complémentaires de l'arrêt de la perfusion cérébrale les directives ASSM (version en vigueur et révision 2025) acceptent-elles (angio-TC, angiographie, Doppler transcrânien, IRM, scintigraphie), avec leurs critères de positivité exacts, leurs limites et la qualification requise de l'examinateur ? Quels sont les critères IRM retenus ? Citer la recommandation suisse en vigueur (société savante ou autorité, titre, année, URL) ; comparer sa version la plus récente avec celle citée dans le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E-008  ·  priorité Haute  ·  seuil</w:t>
            </w:r>
          </w:p>
        </w:tc>
        <w:tc>
          <w:tcPr>
            <w:tcW w:w="11200" w:type="dxa"/>
            <w:shd w:val="clear" w:color="auto" w:fill="FDEBD0"/>
            <w:vAlign w:val="top"/>
          </w:tcPr>
          <w:p>
            <w:pPr>
              <w:spacing w:after="0"/>
            </w:pPr>
            <w:r>
              <w:rPr>
                <w:sz w:val="17"/>
                <w:szCs w:val="17"/>
              </w:rPr>
              <w:t xml:space="preserve">LOT 242 · SSP O7.20 · LOT_242_Appel_B_V5_Ultra_Pedagogique_Partie_2_DX.3_a_DX.5.html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DX.3 › fenêtre 3.1 « diabète insipide » et tableau de ventilation du donneur</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retient une diurèse &gt; 3–4 L/j ou &gt; 2,5–3 mL/kg/h, une natrémie &gt; 145 mmol/L avec cible &lt; 155 mmol/L, une pression de plateau &gt; 30 cmH2O ; valeurs de référence absentes.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seuils de diurèse et de natrémie définissent le diabète insipide du donneur et quelles cibles de natrémie, de pression de plateau, de volume courant et de PEEP recommande le protocole suisse de prise en charge du donneur (Swiss Donation Pathway) ou, à défaut, le consensus européen le plus récent ? Citer la recommandation suisse en vigueur (société savante ou autorité, titre, année, URL) ; comparer sa version la plus récente avec celle citée dans le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E-010  ·  priorité Haute  ·  recommandation</w:t>
            </w:r>
          </w:p>
        </w:tc>
        <w:tc>
          <w:tcPr>
            <w:tcW w:w="11200" w:type="dxa"/>
            <w:shd w:val="clear" w:color="auto" w:fill="FDEBD0"/>
            <w:vAlign w:val="top"/>
          </w:tcPr>
          <w:p>
            <w:pPr>
              <w:spacing w:after="0"/>
            </w:pPr>
            <w:r>
              <w:rPr>
                <w:sz w:val="17"/>
                <w:szCs w:val="17"/>
              </w:rPr>
              <w:t xml:space="preserve">LOT 242 · SSP O7.20 · LOT_242_Appel_A_V5_Ultra_Pedagogique_Plan_et_Liste.html ; LOT_242_Appel_B_V5_Ultra_Pedagogique_Partie_4_DX.8_a_DX.10.html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B3 prophylaxies anti-infectieuses du greffé (Pneumocystis) ; Partie 4 › DX.8 › 11.B moyens et 1re année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Bactrim forte® 800/160 mg 3×/semaine (demi-dose si ClCr 15–30), KDIGO 2009 « ancien, aucune mise à jour trouvée » ; protocoles suisses absents ; 55 % des greffés ont une infection la 1re année (STCS).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prophylaxies anti-infectieuses (Pneumocystis, CMV selon le statut D/R, antifongique, hépatite B) les centres suisses de transplantation appliquent-ils (STCS, Infectiologie SSI, protocoles publiés, année, URL) : molécule, dose, durée, adaptation rénale ? Quelle est la recommandation européenne la plus récente (ESCMID/ESOT, ECIL, AST 2019 comme comparaison) par rapport à KDIGO 2009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E-011  ·  priorité Haute  ·  seuil</w:t>
            </w:r>
          </w:p>
        </w:tc>
        <w:tc>
          <w:tcPr>
            <w:tcW w:w="11200" w:type="dxa"/>
            <w:shd w:val="clear" w:color="auto" w:fill="FDEBD0"/>
            <w:vAlign w:val="top"/>
          </w:tcPr>
          <w:p>
            <w:pPr>
              <w:spacing w:after="0"/>
            </w:pPr>
            <w:r>
              <w:rPr>
                <w:sz w:val="17"/>
                <w:szCs w:val="17"/>
              </w:rPr>
              <w:t xml:space="preserve">LOT 242 · SSP O7.20 · LOT_242_Appel_B_V5_Ultra_Pedagogique_Partie_4_DX.8_a_DX.10.html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4 › DX.8 › tableau d'interprétation (CMV, BK virus)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une virémie BK &gt; 10 000 copies/mL (spécificité 93 %) ; seuils de charge virale CMV et sensibilité absents.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seuils de charge virale CMV (UI/mL) déclenchent un traitement préemptif et quels seuils de virémie BK définissent la néphropathie BK présumée, selon les centres suisses (STCS) ou le consensus international le plus récent (Kotton 2018/2024 pour le CMV, AST/ESOT pour le BK) ? Quelle est la conduite (réduction de l'immunosuppression, valganciclovir : dose curative et adaptation rénale). Citer la recommandation suisse en vigueur (société savante ou autorité, titre, année, URL) ; comparer sa version la plus récente avec celle citée dans le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E-013  ·  priorité Haute  ·  conduite</w:t>
            </w:r>
          </w:p>
        </w:tc>
        <w:tc>
          <w:tcPr>
            <w:tcW w:w="11200" w:type="dxa"/>
            <w:shd w:val="clear" w:color="auto" w:fill="FDEBD0"/>
            <w:vAlign w:val="top"/>
          </w:tcPr>
          <w:p>
            <w:pPr>
              <w:spacing w:after="0"/>
            </w:pPr>
            <w:r>
              <w:rPr>
                <w:sz w:val="17"/>
                <w:szCs w:val="17"/>
              </w:rPr>
              <w:t xml:space="preserve">LOT 242 · SSP O7.20 · LOT_242_Appel_B_V5_Ultra_Pedagogique_Partie_4_DX.8_a_DX.10.html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4 › DX.8 › pyélonéphrite du greffon (fenêtre « hospitalisation pour pyélonéphrite du greffon » et critères)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justifie l'hospitalisation et les antibiotiques i.v. ; critères détaillés et agent antibiotique absents.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critères définissent la pyélonéphrite du greffon rénal et quelle antibiothérapie empirique (molécule, dose, durée, relais oral) recommandent les lignes directrices suisses (SSI, guidelines.ch « Infections urinaires ») ou européennes (EAU 2025, ESOT) chez le greffé rénal ? Citer la recommandation suisse en vigueur (société savante ou autorité, titre, année, URL) ; comparer sa version la plus récente avec celle citée dans le cours et lister les différences ; à défaut de source suisse, donner la recommandation européenne la plus récente.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E-014  ·  priorité Haute  ·  recommandation</w:t>
            </w:r>
          </w:p>
        </w:tc>
        <w:tc>
          <w:tcPr>
            <w:tcW w:w="11200" w:type="dxa"/>
            <w:shd w:val="clear" w:color="auto" w:fill="FDEBD0"/>
            <w:vAlign w:val="top"/>
          </w:tcPr>
          <w:p>
            <w:pPr>
              <w:spacing w:after="0"/>
            </w:pPr>
            <w:r>
              <w:rPr>
                <w:sz w:val="17"/>
                <w:szCs w:val="17"/>
              </w:rPr>
              <w:t xml:space="preserve">LOT 242 · SSP O7.20 · LOT_242_Appel_A_V5_Ultra_Pedagogique_Plan_et_Liste.html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prévention secondaire et tertiaire du greffé et du donneur</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dit que le greffé évite les vaccins vivants, reçoit la grippe dès 1 mois et l'hépatite B (anti-HBs &gt; 10 mUI/mL) ; recommandations suisses non trouvées.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recommandations suisses de vaccination avant et après transplantation d'organe solide sont en vigueur (OFSP/CFV, « Recommandations de vaccination pour les candidats et receveurs d'une transplantation d'organe solide », année, URL ; Plan de vaccination suisse 2026) : vaccins, calendrier, délais après la greffe, vaccins vivants interdits, sérologies cibles ? Citer la recommandation suisse en vigueur (société savante ou autorité, titre, année, URL) ; comparer sa version la plus récente avec celle citée dans le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E-017  ·  priorité Haute  ·  seuil</w:t>
            </w:r>
          </w:p>
        </w:tc>
        <w:tc>
          <w:tcPr>
            <w:tcW w:w="11200" w:type="dxa"/>
            <w:shd w:val="clear" w:color="auto" w:fill="FDEBD0"/>
            <w:vAlign w:val="top"/>
          </w:tcPr>
          <w:p>
            <w:pPr>
              <w:spacing w:after="0"/>
            </w:pPr>
            <w:r>
              <w:rPr>
                <w:sz w:val="17"/>
                <w:szCs w:val="17"/>
              </w:rPr>
              <w:t xml:space="preserve">LOT 242 · SSP O7.20 · LOT_242_Appel_B_V5_Ultra_Pedagogique_Partie_2_DX.3_a_DX.5.html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DX.3 › préalables du diagnostic (états simulateurs, fenêtre « température centrale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une température centrale minimale de 35 °C et l'hypothermie &lt; 32 °C comme état simulateur ; hypoglycémie et état de mal non convulsif « non listés par l'ASSM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préalables et états simulateurs à exclure avant le diagnostic de mort cérébrale énumèrent les directives ASSM (version en vigueur et révision 2025) : température, pression artérielle, troubles métaboliques et électrolytiques chiffrés, intoxications et sédatifs (délais), place de l'EEG ? Citer la recommandation suisse en vigueur (société savante ou autorité, titre, année, URL) ; comparer sa version la plus récente avec celle citée dans le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E-018  ·  priorité Haute  ·  seuil</w:t>
            </w:r>
          </w:p>
        </w:tc>
        <w:tc>
          <w:tcPr>
            <w:tcW w:w="11200" w:type="dxa"/>
            <w:shd w:val="clear" w:color="auto" w:fill="FDEBD0"/>
            <w:vAlign w:val="top"/>
          </w:tcPr>
          <w:p>
            <w:pPr>
              <w:spacing w:after="0"/>
            </w:pPr>
            <w:r>
              <w:rPr>
                <w:sz w:val="17"/>
                <w:szCs w:val="17"/>
              </w:rPr>
              <w:t xml:space="preserve">LOT 242 · SSP O7.20 · LOT_242_Appel_B_V5_Ultra_Pedagogique_Partie_2_DX.3_a_DX.5.html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DX.4 › DCD : catégories (fenêtre « DCD, DBD, DCD contrôlé et non contrôlé »), fenêtres « Hypotension » et « hypoxémie », calendrier de traçabilité</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ignore la correspondance uDCD–Maastricht, les seuils d'hypotension et d'hypoxémie qui excluent le don et le délai maximal entre retrait thérapeutique et arrêt circulatoire.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seuils (pression artérielle systolique ou moyenne, saturation) définissent le début de l'ischémie chaude fonctionnelle, quel délai maximal retrait–arrêt circulatoire et quel temps d'observation « no touch » (5 ou 10 min) appliquent les directives ASSM et le protocole DCD suisse (Swisstransplant/CNDO) ? Quelles catégories de Maastricht modifiée (2013) sont pratiquées en Suisse, dont le DCD non contrôlé ? Citer la recommandation suisse en vigueur (société savante ou autorité, titre, année, URL) ; comparer sa version la plus récente avec celle citée dans le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E-019  ·  priorité Haute  ·  dose</w:t>
            </w:r>
          </w:p>
        </w:tc>
        <w:tc>
          <w:tcPr>
            <w:tcW w:w="11200" w:type="dxa"/>
            <w:shd w:val="clear" w:color="auto" w:fill="FDEBD0"/>
            <w:vAlign w:val="top"/>
          </w:tcPr>
          <w:p>
            <w:pPr>
              <w:spacing w:after="0"/>
            </w:pPr>
            <w:r>
              <w:rPr>
                <w:sz w:val="17"/>
                <w:szCs w:val="17"/>
              </w:rPr>
              <w:t xml:space="preserve">LOT 242 · SSP O7.20 · LOT_242_Appel_B_V5_Ultra_Pedagogique_Partie_2_DX.3_a_DX.5.html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DX.4 › tableau « Traitements pharmacologiques liés au DCD » (① analgo-sédation palliative, ③ myorelaxants)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les directives ASSM « Attitude face à la fin de vie et à la mort » (2018, adaptées 2021, ch. 6.1.3) sans substances ni doses, et des myorelaxants « recommandés par l'ASSM » sans DCI.</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substances et quels schémas d'analgo-sédation palliative au retrait thérapeutique (opioïde, benzodiazépine, propofol) et quels myorelaxants pendant le prélèvement recommandent les directives ASSM ou le protocole DCD suisse ? Les mesures médicales préliminaires (héparine, etc.) autorisées par la LTx art. 10 et leurs doses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E-020  ·  priorité Haute  ·  seuil</w:t>
            </w:r>
          </w:p>
        </w:tc>
        <w:tc>
          <w:tcPr>
            <w:tcW w:w="11200" w:type="dxa"/>
            <w:shd w:val="clear" w:color="auto" w:fill="FDEBD0"/>
            <w:vAlign w:val="top"/>
          </w:tcPr>
          <w:p>
            <w:pPr>
              <w:spacing w:after="0"/>
            </w:pPr>
            <w:r>
              <w:rPr>
                <w:sz w:val="17"/>
                <w:szCs w:val="17"/>
              </w:rPr>
              <w:t xml:space="preserve">LOT 242 · SSP O7.20 · LOT_242_Appel_B_V5_Ultra_Pedagogique_Partie_2_DX.3_a_DX.5.html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DX.4 › calendrier de surveillance du receveur de rein (J0–J7) ; Partie 3 › DX.6 › fenêtres « oligurie », « poids et pouls » et tableau d'interprétation (créatinine, C0 tacrolimus, protéinurie)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une hausse de créatinine &gt; 25–50 %, une protéinurie ≥ 3,0 g/g ; seuil d'oligurie, calendrier local et seuil inférieur de C0 du tacrolimus absents.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définition chiffrée de l'oligurie et de la reprise retardée de fonction du greffon, quel calendrier de surveillance précoce (créatinine, diurèse, C0) et quelles cibles de C0 du tacrolimus par période post-greffe (seuil inférieur et supérieur) retiennent les centres suisses ou la recommandation européenne la plus récente (consensus IATDMCT 2019, ERA) ? Citer la recommandation suisse en vigueur (société savante ou autorité, titre, année, URL) ; comparer sa version la plus récente avec celle citée dans le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E-023  ·  priorité Haute  ·  seuil</w:t>
            </w:r>
          </w:p>
        </w:tc>
        <w:tc>
          <w:tcPr>
            <w:tcW w:w="11200" w:type="dxa"/>
            <w:shd w:val="clear" w:color="auto" w:fill="FDEBD0"/>
            <w:vAlign w:val="top"/>
          </w:tcPr>
          <w:p>
            <w:pPr>
              <w:spacing w:after="0"/>
            </w:pPr>
            <w:r>
              <w:rPr>
                <w:sz w:val="17"/>
                <w:szCs w:val="17"/>
              </w:rPr>
              <w:t xml:space="preserve">LOT 242 · SSP O7.20 · LOT_242_Appel_A_V5_Ultra_Pedagogique_Plan_et_Liste.html ; LOT_242_Appel_B_V5_Ultra_Pedagogique_Partie_2_DX.3_a_DX.5.html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fenêtre 9.5 seuils KDIGO du donneur vivant ; Partie 2 › DX.5 › tableaux « Éléments de l'examen » et « Interpréter le DFG, l'albuminurie, la pression et le poids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applique KDIGO 2017 au donneur vivant (DFG ≥ 90 accepter, &lt; 60 refuser ; albuminurie &lt; 30 / &gt; 100 mg/j ; IMC &gt; 30 kg/m²).</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critères d'acceptation du donneur vivant de rein (DFG, albuminurie, pression artérielle, IMC, glycémie) appliquent les centres suisses et le SOL-DHR (Service de suivi des donneurs vivants), avec titre, année et URL ? Quelles différences avec KDIGO 2017 et avec la recommandation européenne la plus récente (ERA-EDTA/ERBP) ? Citer la recommandation suisse en vigueur (société savante ou autorité, titre, année, URL) ; comparer sa version la plus récente avec celle citée dans le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E-026  ·  priorité Haute  ·  autorisation</w:t>
            </w:r>
          </w:p>
        </w:tc>
        <w:tc>
          <w:tcPr>
            <w:tcW w:w="11200" w:type="dxa"/>
            <w:shd w:val="clear" w:color="auto" w:fill="FDEBD0"/>
            <w:vAlign w:val="top"/>
          </w:tcPr>
          <w:p>
            <w:pPr>
              <w:spacing w:after="0"/>
            </w:pPr>
            <w:r>
              <w:rPr>
                <w:sz w:val="17"/>
                <w:szCs w:val="17"/>
              </w:rPr>
              <w:t xml:space="preserve">LOT 242 · SSP O7.20 · LOT_242_Appel_B_V5_Ultra_Pedagogique_Partie_3_DX.6_a_DX.7.html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3 › DX.6 › fiche « Basiliximab » ; DX.7 › fiche complète et ⑧ basiliximab</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dit que l'indication suisse de Simulect® se limite à la greffe rénale de novo ; adaptation hépatique et indication hépatique non trouvées.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Selon l'information professionnelle suisse de Simulect® (date de révision), quelles sont l'indication autorisée, la dose (20 mg J0 et J4 ?), l'adaptation rénale et hépatique et l'usage en greffe hépatique (hors indication ?) ; quelles inductions utilisent les centres suisses en greffe hépatique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E-027  ·  priorité Haute  ·  conduite</w:t>
            </w:r>
          </w:p>
        </w:tc>
        <w:tc>
          <w:tcPr>
            <w:tcW w:w="11200" w:type="dxa"/>
            <w:shd w:val="clear" w:color="auto" w:fill="FDEBD0"/>
            <w:vAlign w:val="top"/>
          </w:tcPr>
          <w:p>
            <w:pPr>
              <w:spacing w:after="0"/>
            </w:pPr>
            <w:r>
              <w:rPr>
                <w:sz w:val="17"/>
                <w:szCs w:val="17"/>
              </w:rPr>
              <w:t xml:space="preserve">LOT 242 · SSP O7.20 · LOT_242_Appel_B_V5_Ultra_Pedagogique_Partie_3_DX.6_a_DX.7.html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3 › DX.7 › insuffisance hépatique aiguë : tableau d'interprétation (glycémie, SjvO2, PIC), fiche « Sérum salé hypertonique et mannitol », biopsie, pronostic</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EASL (glycémie cible ≈ 7,8 mmol/L, PIC &gt; 25 mmHg, NaCl 2,7 % 200 mL ou mannitol 20 % 150 mL, osmolarité &lt; 320 mOsm/L) ; seuil d'hypoglycémie, spécialités suisses, critères de guérison absents.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recommandation européenne la plus récente sur l'insuffisance hépatique aiguë (EASL Clinical Practice Guidelines, version après 2017 ?) et existe-t-il un protocole suisse (centres de greffe hépatique, Swisstransplant) : seuil d'hypoglycémie à traiter, cibles de SjvO2 et de PIC, osmothérapie (concentrations et spécialités suisses du NaCl hypertonique et du mannitol), indications de la biopsie, critères de King's College et critères suisses d'inscription en urgence (score MELD, statut « urgence »)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E-028  ·  priorité Haute  ·  recommandation</w:t>
            </w:r>
          </w:p>
        </w:tc>
        <w:tc>
          <w:tcPr>
            <w:tcW w:w="11200" w:type="dxa"/>
            <w:shd w:val="clear" w:color="auto" w:fill="FDEBD0"/>
            <w:vAlign w:val="top"/>
          </w:tcPr>
          <w:p>
            <w:pPr>
              <w:spacing w:after="0"/>
            </w:pPr>
            <w:r>
              <w:rPr>
                <w:sz w:val="17"/>
                <w:szCs w:val="17"/>
              </w:rPr>
              <w:t xml:space="preserve">LOT 242 · SSP O7.20 · LOT_242_Appel_B_V5_Ultra_Pedagogique_Partie_4_DX.8_a_DX.10.html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4 › DX.9 › cancers après transplantation (épidémiologie, surveillance, recommandations)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STCS (6,2 % de cancers cutanés, PTLD 0,96 % à 5 ans) et KDIGO 2009, BCSH/BTS 2010, AST 2019 ; recommandations suisses non trouvées ; charge EBV sans seuil.</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recommandations suisses ou européennes récentes encadrent le dépistage des cancers cutanés du greffé (fréquence de l'examen dermatologique, photoprotection, conversion en inhibiteur de mTOR) et le PTLD (surveillance de la charge EBV : seuils, réduction de l'immunosuppression, rituximab) ? Comparer avec KDIGO 2009 et BCSH/BTS 2010. Citer la recommandation suisse en vigueur (société savante ou autorité, titre, année, URL) ; comparer sa version la plus récente avec celle citée dans le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E-001  ·  priorité Moyenne  ·  épidémiologie</w:t>
            </w:r>
          </w:p>
        </w:tc>
        <w:tc>
          <w:tcPr>
            <w:tcW w:w="11200" w:type="dxa"/>
            <w:shd w:val="clear" w:color="auto" w:fill="EBF5FB"/>
            <w:vAlign w:val="top"/>
          </w:tcPr>
          <w:p>
            <w:pPr>
              <w:spacing w:after="0"/>
            </w:pPr>
            <w:r>
              <w:rPr>
                <w:sz w:val="17"/>
                <w:szCs w:val="17"/>
              </w:rPr>
              <w:t xml:space="preserve">LOT 242 · SSP O7.20 · LOT_242_Appel_A_V5_Ultra_Pedagogique_Plan_et_Liste.html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2 (épidémiologie) › fenêtre « Profil des donneurs décédés en 2025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tableau donne AVC/hémorragie cérébrale 37 % et 49 %, traumatisme crânien 16 % et 20 %, sans source vérifiée pour ces pourcentages.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répartition des causes de décès des donneurs décédés utilisés en Suisse en 2025 (AVC/hémorragie cérébrale, traumatisme crânien, anoxie, autres), séparément pour le DBD et le DCD, selon le rapport annuel Swisstransplant 2025 (titre, page, URL) ? Comparer aux chiffres 2024 et indiquer à quoi correspondent les deux colonnes du cours. Donner le chiffre suisse le plus récent (source, année, URL : OFS, OFSP, registre ou rapport national) ; à défaut, le chiffre européen le plus récent avec sa méthode de mesure.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E-003  ·  priorité Moyenne  ·  autre</w:t>
            </w:r>
          </w:p>
        </w:tc>
        <w:tc>
          <w:tcPr>
            <w:tcW w:w="11200" w:type="dxa"/>
            <w:shd w:val="clear" w:color="auto" w:fill="EBF5FB"/>
            <w:vAlign w:val="top"/>
          </w:tcPr>
          <w:p>
            <w:pPr>
              <w:spacing w:after="0"/>
            </w:pPr>
            <w:r>
              <w:rPr>
                <w:sz w:val="17"/>
                <w:szCs w:val="17"/>
              </w:rPr>
              <w:t xml:space="preserve">LOT 242 · SSP O7.20 · LOT_242_Appel_A_V5_Ultra_Pedagogique_Plan_et_Liste.html ; LOT_242_Appel_B_V5_Ultra_Pedagogique_Partie_2_DX.3_a_DX.5.html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fenêtre « état végétatif » ; Partie 2 › DX.3 › tableau « Notions voisines : coma, état végétatif, locked-in, mort cérébrale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décrit l'état végétatif comme un éveil sans conscience avec tronc cérébral fonctionnel ; définition clinique détaillée absente.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définition clinique de l'état végétatif (syndrome d'éveil non répondant) et de l'état de conscience minimale retiennent les directives ASSM « Diagnostic de la mort dans le contexte de la transplantation d'organes » (version en vigueur et révision 2025) ou, à défaut, l'Academy of Neurology européenne (EAN 2020) ? Préciser les critères qui le distinguent de la mort cérébrale et du locked-in. Citer la recommandation suisse en vigueur (société savante ou autorité, titre, année, URL) ; comparer sa version la plus récente avec celle citée dans le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E-006  ·  priorité Moyenne  ·  conduite</w:t>
            </w:r>
          </w:p>
        </w:tc>
        <w:tc>
          <w:tcPr>
            <w:tcW w:w="11200" w:type="dxa"/>
            <w:shd w:val="clear" w:color="auto" w:fill="EBF5FB"/>
            <w:vAlign w:val="top"/>
          </w:tcPr>
          <w:p>
            <w:pPr>
              <w:spacing w:after="0"/>
            </w:pPr>
            <w:r>
              <w:rPr>
                <w:sz w:val="17"/>
                <w:szCs w:val="17"/>
              </w:rPr>
              <w:t xml:space="preserve">LOT 242 · SSP O7.20 · LOT_242_Appel_A_V5_Ultra_Pedagogique_Plan_et_Liste.html ; LOT_242_Appel_B_V5_Ultra_Pedagogique_Partie_1_DX.1_a_DX.2.html ; LOT_242_Appel_B_V5_Ultra_Pedagogique_Partie_2_DX.3_a_DX.5.html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9.c alternatives (grossesse, DFGe, stimulateur) ; Partie 1 › fenêtre « examen technique d'absence de perfusion » ; Partie 2 › DX.3 et DX.4 › tableaux « Alternatives selon le contexte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ne sait pas quel examen complémentaire choisir chez la femme enceinte, si DFGe &lt; 30 mL/min, en cas d'allergie aux produits de contraste iodés ou de stimulateur incompatible avec l'IRM.</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examen complémentaire de l'arrêt de la perfusion cérébrale recommander, selon les directives ASSM ou les protocoles suisses (Swisstransplant/CNDO), chez la donneuse enceinte, en cas de DFGe &lt; 30 mL/min, d'allergie aux produits de contraste iodés et de stimulateur cardiaque incompatible avec l'IRM ? Préciser si la grossesse modifie le diagnostic de mort ou la conduite (maintien somatique). Citer la recommandation suisse en vigueur (société savante ou autorité, titre, année, URL) ; comparer sa version la plus récente avec celle citée dans le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E-015  ·  priorité Moyenne  ·  autre</w:t>
            </w:r>
          </w:p>
        </w:tc>
        <w:tc>
          <w:tcPr>
            <w:tcW w:w="11200" w:type="dxa"/>
            <w:shd w:val="clear" w:color="auto" w:fill="EBF5FB"/>
            <w:vAlign w:val="top"/>
          </w:tcPr>
          <w:p>
            <w:pPr>
              <w:spacing w:after="0"/>
            </w:pPr>
            <w:r>
              <w:rPr>
                <w:sz w:val="17"/>
                <w:szCs w:val="17"/>
              </w:rPr>
              <w:t xml:space="preserve">LOT 242 · SSP O7.20 · LOT_242_Appel_A_V5_Ultra_Pedagogique_Plan_et_Liste.html ; LOT_242_Appel_B_V5_Ultra_Pedagogique_Partie_1_DX.1_a_DX.2.html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fenêtre « Entretien d'information avec le patient ou ses proches » ; Partie 1 › DX.2 › 7.3 syndrome « crainte et idées reçues » et fenêtre « aspects religieux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dit que l'appartenance religieuse ne doit pas empêcher d'aborder le don ; positions officielles des communautés religieuses suisses non trouvées (seules des organisations allemandes citées).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positions officielles sur le don d'organes et la mort cérébrale ont publiées les communautés religieuses de Suisse (Conférence des évêques suisses, Église évangélique réformée de Suisse, Fédération suisse des communautés israélites, organisations islamiques faîtières) ou l'OFSP/Swisstransplant dans un document de synthèse (titre, année, URL)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E-016  ·  priorité Moyenne  ·  autre</w:t>
            </w:r>
          </w:p>
        </w:tc>
        <w:tc>
          <w:tcPr>
            <w:tcW w:w="11200" w:type="dxa"/>
            <w:shd w:val="clear" w:color="auto" w:fill="EBF5FB"/>
            <w:vAlign w:val="top"/>
          </w:tcPr>
          <w:p>
            <w:pPr>
              <w:spacing w:after="0"/>
            </w:pPr>
            <w:r>
              <w:rPr>
                <w:sz w:val="17"/>
                <w:szCs w:val="17"/>
              </w:rPr>
              <w:t xml:space="preserve">LOT 242 · SSP O7.20 · LOT_242_Appel_B_V5_Ultra_Pedagogique_Partie_1_DX.1_a_DX.2.html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1 › DX.2 › fenêtre « donneur potentiel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renvoie aux catégories SwissPOD (donneur possible, potentiel, éligible, effectif, utilisé) sans leur définition exacte.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définitions exactes des catégories de donneurs (possible, potentiel, éligible, effectif, utilisé) utilise l'étude SwissPOD ou le monitoring Swisstransplant/CNDO, et correspondent-elles au « critical pathway » de l'OMS/Madrid 2011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E-021  ·  priorité Moyenne  ·  seuil</w:t>
            </w:r>
          </w:p>
        </w:tc>
        <w:tc>
          <w:tcPr>
            <w:tcW w:w="11200" w:type="dxa"/>
            <w:shd w:val="clear" w:color="auto" w:fill="EBF5FB"/>
            <w:vAlign w:val="top"/>
          </w:tcPr>
          <w:p>
            <w:pPr>
              <w:spacing w:after="0"/>
            </w:pPr>
            <w:r>
              <w:rPr>
                <w:sz w:val="17"/>
                <w:szCs w:val="17"/>
              </w:rPr>
              <w:t xml:space="preserve">LOT 242 · SSP O7.20 · LOT_242_Appel_B_V5_Ultra_Pedagogique_Partie_3_DX.6_a_DX.7.html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3 › DX.6 › fenêtre « biopsie du greffon rénal interprétée selon Banff » et tableau DSA</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dit que la biopsie seule distingue rejet, toxicité du tacrolimus, néphropathie BK et récidive ; seuils de positivité des DSA (MFI) et modalités de monitorage absents.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critères de Banff (classification la plus récente, Banff 2022) définissent le rejet cellulaire et humoral, quels seuils de MFI des DSA et quel calendrier de dépistage des DSA de novo recommandent les centres suisses (STCS, SwissTransplant) ou le consensus STAR 2022 ? Citer la recommandation suisse en vigueur (société savante ou autorité, titre, année, URL) ; comparer sa version la plus récente avec celle citée dans le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E-022  ·  priorité Moyenne  ·  conduite</w:t>
            </w:r>
          </w:p>
        </w:tc>
        <w:tc>
          <w:tcPr>
            <w:tcW w:w="11200" w:type="dxa"/>
            <w:shd w:val="clear" w:color="auto" w:fill="EBF5FB"/>
            <w:vAlign w:val="top"/>
          </w:tcPr>
          <w:p>
            <w:pPr>
              <w:spacing w:after="0"/>
            </w:pPr>
            <w:r>
              <w:rPr>
                <w:sz w:val="17"/>
                <w:szCs w:val="17"/>
              </w:rPr>
              <w:t xml:space="preserve">LOT 242 · SSP O7.20 · LOT_242_Appel_B_V5_Ultra_Pedagogique_Partie_2_DX.3_a_DX.5.html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DX.5 › fenêtre « don vivant » (conditions légales) et fenêtre « ABO-incompatible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LTx art. 12 et la greffe ABO-incompatible pratiquée en Suisse depuis 2003 ; préparation du receveur absente ; note que l'imlifidase ne la prépare pas.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préparation du receveur d'une greffe rénale ABO-incompatible appliquent les centres suisses (rituximab : dose et délai, immunoadsorption ou plasmaphérèse, titre cible d'isoagglutinines) et quelle est la recommandation européenne la plus récente (ERA/EAU, EDQM « Guide to the quality and safety of organs ») ? Quelles conditions légales du don vivant fixe la LTx art. 12 (état en vigueur) ? Citer le texte suisse en vigueur (RS, article, alinéa, état du texte, URL) et, s'il y a lieu, les directives ASSM ou le Code de déontologie FMH applicables, avec leur année.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E-024  ·  priorité Moyenne  ·  conduite</w:t>
            </w:r>
          </w:p>
        </w:tc>
        <w:tc>
          <w:tcPr>
            <w:tcW w:w="11200" w:type="dxa"/>
            <w:shd w:val="clear" w:color="auto" w:fill="EBF5FB"/>
            <w:vAlign w:val="top"/>
          </w:tcPr>
          <w:p>
            <w:pPr>
              <w:spacing w:after="0"/>
            </w:pPr>
            <w:r>
              <w:rPr>
                <w:sz w:val="17"/>
                <w:szCs w:val="17"/>
              </w:rPr>
              <w:t xml:space="preserve">LOT 242 · SSP O7.20 · LOT_242_Appel_B_V5_Ultra_Pedagogique_Partie_2_DX.3_a_DX.5.html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DX.5 › tableau des alternatives (stimulateur incompatible avec l'IRM) et tableau des traitements du donneur vivant (② autres antalgiques, ④ antihypertenseur)</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Dafalgan® i.v. (FI orale non lue), aucun autre antalgique, un antihypertenseur sans classe ni dose (cible 130/80 mmHg) et l'angio-TC si stimulateur incompatible avec l'IRM.</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antalgie postopératoire après néphrectomie de don (paliers, AINS à éviter ou non, opioïdes) et quel traitement antihypertenseur au long cours du donneur vivant (classe de premier choix, cible) recommandent le SOL-DHR, les centres suisses ou les recommandations européennes (ERBP, ESH 2023) ? Quelle imagerie vasculaire rénale choisir chez le candidat porteur d'un stimulateur incompatible avec l'IRM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E-025  ·  priorité Moyenne  ·  conduite</w:t>
            </w:r>
          </w:p>
        </w:tc>
        <w:tc>
          <w:tcPr>
            <w:tcW w:w="11200" w:type="dxa"/>
            <w:shd w:val="clear" w:color="auto" w:fill="EBF5FB"/>
            <w:vAlign w:val="top"/>
          </w:tcPr>
          <w:p>
            <w:pPr>
              <w:spacing w:after="0"/>
            </w:pPr>
            <w:r>
              <w:rPr>
                <w:sz w:val="17"/>
                <w:szCs w:val="17"/>
              </w:rPr>
              <w:t xml:space="preserve">LOT 242 · SSP O7.20 · LOT_242_Appel_B_V5_Ultra_Pedagogique_Partie_3_DX.6_a_DX.7.html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3 › DX.6 et DX.7 › tableaux des alternatives (allergie au contraste iodé, stimulateur incompatible avec l'IRM)</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privilégie l'échographie Doppler ; recommandation suisse pour l'imagerie avec contraste chez le greffé et produit de substitution absents.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conduite recommandent la Société suisse de radiologie (SSR), ESUR (Contrast Media Guidelines, version la plus récente) ou les centres suisses chez le greffé rénal ou hépatique allergique aux produits de contraste iodés (prémédication, produit alternatif, échographie de contraste) et chez le porteur d'un stimulateur incompatible avec l'IRM ? Préciser le risque néphrotoxique chez le greffé rénal. Citer la recommandation suisse en vigueur (société savante ou autorité, titre, année, URL) ; comparer sa version la plus récente avec celle citée dans le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E-029  ·  priorité Moyenne  ·  autre</w:t>
            </w:r>
          </w:p>
        </w:tc>
        <w:tc>
          <w:tcPr>
            <w:tcW w:w="11200" w:type="dxa"/>
            <w:shd w:val="clear" w:color="auto" w:fill="EBF5FB"/>
            <w:vAlign w:val="top"/>
          </w:tcPr>
          <w:p>
            <w:pPr>
              <w:spacing w:after="0"/>
            </w:pPr>
            <w:r>
              <w:rPr>
                <w:sz w:val="17"/>
                <w:szCs w:val="17"/>
              </w:rPr>
              <w:t xml:space="preserve">LOT 242 · SSP O7.20 · LOT_242_Appel_B_V5_Ultra_Pedagogique_Partie_4_DX.8_a_DX.10.html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4 › DX.10 › fenêtres « obligation de déclarer (OTx art. 15) », 3.3 « déclaration à l'OFSP et secret médical », « moyens institutionnels », « organes importés légalement » et piège des 18 cas déclarés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l'OTx art. 15 (déclaration dans l'année du début du suivi) et 18 cas déclarés ; Code FMH, avis juridique sur la dénonciation et chiffres européens du tourisme de transplantation absents.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prévoient le droit suisse (LTx art. 69–70, OTx art. 15, CP 321) et le Code de déontologie FMH sur la déclaration d'une greffe effectuée à l'étranger et la dénonciation d'un trafic d'organes présumé ? Combien de déclarations l'OFSP a-t-il reçues depuis 2017 (dernier chiffre) et quelles données européennes récentes (Conseil de l'Europe, Convention contre le trafic d'organes humains, ratification suisse) existent ? Citer le texte suisse en vigueur (RS, article, alinéa, état du texte, URL) et, s'il y a lieu, les directives ASSM ou le Code de déontologie FMH applicables, avec leur année.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E-038  ·  priorité Critique  ·  dose</w:t>
            </w:r>
          </w:p>
        </w:tc>
        <w:tc>
          <w:tcPr>
            <w:tcW w:w="11200" w:type="dxa"/>
            <w:shd w:val="clear" w:color="auto" w:fill="FADBD8"/>
            <w:vAlign w:val="top"/>
          </w:tcPr>
          <w:p>
            <w:pPr>
              <w:spacing w:after="0"/>
            </w:pPr>
            <w:r>
              <w:rPr>
                <w:sz w:val="17"/>
                <w:szCs w:val="17"/>
              </w:rPr>
              <w:t xml:space="preserve">LOT 243 · SSP O7.21 · LOT_243_Appel_B_V5_Ultra_Pedagogique_Partie_1_DX.1_a_DX.2.html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1 › DX.2 › tableaux d'interprétation (fonction hépatique sous Marcoumar®, imagerie cérébrale), traitement (adaptation, relais héparine par Liquémine®) et surveillance radiologique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l'interruption de Marcoumar® 5–10 jours avant chirurgie, l'héparine dès INR &lt; 2,0 et Liquémine® ; adaptation hépatique/rénale, imagerie de choix et surveillance hépatique absentes.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conduite suisse ou européenne récente (SSH, EHRA 2021, ESC 2024, guidelines.ch) applique-t-on devant un saignement sous phenprocoumone avec INR élevé : vitamine K (dose, voie), concentré de complexe prothrombinique (Beriplex®, Prothromplex® : dose selon l'INR), imagerie cérébrale de choix ? Quels sont le schéma de relais par héparine et la surveillance hépatique sous Marcoumar® selon la FI suisse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E-041  ·  priorité Critique  ·  dose</w:t>
            </w:r>
          </w:p>
        </w:tc>
        <w:tc>
          <w:tcPr>
            <w:tcW w:w="11200" w:type="dxa"/>
            <w:shd w:val="clear" w:color="auto" w:fill="FADBD8"/>
            <w:vAlign w:val="top"/>
          </w:tcPr>
          <w:p>
            <w:pPr>
              <w:spacing w:after="0"/>
            </w:pPr>
            <w:r>
              <w:rPr>
                <w:sz w:val="17"/>
                <w:szCs w:val="17"/>
              </w:rPr>
              <w:t xml:space="preserve">LOT 243 · SSP O7.21 · LOT_243_Appel_B_V5_Ultra_Pedagogique_Partie_2_DX.3_a_DX.5.html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DX.4 › tableau thérapeutique (corticostéroïdes 2e intention, furosémide Lasix®), contre-indications de Vi-De 3®, surveillance et pronostic</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Lasix® 20–40 mg i.v. puis +20 mg toutes les 2 h (FI générale) ; corticoïde sans DCI ni dose ; posologie propre à l'hypercalcémie et critères de guérison absents.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traitement de l'hypercalcémie par intoxication à la vitamine D recommandent une source suisse (Tox Info Suisse, guidelines.ch) ou européenne récente (Society for Endocrinology 2016, ESE) : hydratation (volume), diurétique de l'anse (place et dose), glucocorticoïde (DCI, dose, durée), bisphosphonate (zolédronate, pamidronate : dose et adaptation rénale), calcitonine, dialyse ; calendrier de surveillance de la calcémie et de la calciurie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E-046  ·  priorité Critique  ·  dose</w:t>
            </w:r>
          </w:p>
        </w:tc>
        <w:tc>
          <w:tcPr>
            <w:tcW w:w="11200" w:type="dxa"/>
            <w:shd w:val="clear" w:color="auto" w:fill="FADBD8"/>
            <w:vAlign w:val="top"/>
          </w:tcPr>
          <w:p>
            <w:pPr>
              <w:spacing w:after="0"/>
            </w:pPr>
            <w:r>
              <w:rPr>
                <w:sz w:val="17"/>
                <w:szCs w:val="17"/>
              </w:rPr>
              <w:t xml:space="preserve">LOT 243 · SSP O7.21 · LOT_243_Appel_A_V5_Ultra_Pedagogique_Plan_et_Liste.html ; LOT_243_Appel_B_V5_Ultra_Pedagogique_Partie_4_DX.8_a_DX.10.html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tableau des examens (dissection cervicale) ; Partie 4 › DX.9 › tableau thérapeutique (3. antiplaquettaire : Aspirine® Cardio)</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pour Aspirine® Cardio : « indication suisse de prévention après accident ischémique transitoire : 100 mg 3 fois par jour ou 300 mg 1 fois par jour » et cite l'essai TREAT-CAD ; aucune méthode d'imagerie ne détecte tous les cas.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Vérifier dans la FI suisse d'Aspirine® Cardio (date de révision) la posologie exacte après AIT ou AVC (le schéma « 100 mg 3 fois par jour » paraît erroné) et les contre-indications rénales et hépatiques. Quel traitement antithrombotique (antiplaquettaire ou anticoagulant, durée) et quelle imagerie de première intention (IRM avec séquences T1 fat-sat, angio-TC, échographie) recommandent la Société suisse neurovasculaire / Swiss Stroke Society ou l'ESO (guideline la plus récente sur la dissection cervicale)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E-034  ·  priorité Haute  ·  seuil</w:t>
            </w:r>
          </w:p>
        </w:tc>
        <w:tc>
          <w:tcPr>
            <w:tcW w:w="11200" w:type="dxa"/>
            <w:shd w:val="clear" w:color="auto" w:fill="FDEBD0"/>
            <w:vAlign w:val="top"/>
          </w:tcPr>
          <w:p>
            <w:pPr>
              <w:spacing w:after="0"/>
            </w:pPr>
            <w:r>
              <w:rPr>
                <w:sz w:val="17"/>
                <w:szCs w:val="17"/>
              </w:rPr>
              <w:t xml:space="preserve">LOT 243 · SSP O7.21 · LOT_243_Appel_A_V5_Ultra_Pedagogique_Plan_et_Liste.html ; LOT_243_Appel_B_V5_Ultra_Pedagogique_Partie_1_DX.1_a_DX.2.html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tableaux des examens (taux de ciclosporine/tacrolimus, INR, digoxinémie) ; Partie 1 › DX.1 et DX.2 › tableaux d'interprétation (INR, digoxinémie, charge virale VIH) et 9.d deuxième intention, durée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que la cible du taux résiduel de ciclosporine ou tacrolimus et de la digoxinémie est « donnée non trouvée » ; INR cible 2,0–3,0 (2,0–3,5 valve mécanique) ; charge virale VIH sous inhibiteur de la protéase sans seuil.</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cibles thérapeutiques suisses ou européennes s'appliquent au taux résiduel de ciclosporine et de tacrolimus (selon l'organe et le délai post-greffe), à la digoxinémie (fourchette thérapeutique selon FI Digoxin Sandoz® ou équivalent suisse), à l'INR sous phenprocoumone selon l'indication (FA, TEV, valves) et au seuil de charge virale VIH définissant l'échec virologique (EACS 2024) ? Quelle conduite face à l'ajout ou à l'arrêt du millepertuis (délai de contrôle du taux).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E-035  ·  priorité Haute  ·  conduite</w:t>
            </w:r>
          </w:p>
        </w:tc>
        <w:tc>
          <w:tcPr>
            <w:tcW w:w="11200" w:type="dxa"/>
            <w:shd w:val="clear" w:color="auto" w:fill="FDEBD0"/>
            <w:vAlign w:val="top"/>
          </w:tcPr>
          <w:p>
            <w:pPr>
              <w:spacing w:after="0"/>
            </w:pPr>
            <w:r>
              <w:rPr>
                <w:sz w:val="17"/>
                <w:szCs w:val="17"/>
              </w:rPr>
              <w:t xml:space="preserve">LOT 243 · SSP O7.21 · LOT_243_Appel_B_V5_Ultra_Pedagogique_Partie_1_DX.1_a_DX.2.html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1 › DX.1 › syndrome sérotoninergique (fenêtre « tachycardie », critères diagnostiques, algorithme étape 5)</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dit que les critères diagnostiques formels (Hunter) et le traitement spécifique du syndrome sérotoninergique ne figurent pas dans les sources consultées.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critères diagnostiques du syndrome sérotoninergique (Hunter, Sternbach) et quel traitement (arrêt, benzodiazépine, cyproheptadine : dose et disponibilité en Suisse, refroidissement) recommandent Tox Info Suisse ou la recommandation européenne la plus récente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E-037  ·  priorité Haute  ·  conduite</w:t>
            </w:r>
          </w:p>
        </w:tc>
        <w:tc>
          <w:tcPr>
            <w:tcW w:w="11200" w:type="dxa"/>
            <w:shd w:val="clear" w:color="auto" w:fill="FDEBD0"/>
            <w:vAlign w:val="top"/>
          </w:tcPr>
          <w:p>
            <w:pPr>
              <w:spacing w:after="0"/>
            </w:pPr>
            <w:r>
              <w:rPr>
                <w:sz w:val="17"/>
                <w:szCs w:val="17"/>
              </w:rPr>
              <w:t xml:space="preserve">LOT 243 · SSP O7.21 · LOT_243_Appel_B_V5_Ultra_Pedagogique_Partie_1_DX.1_a_DX.2.html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1 › DX.2 › fenêtre « anticoagulants oraux directs (AOD) » et monographie plantes–AVK (critères, classement des plantes)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l'interaction rivaroxaban–inducteurs (ASC −50 % avec rifampicine) et la revue de Tan et Lee ; aucun critère formel de l'interaction plante–AVK ; liste de plantes à risque hémorragique tirée d'une revue.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Selon les informations professionnelles suisses de Xarelto®, Eliquis®, Lixiana® et Pradaxa® (date de révision), quelle conduite tenir avec le millepertuis et les autres inducteurs puissants ? Quelles plantes et compléments une source suisse ou européenne récente (EMA/HMPC, Swissmedic) classe-t-elle à risque hémorragique avec les AVK et les AOD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E-039  ·  priorité Haute  ·  conduite</w:t>
            </w:r>
          </w:p>
        </w:tc>
        <w:tc>
          <w:tcPr>
            <w:tcW w:w="11200" w:type="dxa"/>
            <w:shd w:val="clear" w:color="auto" w:fill="FDEBD0"/>
            <w:vAlign w:val="top"/>
          </w:tcPr>
          <w:p>
            <w:pPr>
              <w:spacing w:after="0"/>
            </w:pPr>
            <w:r>
              <w:rPr>
                <w:sz w:val="17"/>
                <w:szCs w:val="17"/>
              </w:rPr>
              <w:t xml:space="preserve">LOT 243 · SSP O7.21 · LOT_243_Appel_A_V5_Ultra_Pedagogique_Plan_et_Liste.html ; LOT_243_Appel_B_V5_Ultra_Pedagogique_Partie_2_DX.3_a_DX.5.html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examens (RUCAM, bilan hépatique) et pronostic ; Partie 2 › DX.3 › hépatotoxicité des plantes (fréquence, grades d'encéphalopathie, syndrome d'obstruction sinusoïdale, corticoïde, Tesalin® N, surveillance, guérison)</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retient RUCAM ≥ 9 hautement probable, ALAT ≥ 5 × LSN, MELD &gt; 29 ; fréquence suisse de la HILI, définition des grades, signes du syndrome d'obstruction sinusoïdale, dose du corticoïde et calendrier de surveillance absents ; Tesalin® N : prudence en insuffisance hépatique.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recommandation européenne la plus récente encadre l'hépatotoxicité médicamenteuse et végétale (EASL Clinical Practice Guidelines DILI 2019 ou mise à jour, CIOMS 2020) : seuils RUCAM, critères de gravité (loi de Hy, grades de West Haven), indication et dose des corticoïdes, calendrier de surveillance, critères de guérison ? Quels signes définissent le syndrome d'obstruction sinusoïdale (alcaloïdes pyrrolizidiniques) ? Que dit la FI suisse actuelle de Tesalin® N sur l'hépatotoxicité et la surveillance ? Existe-t-il un chiffre suisse de la HILI ? Citer la recommandation suisse en vigueur (société savante ou autorité, titre, année, URL) ; comparer sa version la plus récente avec celle citée dans le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E-040  ·  priorité Haute  ·  seuil</w:t>
            </w:r>
          </w:p>
        </w:tc>
        <w:tc>
          <w:tcPr>
            <w:tcW w:w="11200" w:type="dxa"/>
            <w:shd w:val="clear" w:color="auto" w:fill="FDEBD0"/>
            <w:vAlign w:val="top"/>
          </w:tcPr>
          <w:p>
            <w:pPr>
              <w:spacing w:after="0"/>
            </w:pPr>
            <w:r>
              <w:rPr>
                <w:sz w:val="17"/>
                <w:szCs w:val="17"/>
              </w:rPr>
              <w:t xml:space="preserve">LOT 243 · SSP O7.21 · LOT_243_Appel_A_V5_Ultra_Pedagogique_Plan_et_Liste.html ; LOT_243_Appel_B_V5_Ultra_Pedagogique_Partie_2_DX.3_a_DX.5.html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tableau des examens (hypercalcémie par vitamine D) ; Partie 2 › DX.4 › tableaux d'interprétation (calciurie, calcium corrigé, créatinine, phosphate, PTH, 1,25(OH)₂D, imagerie rénale), signes ECG, sténose aortique supravalvulaire, seuil LC-MS/MS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25(OH)D &gt; 375 nmol/l, calcémie &gt; 2,60 mmol/l, calciurie &gt; 6,25 à &gt; 7,5 mmol/24 h (FI Vi-De 3®) ; valeurs de référence suisses, signes ECG et imagerie absents.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seuils définissent l'intoxication à la vitamine D (25(OH)D, calcémie totale et ionisée, calciurie) selon une source suisse (OSAV, Commission fédérale de l'alimentation 2012/actualisation, FI Vi-De 3®) ou l'EFSA 2023 (limite supérieure d'apport) ? Quels signes ECG de l'hypercalcémie et quelle imagerie rénale (échographie, néphrocalcinose) retenir ? Citer la recommandation suisse en vigueur (société savante ou autorité, titre, année, URL) ; comparer sa version la plus récente avec celle citée dans le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E-042  ·  priorité Haute  ·  dose</w:t>
            </w:r>
          </w:p>
        </w:tc>
        <w:tc>
          <w:tcPr>
            <w:tcW w:w="11200" w:type="dxa"/>
            <w:shd w:val="clear" w:color="auto" w:fill="FDEBD0"/>
            <w:vAlign w:val="top"/>
          </w:tcPr>
          <w:p>
            <w:pPr>
              <w:spacing w:after="0"/>
            </w:pPr>
            <w:r>
              <w:rPr>
                <w:sz w:val="17"/>
                <w:szCs w:val="17"/>
              </w:rPr>
              <w:t xml:space="preserve">LOT 243 · SSP O7.21 · LOT_243_Appel_B_V5_Ultra_Pedagogique_Partie_2_DX.3_a_DX.5.html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DX.5 › phytothérapie en grossesse et allaitement (fenêtres « gingembre », « livèche », 7.4 exposition du nourrisson allaité, signes cliniques, gold standard, surveillance)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classe le gingembre « sûr » sans dose ni forme ; motif de la contre-indication de la livèche absent ; « autres plantes » pendant l'allaitement : appliquer la FI.</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dose et quelle forme de gingembre sont validées contre les nausées de la grossesse (FI suisse d'un produit autorisé, monographie HMPC/EMA, SSGO avis d'experts) ? Pourquoi la livèche est-elle contre-indiquée pendant la grossesse ? Quelles sources suisses ou européennes (Swiss Teratogen Information Service, LactMed équivalent européen, HMPC) classent les plantes compatibles ou non avec l'allaitement ? Citer la recommandation suisse en vigueur (société savante ou autorité, titre, année, URL) ; comparer sa version la plus récente avec celle citée dans le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E-043  ·  priorité Haute  ·  épidémiologie</w:t>
            </w:r>
          </w:p>
        </w:tc>
        <w:tc>
          <w:tcPr>
            <w:tcW w:w="11200" w:type="dxa"/>
            <w:shd w:val="clear" w:color="auto" w:fill="FDEBD0"/>
            <w:vAlign w:val="top"/>
          </w:tcPr>
          <w:p>
            <w:pPr>
              <w:spacing w:after="0"/>
            </w:pPr>
            <w:r>
              <w:rPr>
                <w:sz w:val="17"/>
                <w:szCs w:val="17"/>
              </w:rPr>
              <w:t xml:space="preserve">LOT 243 · SSP O7.21 · LOT_243_Appel_B_V5_Ultra_Pedagogique_Partie_3_DX.6_a_DX.7.html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3 › DX.6 › hésitation vaccinale (fenêtres « questionnaire PACV », « anthroposophie », épidémiologie ROR, fenêtre légale CC art. 307, pronostic de la rougeole)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dit que la couverture vaccinale suisse ROR est « non trouvée (rapport OFSP non téléchargeable) » ; le signalement à l'APEA et le secret médical en cas de refus vaccinal parental n'ont pas été lus.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couverture vaccinale suisse ROR (1 et 2 doses à 2, 8 et 16 ans) selon le monitoring cantonal de l'OFSP le plus récent, et quelles données européennes (ECDC) relient hésitation vaccinale et médecines complémentaires ? Le refus parental d'un vaccin justifie-t-il un avis à l'APEA (CC 307, 314c) et dans quelles limites du secret médical (CP 321) ; que recommandent l'OFSP et Pédiatrie Suisse ? Citer le texte suisse en vigueur (RS, article, alinéa, état du texte, URL) et, s'il y a lieu, les directives ASSM ou le Code de déontologie FMH applicables, avec leur année.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E-047  ·  priorité Haute  ·  seuil</w:t>
            </w:r>
          </w:p>
        </w:tc>
        <w:tc>
          <w:tcPr>
            <w:tcW w:w="11200" w:type="dxa"/>
            <w:shd w:val="clear" w:color="auto" w:fill="FDEBD0"/>
            <w:vAlign w:val="top"/>
          </w:tcPr>
          <w:p>
            <w:pPr>
              <w:spacing w:after="0"/>
            </w:pPr>
            <w:r>
              <w:rPr>
                <w:sz w:val="17"/>
                <w:szCs w:val="17"/>
              </w:rPr>
              <w:t xml:space="preserve">LOT 243 · SSP O7.21 · LOT_243_Appel_A_V5_Ultra_Pedagogique_Plan_et_Liste.html ; LOT_243_Appel_B_V5_Ultra_Pedagogique_Partie_4_DX.8_a_DX.10.html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tableau des examens (saturnisme : plombémie, grossesse) et pronostic ; Partie 4 › DX.10 › intoxication par métaux lourds (critères, gold standard, alternatives, fenêtre « importation, déclaration », pronostic)</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 phase pilote SHeS 2020–2021 (médiane 13 µg/l, P95 37 µg/l), les symptômes vers 400–790 µg/l, l'édétate calcique préféré au succimer pendant la grossesse ; valeurs de référence suisses, critères formels, chélation chiffrée et avertissement Swissmedic sur l'ayurvéda absents.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valeurs de référence et quels seuils d'action de la plombémie (adulte, femme enceinte, enfant) retiennent une source suisse (OFSP, Suva, Tox Info Suisse, programme suisse de biosurveillance) ou européenne récente (EFSA) ? Quelle chélation (succimer, édétate calcique disodique, DMPS : seuil d'indication, dose, disponibilité en Suisse) est recommandée ? Swissmedic a-t-il publié une mise en garde sur les préparations ayurvédiques ou asiatiques contaminées par le plomb ou le mercure (date, URL)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E-030  ·  priorité Moyenne  ·  autre</w:t>
            </w:r>
          </w:p>
        </w:tc>
        <w:tc>
          <w:tcPr>
            <w:tcW w:w="11200" w:type="dxa"/>
            <w:shd w:val="clear" w:color="auto" w:fill="EBF5FB"/>
            <w:vAlign w:val="top"/>
          </w:tcPr>
          <w:p>
            <w:pPr>
              <w:spacing w:after="0"/>
            </w:pPr>
            <w:r>
              <w:rPr>
                <w:sz w:val="17"/>
                <w:szCs w:val="17"/>
              </w:rPr>
              <w:t xml:space="preserve">LOT 243 · SSP O7.21 · LOT_243_Appel_A_V5_Ultra_Pedagogique_Plan_et_Liste.html ; LOT_243_Appel_B_V5_Ultra_Pedagogique_Partie_4_DX.8_a_DX.10.html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cadre déontologique et professionnel du médecin ; formations ISFM ; Partie 4 › DX.9 › fenêtre transversale « statut légal du chiropraticien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Code FMH (art. 8 « pratiques discutables », art. 10 « information ») est resté inaccessible ; seuls le programme ISFM de phytothérapie (SSPM, 2015) a été lu ; sigles ASA, ASMOA, SSMH, SMGP non développés ; remboursement de la chiropraxie et de l'ostéopathie non traité.</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disent les articles du Code de déontologie de la FMH (version en vigueur, URL) sur les méthodes complémentaires et l'information du patient ? Quels sont la signification et les programmes ISFM en vigueur des attestations de formation complémentaire en médecine complémentaire (ASA acupuncture-MTC, ASMOA médecine anthroposophique, SSMH homéopathie, phytothérapie SSPM, SMGP) ? Quel est le statut LPMéd du chiropraticien et quelle prise en charge AOS (OPAS art. 4b, OAMal) s'applique à la chiropraxie et à l'ostéopathie ? Citer le texte suisse en vigueur (RS, article, alinéa, état du texte, URL) et, s'il y a lieu, les directives ASSM ou le Code de déontologie FMH applicables, avec leur année.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E-031  ·  priorité Moyenne  ·  autorisation</w:t>
            </w:r>
          </w:p>
        </w:tc>
        <w:tc>
          <w:tcPr>
            <w:tcW w:w="11200" w:type="dxa"/>
            <w:shd w:val="clear" w:color="auto" w:fill="EBF5FB"/>
            <w:vAlign w:val="top"/>
          </w:tcPr>
          <w:p>
            <w:pPr>
              <w:spacing w:after="0"/>
            </w:pPr>
            <w:r>
              <w:rPr>
                <w:sz w:val="17"/>
                <w:szCs w:val="17"/>
              </w:rPr>
              <w:t xml:space="preserve">LOT 243 · SSP O7.21 · LOT_243_Appel_A_V5_Ultra_Pedagogique_Plan_et_Liste.html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fenêtre « Autorisation des médicaments : LPTh art. 14, 15, 2… » (OAMédcophy art. 31, liste SAT)</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l'autorisation sur déclaration (LPTh art. 15) et la liste SAT de l'annexe 10 de l'OAMédcophy, sigle non développé.</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signifie la liste « SAT » de l'annexe 10 de l'OAMédcophy (RS 812.212.24, état en vigueur) et quelles conditions d'autorisation simplifiée ou sur déclaration s'appliquent aux médicaments asiatiques, homéopathiques, anthroposophiques et phytothérapeutiques en Suisse ? Citer le texte suisse en vigueur (RS, article, alinéa, état du texte, URL) et, s'il y a lieu, les directives ASSM ou le Code de déontologie FMH applicables, avec leur année.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E-032  ·  priorité Moyenne  ·  épidémiologie</w:t>
            </w:r>
          </w:p>
        </w:tc>
        <w:tc>
          <w:tcPr>
            <w:tcW w:w="11200" w:type="dxa"/>
            <w:shd w:val="clear" w:color="auto" w:fill="EBF5FB"/>
            <w:vAlign w:val="top"/>
          </w:tcPr>
          <w:p>
            <w:pPr>
              <w:spacing w:after="0"/>
            </w:pPr>
            <w:r>
              <w:rPr>
                <w:sz w:val="17"/>
                <w:szCs w:val="17"/>
              </w:rPr>
              <w:t xml:space="preserve">LOT 243 · SSP O7.21 · LOT_243_Appel_A_V5_Ultra_Pedagogique_Plan_et_Liste.html ; LOT_243_Appel_B_V5_Ultra_Pedagogique_Partie_1_DX.1_a_DX.2.html ; LOT_243_Appel_B_V5_Ultra_Pedagogique_Partie_2_DX.3_a_DX.5.html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2 (épidémiologie, ESS 2017 vs 2022) ; Partie 1 › DX.2 épidémiologie ; Partie 2 › DX.4 et DX.5 (fréquence des intoxications vitaminiques, usage de plantes en grossesse en Suisse) ; Partie 3 › DX.7 (gui)</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l'ESS 2017 (24,7 % → 28,9 % d'usage de médecine complémentaire, 7,0 % de phytothérapie) ; chiffres ESS 2022, fréquence suisse des intoxications vitaminiques, part suisse de l'étude multinationale sur la grossesse et usage du gui en oncologie non trouvés.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chiffres de l'Enquête suisse sur la santé 2022 (OFS) décrivent le recours aux médecines complémentaires (global, par méthode, phytothérapie) et comment évoluent-ils par rapport à 2017 ? Quelle est la fréquence suisse des intoxications par vitamines (Tox Info Suisse, rapport annuel le plus récent), de l'usage de plantes pendant la grossesse (part suisse de l'étude multinationale de Kennedy 2013) et du recours au gui chez les patients cancéreux en Suisse ? Donner le chiffre suisse le plus récent (source, année, URL : OFS, OFSP, registre ou rapport national) ; à défaut, le chiffre européen le plus récent avec sa méthode de mesure.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E-033  ·  priorité Moyenne  ·  épidémiologie</w:t>
            </w:r>
          </w:p>
        </w:tc>
        <w:tc>
          <w:tcPr>
            <w:tcW w:w="11200" w:type="dxa"/>
            <w:shd w:val="clear" w:color="auto" w:fill="EBF5FB"/>
            <w:vAlign w:val="top"/>
          </w:tcPr>
          <w:p>
            <w:pPr>
              <w:spacing w:after="0"/>
            </w:pPr>
            <w:r>
              <w:rPr>
                <w:sz w:val="17"/>
                <w:szCs w:val="17"/>
              </w:rPr>
              <w:t xml:space="preserve">LOT 243 · SSP O7.21 · LOT_243_Appel_B_V5_Ultra_Pedagogique_Partie_1_DX.1_a_DX.2.html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1 › DX.1 et DX.2 › point 2 (épidémiologie des interactions)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dit que les sources ne chiffrent ni l'incidence suisse, ni l'âge, ni la mortalité des interactions millepertuis et plantes–AVK.</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Existe-t-il des données suisses (Swissmedic, pharmacovigilance, Tox Info Suisse, études hospitalières) ou européennes récentes sur la fréquence, l'âge et la mortalité des interactions médicamenteuses dues au millepertuis et des saignements liés aux plantes sous antagoniste de la vitamine K ? Donner le chiffre suisse le plus récent (source, année, URL : OFS, OFSP, registre ou rapport national) ; à défaut, le chiffre européen le plus récent avec sa méthode de mesure.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E-036  ·  priorité Moyenne  ·  autre</w:t>
            </w:r>
          </w:p>
        </w:tc>
        <w:tc>
          <w:tcPr>
            <w:tcW w:w="11200" w:type="dxa"/>
            <w:shd w:val="clear" w:color="auto" w:fill="EBF5FB"/>
            <w:vAlign w:val="top"/>
          </w:tcPr>
          <w:p>
            <w:pPr>
              <w:spacing w:after="0"/>
            </w:pPr>
            <w:r>
              <w:rPr>
                <w:sz w:val="17"/>
                <w:szCs w:val="17"/>
              </w:rPr>
              <w:t xml:space="preserve">LOT 243 · SSP O7.21 · LOT_243_Appel_B_V5_Ultra_Pedagogique_Partie_1_DX.1_a_DX.2.html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1 › DX.1 › fenêtre « déclaration à Swissmedic (ElViS) » ; Partie 2 › DX.4 › fenêtre transversale 12.1 « Déclaration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LPTh art. 59 (état 1.1.2025) ; aucune recommandation suisse de prévention trouvée ; un complément alimentaire relève de l'OCAl, voie de déclaration incertaine.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Comment déclare-t-on en Suisse un effet indésirable d'un médicament phytothérapeutique (ElViS, Swissmedic) et d'un complément alimentaire (OSAV, autorité cantonale, Tox Info Suisse) ; existe-t-il une recommandation suisse de prévention des interactions avec les plantes (Swissmedic, pharmaSuisse, SSPM) ? Citer le texte suisse en vigueur (RS, article, alinéa, état du texte, URL) et, s'il y a lieu, les directives ASSM ou le Code de déontologie FMH applicables, avec leur année.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E-044  ·  priorité Moyenne  ·  recommandation</w:t>
            </w:r>
          </w:p>
        </w:tc>
        <w:tc>
          <w:tcPr>
            <w:tcW w:w="11200" w:type="dxa"/>
            <w:shd w:val="clear" w:color="auto" w:fill="EBF5FB"/>
            <w:vAlign w:val="top"/>
          </w:tcPr>
          <w:p>
            <w:pPr>
              <w:spacing w:after="0"/>
            </w:pPr>
            <w:r>
              <w:rPr>
                <w:sz w:val="17"/>
                <w:szCs w:val="17"/>
              </w:rPr>
              <w:t xml:space="preserve">LOT 243 · SSP O7.21 · LOT_243_Appel_B_V5_Ultra_Pedagogique_Partie_3_DX.6_a_DX.7.html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3 › DX.7 › médecine alternative substitutive en oncologie (motifs du refus, critères, traitements conventionnels, Iscador®)</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dit qu'aucun critère formel n'existe pour la substitution, que les doses oncologiques relèvent de l'oncologie et que les Cochrane 2008/2019 sur le gui ne montrent pas de bénéfice de survie.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recommandent la Ligue suisse contre le cancer, la SSOM (Société suisse d'oncologie médicale) ou l'ESMO (position la plus récente sur les médecines complémentaires, SIO-ASCO comme comparaison) face au patient qui refuse un traitement curatif au profit d'une méthode alternative ? Quelle est l'indication autorisée actuelle d'Iscador® selon la FI suisse et quelle place lui donne l'évidence la plus récente ? Citer la recommandation suisse en vigueur (société savante ou autorité, titre, année, URL) ; comparer sa version la plus récente avec celle citée dans le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E-045  ·  priorité Moyenne  ·  conduite</w:t>
            </w:r>
          </w:p>
        </w:tc>
        <w:tc>
          <w:tcPr>
            <w:tcW w:w="11200" w:type="dxa"/>
            <w:shd w:val="clear" w:color="auto" w:fill="EBF5FB"/>
            <w:vAlign w:val="top"/>
          </w:tcPr>
          <w:p>
            <w:pPr>
              <w:spacing w:after="0"/>
            </w:pPr>
            <w:r>
              <w:rPr>
                <w:sz w:val="17"/>
                <w:szCs w:val="17"/>
              </w:rPr>
              <w:t xml:space="preserve">LOT 243 · SSP O7.21 · LOT_243_Appel_B_V5_Ultra_Pedagogique_Partie_4_DX.8_a_DX.10.html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4 › DX.8 › complications de l'acupuncture (critères, 9.d deuxième intention, pneumothorax, biologie, prévention)</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une déclaration ERS sur le pneumothorax spontané primaire (traitement guidé par les symptômes) ; aucun critère formel des complications ni de recommandation d'imagerie de 2e intention.</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recommandation européenne la plus récente encadre la prise en charge du pneumothorax (ERS/EACTS/ESTS 2024 sur le pneumothorax spontané, BTS 2023 en comparaison) applicable au pneumothorax iatrogène après acupuncture ? Existe-t-il des standards suisses de sécurité de l'acupuncture (ASA, OFSP : hygiène, aiguilles à usage unique, déclaration) ? Citer la recommandation suisse en vigueur (société savante ou autorité, titre, année, URL) ; comparer sa version la plus récente avec celle citée dans le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E-051  ·  priorité Critique  ·  dose</w:t>
            </w:r>
          </w:p>
        </w:tc>
        <w:tc>
          <w:tcPr>
            <w:tcW w:w="11200" w:type="dxa"/>
            <w:shd w:val="clear" w:color="auto" w:fill="FADBD8"/>
            <w:vAlign w:val="top"/>
          </w:tcPr>
          <w:p>
            <w:pPr>
              <w:spacing w:after="0"/>
            </w:pPr>
            <w:r>
              <w:rPr>
                <w:sz w:val="17"/>
                <w:szCs w:val="17"/>
              </w:rPr>
              <w:t xml:space="preserve">LOT 244 · SSP O7.22 · LOT_244_Appel_A_V5_Ultra_Pedagogique_Plan_et_Liste.html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fenêtre 4.1 Bio-Mathématique (ClCr 30–50 ml/min) ; Bloc 2 › tableau « exemples avec les anticoagulants » (édoxaban, rivaroxaban) ; tableau INR phenprocoumone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donne dabigatran 110 mg 2×/j avec amiodarone ou vérapamil, édoxaban 30 mg 1×/j avec ciclosporine, dronédarone, érythromycine, kétoconazole, quinidine, vérapamil, rivaroxaban non recommandé avec azolés et ritonavir ; INR &gt; 3,5 demi-comprimé, &gt; 4,5 ne pas donner ; cible INR absente.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Selon les FI suisses en vigueur de Pradaxa®, Lixiana®, Xarelto®, Eliquis® et Marcoumar® (date de révision), quelles réductions de dose s'appliquent selon la clairance de la créatinine (Cockcroft-Gault), le poids et les inhibiteurs de la P-gp ou du CYP3A4 (amiodarone, vérapamil, dronédarone, ciclosporine, macrolides, azolés, ritonavir) ? Quelle cible d'INR et quel schéma de correction d'un INR élevé sans saignement (vitamine K per os, dose) recommandent la SSH ou l'ESC 2024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E-052  ·  priorité Critique  ·  dose</w:t>
            </w:r>
          </w:p>
        </w:tc>
        <w:tc>
          <w:tcPr>
            <w:tcW w:w="11200" w:type="dxa"/>
            <w:shd w:val="clear" w:color="auto" w:fill="FADBD8"/>
            <w:vAlign w:val="top"/>
          </w:tcPr>
          <w:p>
            <w:pPr>
              <w:spacing w:after="0"/>
            </w:pPr>
            <w:r>
              <w:rPr>
                <w:sz w:val="17"/>
                <w:szCs w:val="17"/>
              </w:rPr>
              <w:t xml:space="preserve">LOT 244 · SSP O7.22 · LOT_244_Appel_A_V5_Ultra_Pedagogique_Plan_et_Liste.html ; LOT_244_Appel_B_V5_Ultra_Pedagogique_Partie_2_DX.3_a_DX.5.html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tableau « adaptations selon le terrain » (grossesse, allergie au contraste) et durée de l'adrénaline ; Partie 2 › DX.4 › fenêtre 6.1 (tryptase de base), adrénaline intramusculaire, glucagon et bêtabloquants, surveillance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suit WAO 2020 (adrénaline 0,01 mg/kg i.m., maximum 0,5 mg, toutes les 5–15 min ; observation des réactions biphasiques 6–12 h) ; tryptase de base, adaptations en grossesse et insuffisance rénale absentes.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recommandation suisse en vigueur (SSAI/SGAI, guidelines.ch) ou européenne la plus récente (EAACI 2021, WAO 2020 mise à jour) encadre le traitement de l'anaphylaxie médicamenteuse : adrénaline i.m. (dose selon l'âge et le poids, auto-injecteurs suisses Jext®, EpiPen®, Emerade® et dosages), glucagon sous bêtabloquant, durée d'observation, femme enceinte ? Quel seuil de tryptase (formule 20 % + 2 ng/ml, tryptase de base) confirme la réaction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E-053  ·  priorité Critique  ·  dose</w:t>
            </w:r>
          </w:p>
        </w:tc>
        <w:tc>
          <w:tcPr>
            <w:tcW w:w="11200" w:type="dxa"/>
            <w:shd w:val="clear" w:color="auto" w:fill="FADBD8"/>
            <w:vAlign w:val="top"/>
          </w:tcPr>
          <w:p>
            <w:pPr>
              <w:spacing w:after="0"/>
            </w:pPr>
            <w:r>
              <w:rPr>
                <w:sz w:val="17"/>
                <w:szCs w:val="17"/>
              </w:rPr>
              <w:t xml:space="preserve">LOT 244 · SSP O7.22 · LOT_244_Appel_B_V5_Ultra_Pedagogique_Partie_1_DX.1_a_DX.2.html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1 › DX.1 › fenêtre 11.1 « Moyens pharmacologiques » (cholestyramine, antidotes), surveillance et pronostic</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cholestyramine 5 × 4 g/j « non vérifiée dans le dossier », Praxbind® 5 g, Ondexxya™ 400 mg puis 4 mg/min, Beriplex® 25 UI/kg pour INR 2,0–3,9 ; adaptation rénale ou hépatique, surveillance radiologique et critère de guérison absents.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Selon les FI suisses et la liste suisse des antidotes (Tox Info Suisse/Société suisse de pharmacologie et toxicologie cliniques, édition la plus récente), quelles sont l'indication, la dose et la disponibilité de la cholestyramine (Quantalan®) pour accélérer l'élimination de la phenprocoumone, de l'idarucizumab, de l'andexanet alfa et du concentré de complexe prothrombinique dans l'hémorragie sous anticoagulant ? Quelle surveillance (ECG, imagerie de contrôle en cas d'hémorragie intracrânienne) recommande l'ESO ou l'ESC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E-054  ·  priorité Critique  ·  conduite</w:t>
            </w:r>
          </w:p>
        </w:tc>
        <w:tc>
          <w:tcPr>
            <w:tcW w:w="11200" w:type="dxa"/>
            <w:shd w:val="clear" w:color="auto" w:fill="FADBD8"/>
            <w:vAlign w:val="top"/>
          </w:tcPr>
          <w:p>
            <w:pPr>
              <w:spacing w:after="0"/>
            </w:pPr>
            <w:r>
              <w:rPr>
                <w:sz w:val="17"/>
                <w:szCs w:val="17"/>
              </w:rPr>
              <w:t xml:space="preserve">LOT 244 · SSP O7.22 · LOT_244_Appel_B_V5_Ultra_Pedagogique_Partie_1_DX.1_a_DX.2.html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1 › DX.2 › triple whammy et hyperkaliémie (symptômes extra-cardiaques, grossesse et enfant, pronostic)</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dit qu'un K+ ≥ 6,5 mmol/l en ville impose une évaluation hospitalière immédiate ; traitement chez la femme enceinte et l'enfant, adaptation hépatique et symptômes extra-cardiaques absents.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recommandation suisse ou européenne la plus récente (ERC 2025, KDIGO 2020 controverses sur le potassium, UK Kidney Association 2023 en comparaison) encadre le traitement aigu de l'hyperkaliémie : seuils d'urgence, gluconate de calcium, insuline-glucose (doses), salbutamol, chélateurs (patiromère Veltassa®, cyclosilicate de zirconium Lokelma® : statut et dose suisse), adaptations chez l'enfant et la femme enceinte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E-055  ·  priorité Critique  ·  dose</w:t>
            </w:r>
          </w:p>
        </w:tc>
        <w:tc>
          <w:tcPr>
            <w:tcW w:w="11200" w:type="dxa"/>
            <w:shd w:val="clear" w:color="auto" w:fill="FADBD8"/>
            <w:vAlign w:val="top"/>
          </w:tcPr>
          <w:p>
            <w:pPr>
              <w:spacing w:after="0"/>
            </w:pPr>
            <w:r>
              <w:rPr>
                <w:sz w:val="17"/>
                <w:szCs w:val="17"/>
              </w:rPr>
              <w:t xml:space="preserve">LOT 244 · SSP O7.22 · LOT_244_Appel_B_V5_Ultra_Pedagogique_Partie_2_DX.3_a_DX.5.html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DX.3 › intoxication digitalique (hausse sous clarithromycine, gold standard, électrolytes et fonction rénale, DigiFab®, atropine, pronostic)</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DigiFab® 40 mg/flacon (Curatis AG) et l'atropine Sintetica (adulte 0,5–1,0 mg, enfant 0,1–0,4 mg selon le poids) ; ampleur de la hausse sous clarithromycine, seuil de calcium, conduite rénale et atropine en grossesse et insuffisance rénale absents.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Selon la FI suisse de DigiFab® et la liste suisse des antidotes, quelles indications (digoxinémie, kaliémie, troubles du rythme) et quelle dose (calcul selon la digoxinémie ou la quantité ingérée, dose empirique aiguë et chronique) s'appliquent ? Quelle digoxinémie thérapeutique et toxique retenir, quelle hausse attendre sous clarithromycine, quel ajustement selon la fonction rénale, et quelles précautions de l'atropine en grossesse et insuffisance rénale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E-056  ·  priorité Critique  ·  dose</w:t>
            </w:r>
          </w:p>
        </w:tc>
        <w:tc>
          <w:tcPr>
            <w:tcW w:w="11200" w:type="dxa"/>
            <w:shd w:val="clear" w:color="auto" w:fill="FADBD8"/>
            <w:vAlign w:val="top"/>
          </w:tcPr>
          <w:p>
            <w:pPr>
              <w:spacing w:after="0"/>
            </w:pPr>
            <w:r>
              <w:rPr>
                <w:sz w:val="17"/>
                <w:szCs w:val="17"/>
              </w:rPr>
              <w:t xml:space="preserve">LOT 244 · SSP O7.22 · LOT_244_Appel_B_V5_Ultra_Pedagogique_Partie_2_DX.3_a_DX.5.html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DX.5 › syndrome sérotoninergique (tableau d'interprétation, benzodiazépines, antagonistes 5-HT2A, surveillance)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 midazolam (Dormicum®, Midazolam Accord®, Sintetica) sans posologie, chlorpromazine 12,5–100 mg et olanzapine 5–10 mg « cas rapportés » ; cyproheptadine sans statut suisse ; CK et bilan hépatique sans seuil.</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traitement du syndrome sérotoninergique recommandent Tox Info Suisse ou la recommandation européenne la plus récente : benzodiazépine (molécule, dose, voie), cyproheptadine (dose de charge et d'entretien, disponibilité en Suisse ou importation), chlorpromazine et olanzapine (place, dose), refroidissement et curarisation au-delà de 40 °C ; seuils de CK et calendrier de surveillance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E-058  ·  priorité Critique  ·  dose</w:t>
            </w:r>
          </w:p>
        </w:tc>
        <w:tc>
          <w:tcPr>
            <w:tcW w:w="11200" w:type="dxa"/>
            <w:shd w:val="clear" w:color="auto" w:fill="FADBD8"/>
            <w:vAlign w:val="top"/>
          </w:tcPr>
          <w:p>
            <w:pPr>
              <w:spacing w:after="0"/>
            </w:pPr>
            <w:r>
              <w:rPr>
                <w:sz w:val="17"/>
                <w:szCs w:val="17"/>
              </w:rPr>
              <w:t xml:space="preserve">LOT 244 · SSP O7.22 · LOT_244_Appel_B_V5_Ultra_Pedagogique_Partie_3_DX.6_a_DX.7.html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3 › DX.7 › tableau thérapeutique des torsades de pointes (magnésium, isoprénaline, citalopram, dompéridone, méthadone) et surveillance ECG</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sulfate de magnésium « Bichsel » (8 mmol i.v. lent, liste suisse des antidotes), Isuprel® hors indication 0,5–10 µg/min, Seropram® max 40 mg (20 mg &gt; 65 ans), Motilium® ; posologie de la méthadone et intervalle des ECG absents.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conduite face aux torsades de pointes recommandent l'ESC 2022 (arythmies ventriculaires) et la liste suisse des antidotes : magnésium (dose, répétition), isoprénaline ou stimulation, correction du potassium (cible) ? Selon les FI suisses de Méthadone Streuli®, Seropram® et Motilium®, quelles posologies, quelles limites de QTc et quel calendrier d'ECG s'appliquent ? Préciser les recommandations suisses sur l'ECG sous méthadone (SSAM).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E-059  ·  priorité Critique  ·  conduite</w:t>
            </w:r>
          </w:p>
        </w:tc>
        <w:tc>
          <w:tcPr>
            <w:tcW w:w="11200" w:type="dxa"/>
            <w:shd w:val="clear" w:color="auto" w:fill="FADBD8"/>
            <w:vAlign w:val="top"/>
          </w:tcPr>
          <w:p>
            <w:pPr>
              <w:spacing w:after="0"/>
            </w:pPr>
            <w:r>
              <w:rPr>
                <w:sz w:val="17"/>
                <w:szCs w:val="17"/>
              </w:rPr>
              <w:t xml:space="preserve">LOT 244 · SSP O7.22 · LOT_244_Appel_B_V5_Ultra_Pedagogique_Partie_4_DX.8_a_DX.10.html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4 › DX.8 › angio-œdème bradykinique aux IEC (lieu de surveillance, forme intestinale, adrénaline, surveillance)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que la dose d'adrénaline dans l'angio-œdème bradykinique sans anaphylaxie n'est pas fixée, que le lieu et le calendrier de surveillance sont absents ; Firazyr® et Berinert® cités pour l'AOH.</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prise en charge de l'angio-œdème bradykinique aux IEC recommandent une source suisse (SSAI, guidelines.ch, Tox Info Suisse) ou européenne la plus récente (EAACI, WAO/EAACI 2021 sur l'AOH en comparaison) : arrêt de l'IEC, sécurisation des voies aériennes, place de l'icatibant et du C1-INH (hors indication en Suisse ?, dose), place de l'adrénaline, lieu et durée de surveillance, relais par un sartan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E-057  ·  priorité Haute  ·  conduite</w:t>
            </w:r>
          </w:p>
        </w:tc>
        <w:tc>
          <w:tcPr>
            <w:tcW w:w="11200" w:type="dxa"/>
            <w:shd w:val="clear" w:color="auto" w:fill="FDEBD0"/>
            <w:vAlign w:val="top"/>
          </w:tcPr>
          <w:p>
            <w:pPr>
              <w:spacing w:after="0"/>
            </w:pPr>
            <w:r>
              <w:rPr>
                <w:sz w:val="17"/>
                <w:szCs w:val="17"/>
              </w:rPr>
              <w:t xml:space="preserve">LOT 244 · SSP O7.22 · LOT_244_Appel_B_V5_Ultra_Pedagogique_Partie_3_DX.6_a_DX.7.html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3 › DX.6 › tableau des statines (Simvastatin-Mepha®, Sortis®, Crestor®, Ezetrol®), plafonds selon l'interactant, rhabdomyolyse, réintroduction</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les FI suisses (simvastatine max 40 mg, atorvastatine max 80 mg, rosuvastatine contre-indiquée si ClCr &lt; 30) ; traitement hospitalier de la rhabdomyolyse et intervalle de contrôle après réintroduction absents.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plafonds de dose des statines selon l'interactant (amiodarone, amlodipine, diltiazem, vérapamil, ciclosporine, macrolides, azolés, inhibiteurs de protéase, fibrates) fixent les FI suisses en vigueur ? Quelle conduite face aux symptômes musculaires sous statine (seuils de CK, arrêt, réintroduction, intervalle de contrôle) recommande l'EAS 2015/ESC-EAS 2019-2025, et quel traitement hospitalier de la rhabdomyolyse (hydratation : volume et cible de diurèse) recommande une source suisse ou européenne récente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E-061  ·  priorité Haute  ·  conduite</w:t>
            </w:r>
          </w:p>
        </w:tc>
        <w:tc>
          <w:tcPr>
            <w:tcW w:w="11200" w:type="dxa"/>
            <w:shd w:val="clear" w:color="auto" w:fill="FDEBD0"/>
            <w:vAlign w:val="top"/>
          </w:tcPr>
          <w:p>
            <w:pPr>
              <w:spacing w:after="0"/>
            </w:pPr>
            <w:r>
              <w:rPr>
                <w:sz w:val="17"/>
                <w:szCs w:val="17"/>
              </w:rPr>
              <w:t xml:space="preserve">LOT 244 · SSP O7.22 · LOT_244_Appel_B_V5_Ultra_Pedagogique_Partie_4_DX.8_a_DX.10.html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4 › DX.9 › hépatite médicamenteuse (flucloxacilline, imagerie, biopsie, moyens thérapeutiques, inscription en greffe, surveillance)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suit EASL 2019 ; la flucloxacilline n'est pas vérifiée comme spécialité suisse ; spécialités et posologies des moyens (N-acétylcystéine, corticoïdes, acide ursodésoxycholique), critères d'inscription suisses et calendrier de surveillance absents.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La flucloxacilline est-elle autorisée en Suisse (spécialité, titulaire) ? Quels traitements de la DILI recommandent l'EASL (version la plus récente) et une source suisse : N-acétylcystéine dans la DILI non paracétamol (dose), corticoïdes, acide ursodésoxycholique, cholestyramine ; indications de l'imagerie et de la biopsie ; calendrier de surveillance biologique ? Quels critères suisses d'inscription en urgence sur la liste de greffe hépatique (Swisstransplant, OTx-attribution) s'appliquent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E-062  ·  priorité Haute  ·  recommandation</w:t>
            </w:r>
          </w:p>
        </w:tc>
        <w:tc>
          <w:tcPr>
            <w:tcW w:w="11200" w:type="dxa"/>
            <w:shd w:val="clear" w:color="auto" w:fill="FDEBD0"/>
            <w:vAlign w:val="top"/>
          </w:tcPr>
          <w:p>
            <w:pPr>
              <w:spacing w:after="0"/>
            </w:pPr>
            <w:r>
              <w:rPr>
                <w:sz w:val="17"/>
                <w:szCs w:val="17"/>
              </w:rPr>
              <w:t xml:space="preserve">LOT 244 · SSP O7.22 · LOT_244_Appel_A_V5_Ultra_Pedagogique_Plan_et_Liste.html ; LOT_244_Appel_B_V5_Ultra_Pedagogique_Partie_4_DX.8_a_DX.10.html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scores DX.10 (SCORTEN, ALDEN) ; Partie 4 › DX.10 › toxidermies graves (RegiSCAR, médicaments à haut risque, organisation suisse, imputabilité, prévention allopurinol et lamotrigine, surveillance)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suit le PNDS français 2017 ; items RegiSCAR, centre suisse de référence et numéro d'appel, statut suisse de la névirapine, des oxicams et des IPP, et surveillance biologique absents ; Lamictal® titration citée.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structure suisse prend en charge le SJS/NET (centres des brûlés de Lausanne et Zurich, dermatologie universitaire : contact) et quelle recommandation européenne la plus récente (EADV/ERN-Skin, BAD 2016 mise à jour) encadre le diagnostic (SCORTEN, ALDEN, RegiSCAR) et le traitement (ciclosporine, IgIV, étanercept : dose) ? Quelles recommandations suisses ou européennes s'appliquent au génotypage HLA-B*58:01 avant allopurinol et HLA-B*15:02 avant carbamazépine, et quelles FI suisses de névirapine, d'oxicams et d'IPP mentionnent le risque de SCAR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E-048  ·  priorité Moyenne  ·  autre</w:t>
            </w:r>
          </w:p>
        </w:tc>
        <w:tc>
          <w:tcPr>
            <w:tcW w:w="11200" w:type="dxa"/>
            <w:shd w:val="clear" w:color="auto" w:fill="EBF5FB"/>
            <w:vAlign w:val="top"/>
          </w:tcPr>
          <w:p>
            <w:pPr>
              <w:spacing w:after="0"/>
            </w:pPr>
            <w:r>
              <w:rPr>
                <w:sz w:val="17"/>
                <w:szCs w:val="17"/>
              </w:rPr>
              <w:t xml:space="preserve">LOT 244 · SSP O7.22 · LOT_244_Appel_A_V5_Ultra_Pedagogique_Plan_et_Liste.html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classifications (fenêtre « classification de l'Académie européenne d'allergologie », imputabilité), fenêtres « cinq centres régionaux de pharmacovigilance » et « matériels d'information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 classification EAACI (type VI sans détail), les catégories d'imputabilité OMS-UMC sans définitions, cinq CRPV (Bâle, Genève, Lausanne, Lugano, Zurich ; 1931 évaluations en 2024) et des matériels d'information exigés (rivaroxaban, valproate) sans liste complète.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définitions exactes donnent la classification EAACI 2023 des réactions d'hypersensibilité (types I à VI) et le système d'imputabilité OMS-UMC (certain, probable, possible, improbable, conditionnel, inclassable) ? Quelle liste Swissmedic publie-t-elle des médicaments soumis à des matériels d'information de sécurité (mesures de minimisation des risques, URL) et quelle est la liste actuelle des centres régionaux de pharmacovigilance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E-049  ·  priorité Moyenne  ·  épidémiologie</w:t>
            </w:r>
          </w:p>
        </w:tc>
        <w:tc>
          <w:tcPr>
            <w:tcW w:w="11200" w:type="dxa"/>
            <w:shd w:val="clear" w:color="auto" w:fill="EBF5FB"/>
            <w:vAlign w:val="top"/>
          </w:tcPr>
          <w:p>
            <w:pPr>
              <w:spacing w:after="0"/>
            </w:pPr>
            <w:r>
              <w:rPr>
                <w:sz w:val="17"/>
                <w:szCs w:val="17"/>
              </w:rPr>
              <w:t xml:space="preserve">LOT 244 · SSP O7.22 · LOT_244_Appel_A_V5_Ultra_Pedagogique_Plan_et_Liste.html ; LOT_244_Appel_B_V5_Ultra_Pedagogique_Partie_1_DX.1_a_DX.2.html ; LOT_244_Appel_B_V5_Ultra_Pedagogique_Partie_2_DX.3_a_DX.5.html ; LOT_244_Appel_B_V5_Ultra_Pedagogique_Partie_3_DX.6_a_DX.7.html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2 (classement DX.1–DX.3 sur Pirmohamed 2004) ; Partie 1 › fenêtre 2.3 « Suisse : ce que les chiffres… » ; Partie 2 › données suisses DX.3 ; Partie 3 › limites DX.6 et DX.7</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ordonne les DX sur des données britanniques de 2004 (hémorragie digestive 54 % des décès) ; le tableau de Beeler n'a pas été lu ; répartition suisse par classe et par entité (bradycardie, intoxication digitalique, myopathie, TdP) non trouvée.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répartition suisse des admissions hospitalières pour effet indésirable médicamenteux par classe et par entité clinique (Beeler et al., données Swissmedic Vigilance-News, rapport annuel Swissmedic 2024–2025, OFS statistique médicale des hôpitaux) ? Quelles données européennes plus récentes que Pirmohamed 2004 existent ? Donner le chiffre suisse le plus récent (source, année, URL : OFS, OFSP, registre ou rapport national) ; à défaut, le chiffre européen le plus récent avec sa méthode de mesure.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E-050  ·  priorité Moyenne  ·  épidémiologie</w:t>
            </w:r>
          </w:p>
        </w:tc>
        <w:tc>
          <w:tcPr>
            <w:tcW w:w="11200" w:type="dxa"/>
            <w:shd w:val="clear" w:color="auto" w:fill="EBF5FB"/>
            <w:vAlign w:val="top"/>
          </w:tcPr>
          <w:p>
            <w:pPr>
              <w:spacing w:after="0"/>
            </w:pPr>
            <w:r>
              <w:rPr>
                <w:sz w:val="17"/>
                <w:szCs w:val="17"/>
              </w:rPr>
              <w:t xml:space="preserve">LOT 244 · SSP O7.22 · LOT_244_Appel_B_V5_Ultra_Pedagogique_Partie_2_DX.3_a_DX.5.html ; LOT_244_Appel_B_V5_Ultra_Pedagogique_Partie_4_DX.8_a_DX.10.html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DX.4 (prévalence de l'étiquette « pénicilline »), DX.5 (fréquence suisse) ; Partie 4 › DX.8 (angio-œdème aux IEC), DX.9 (DILI), DX.10 (nécrolyse épidermique)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dit que la prévalence suisse de l'étiquette d'allergie à la pénicilline et les fréquences suisses du syndrome sérotoninergique, de l'angio-œdème aux IEC, de la DILI (369 réactions hépatobiliaires en 2024) et de la nécrolyse épidermique sont non trouvées.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chiffres suisses récents existent pour la prévalence de l'étiquette « allergie à la pénicilline » chez l'adulte hospitalisé, l'incidence de l'angio-œdème sous IEC, l'incidence de la DILI et du SJS/NET (registre RegiSCAR, centres suisses), et le syndrome sérotoninergique (Tox Info Suisse) ? Donner le chiffre suisse le plus récent (source, année, URL : OFS, OFSP, registre ou rapport national) ; à défaut, le chiffre européen le plus récent avec sa méthode de mesure.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E-060  ·  priorité Moyenne  ·  seuil</w:t>
            </w:r>
          </w:p>
        </w:tc>
        <w:tc>
          <w:tcPr>
            <w:tcW w:w="11200" w:type="dxa"/>
            <w:shd w:val="clear" w:color="auto" w:fill="EBF5FB"/>
            <w:vAlign w:val="top"/>
          </w:tcPr>
          <w:p>
            <w:pPr>
              <w:spacing w:after="0"/>
            </w:pPr>
            <w:r>
              <w:rPr>
                <w:sz w:val="17"/>
                <w:szCs w:val="17"/>
              </w:rPr>
              <w:t xml:space="preserve">LOT 244 · SSP O7.22 · LOT_244_Appel_B_V5_Ultra_Pedagogique_Partie_4_DX.8_a_DX.10.html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4 › DX.8 › interprétation des examens d'exclusion (C1-INH, tryptase) et tableau gold standard / première et deuxième intention</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dit que les valeurs normales, seuils et délais de prélèvement du C1-INH et de la tryptase sont absents ; enfant et grossesse non traités.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examens et seuils (C4, C1-INH protéine et fonction, tryptase sérique : délai de prélèvement) recommandent les recommandations européennes les plus récentes pour distinguer angio-œdème bradykinique médicamenteux, héréditaire, acquis et histaminique, y compris chez l'enfant et la femme enceinte ? Citer la recommandation suisse en vigueur (société savante ou autorité, titre, année, URL) ; comparer sa version la plus récente avec celle citée dans le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E-072  ·  priorité Critique  ·  dose</w:t>
            </w:r>
          </w:p>
        </w:tc>
        <w:tc>
          <w:tcPr>
            <w:tcW w:w="11200" w:type="dxa"/>
            <w:shd w:val="clear" w:color="auto" w:fill="FADBD8"/>
            <w:vAlign w:val="top"/>
          </w:tcPr>
          <w:p>
            <w:pPr>
              <w:spacing w:after="0"/>
            </w:pPr>
            <w:r>
              <w:rPr>
                <w:sz w:val="17"/>
                <w:szCs w:val="17"/>
              </w:rPr>
              <w:t xml:space="preserve">LOT 245 · SSP O7.23 · LOT_245_Appel_A_V5_Ultra_Pedagogique_Plan_et_Liste.html ; LOT_245_Appel_B_V5_Ultra_Pedagogique_Partie_2_DX.3_a_DX.5.html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tableau thérapeutique DX.4 (hydroxycarbamide, pénicilline) ; Partie 2 › DX.4 › prévention (pénicilline, vaccins, acide folique), Litalir®</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l'hydroxycarbamide hors indication (Litalir®, SwissPedDose 15–20 puis 20–30 mg/kg/j, max 35 mg/kg/j) ; posologie adulte, posologie et durée de la pénicilline, rationnel de l'acide folique et forme pédiatrique adaptée absents.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prophylaxie de la drépanocytose recommandent SwissPedDose, la Société suisse d'hématologie ou la recommandation européenne la plus récente (EHA 2024, HAS 2024 en comparaison) : pénicilline V (dose selon l'âge, durée, adulte), vaccins (pneumocoque, méningocoque), acide folique ; hydroxycarbamide chez l'adulte (dose de départ, titration, surveillance de l'hémogramme) ; existe-t-il en Suisse une forme pédiatrique (Siklos®) autorisée ou importable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E-073  ·  priorité Critique  ·  conduite</w:t>
            </w:r>
          </w:p>
        </w:tc>
        <w:tc>
          <w:tcPr>
            <w:tcW w:w="11200" w:type="dxa"/>
            <w:shd w:val="clear" w:color="auto" w:fill="FADBD8"/>
            <w:vAlign w:val="top"/>
          </w:tcPr>
          <w:p>
            <w:pPr>
              <w:spacing w:after="0"/>
            </w:pPr>
            <w:r>
              <w:rPr>
                <w:sz w:val="17"/>
                <w:szCs w:val="17"/>
              </w:rPr>
              <w:t xml:space="preserve">LOT 245 · SSP O7.23 · LOT_245_Appel_B_V5_Ultra_Pedagogique_Partie_2_DX.3_a_DX.5.html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DX.4 › fenêtres « fièvre supérieure à 38,5 °C », « pâleur brutale avec asthénie » (séquestration) et « syndrome thoracique aigu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dit « consultation urgente » sans antibiothérapie, sans seuils d'hémoglobine pour la séquestration et sans définition du syndrome thoracique aigu (texte HAS non lu).</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conduite face à la fièvre (antibiothérapie empirique : molécule, dose), à la séquestration splénique aiguë (seuil de baisse de l'hémoglobine, transfusion) et au syndrome thoracique aigu (définition, antibiotiques, transfusion ou échange) recommandent une source suisse (centres de référence, SwissPedNet) ou européenne la plus récente (EHA, BSH 2024, HAS 2024)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E-076  ·  priorité Critique  ·  dose</w:t>
            </w:r>
          </w:p>
        </w:tc>
        <w:tc>
          <w:tcPr>
            <w:tcW w:w="11200" w:type="dxa"/>
            <w:shd w:val="clear" w:color="auto" w:fill="FADBD8"/>
            <w:vAlign w:val="top"/>
          </w:tcPr>
          <w:p>
            <w:pPr>
              <w:spacing w:after="0"/>
            </w:pPr>
            <w:r>
              <w:rPr>
                <w:sz w:val="17"/>
                <w:szCs w:val="17"/>
              </w:rPr>
              <w:t xml:space="preserve">LOT 245 · SSP O7.23 · LOT_245_Appel_A_V5_Ultra_Pedagogique_Plan_et_Liste.html ; LOT_245_Appel_B_V5_Ultra_Pedagogique_Partie_2_DX.3_a_DX.5.html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tableau thérapeutique DX.5 (D-pénicillamine, acétate de zinc) ; Partie 2 › DX.5 › chélateurs (D-pénicillamine, trientine) et zinc</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dit que les FI suisses de la D-pénicillamine et de l'acétate de zinc ne figurent pas dans AIPS ; importation par OAMal art. 71c ; posologies absentes.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traitements de la maladie de Wilson sont disponibles en Suisse (D-pénicillamine Metalcaptase®, trientine Cufence® ou Cuprior®, acétate de zinc Wilzin®) : statut Swissmedic ou voie d'importation, posologies d'attaque et d'entretien chez l'adulte et l'enfant, surveillance (cuivre urinaire cible), conduite en grossesse, selon les recommandations EASL-ERN 2025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E-063  ·  priorité Haute  ·  autorisation</w:t>
            </w:r>
          </w:p>
        </w:tc>
        <w:tc>
          <w:tcPr>
            <w:tcW w:w="11200" w:type="dxa"/>
            <w:shd w:val="clear" w:color="auto" w:fill="FDEBD0"/>
            <w:vAlign w:val="top"/>
          </w:tcPr>
          <w:p>
            <w:pPr>
              <w:spacing w:after="0"/>
            </w:pPr>
            <w:r>
              <w:rPr>
                <w:sz w:val="17"/>
                <w:szCs w:val="17"/>
              </w:rPr>
              <w:t xml:space="preserve">LOT 245 · SSP O7.23 · LOT_245_Appel_A_V5_Ultra_Pedagogique_Plan_et_Liste.html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définition de l'UE (EMA) et fenêtre « l'OAMal art. 71a à 71d » [Appel A non déposé (filtre de sécurité) : réinjecter dans le fichier local]</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résume le règlement européen sur les médicaments orphelins via l'EMA et cite un abattement de prise en charge de 30 % ou 50 % selon les catégories de bénéfice, sans calcul détaillé.</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définition légale de la maladie rare et du médicament orphelin retiennent le droit suisse (LPTh art. 14 al. 1 let. f, OASMéd, statut de médicament orphelin Swissmedic) et le règlement (CE) n° 141/2000 ? Comment l'OAMal art. 71a–71d (révision entrée en vigueur le 1.1.2024) fixe-t-il les catégories de bénéfice, l'abattement de prix et la procédure de garantie de prise en charge ? Citer le texte suisse en vigueur (RS, article, alinéa, état du texte, URL) et, s'il y a lieu, les directives ASSM ou le Code de déontologie FMH applicables, avec leur année.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E-067  ·  priorité Haute  ·  autorisation</w:t>
            </w:r>
          </w:p>
        </w:tc>
        <w:tc>
          <w:tcPr>
            <w:tcW w:w="11200" w:type="dxa"/>
            <w:shd w:val="clear" w:color="auto" w:fill="FDEBD0"/>
            <w:vAlign w:val="top"/>
          </w:tcPr>
          <w:p>
            <w:pPr>
              <w:spacing w:after="0"/>
            </w:pPr>
            <w:r>
              <w:rPr>
                <w:sz w:val="17"/>
                <w:szCs w:val="17"/>
              </w:rPr>
              <w:t xml:space="preserve">LOT 245 · SSP O7.23 · LOT_245_Appel_A_V5_Ultra_Pedagogique_Plan_et_Liste.html ; LOT_245_Appel_B_V5_Ultra_Pedagogique_Partie_1_DX.1_a_DX.2.html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tableau thérapeutique DX.1 Myasthénie (eculizumab, ravulizumab, zilucoplan, efgartigimod, rozanolixizumab) ; Partie 1 › DX.1 › alternatives (grossesse : imagerie du thymus) [Appel A non déposé (filtre de sécurité) : réinjecter dans le fichier local]</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les schémas posologiques par poids et la vaccination antiméningococcique ; adaptations rénales, hépatiques, pédiatriques et en grossesse absentes ; IRM thoracique préférée en grossesse par équivalence avec la TDM.</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médicaments de la myasthénie généralisée sont autorisés en Suisse (Soliris®, Ultomiris®, Zilbrysq®, Vyvgart®, Rystiggo®, nipocalimab), avec indication exacte, limitation de la Liste des spécialités et garantie de prise en charge ? Quelle recommandation suisse (Société suisse de neurologie) ou européenne la plus récente (EAN 2025, guidelines allemandes DGN 2025) fixe leur place, et quelle conduite pendant la grossesse (imagerie, traitements contre-indiqués)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E-069  ·  priorité Haute  ·  autorisation</w:t>
            </w:r>
          </w:p>
        </w:tc>
        <w:tc>
          <w:tcPr>
            <w:tcW w:w="11200" w:type="dxa"/>
            <w:shd w:val="clear" w:color="auto" w:fill="FDEBD0"/>
            <w:vAlign w:val="top"/>
          </w:tcPr>
          <w:p>
            <w:pPr>
              <w:spacing w:after="0"/>
            </w:pPr>
            <w:r>
              <w:rPr>
                <w:sz w:val="17"/>
                <w:szCs w:val="17"/>
              </w:rPr>
              <w:t xml:space="preserve">LOT 245 · SSP O7.23 · LOT_245_Appel_A_V5_Ultra_Pedagogique_Plan_et_Liste.html ; LOT_245_Appel_B_V5_Ultra_Pedagogique_Partie_2_DX.3_a_DX.5.html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tableau thérapeutique DX.3 (Alyftrek®) ; Partie 2 › DX.3 › tableau d'interprétation (ALAT/ASAT sous modulateur), 7.3 syndrome hépatique, surveillance (ophtalmologie), thérapie génique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Alyftrek® (≥ 40 kg : 2 comprimés 10/50/125 mg) et l'arrêt si ALAT/ASAT &gt; 5 × LSN ; statut Swissmedic, adaptations et surveillance radiologique absents.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modulateurs du CFTR sont autorisés en Suisse (Kaftrio®/Kalydeco®, Alyftrek®, Orkambi®, Symkevi®) avec indications par génotype et âge, limitations de la Liste des spécialités et adaptations hépatiques (Child-Pugh) et rénales ; quel calendrier de surveillance (transaminases, ophtalmologie chez l'enfant) recommandent les FI suisses et les standards ECFS 2024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E-071  ·  priorité Haute  ·  autorisation</w:t>
            </w:r>
          </w:p>
        </w:tc>
        <w:tc>
          <w:tcPr>
            <w:tcW w:w="11200" w:type="dxa"/>
            <w:shd w:val="clear" w:color="auto" w:fill="FDEBD0"/>
            <w:vAlign w:val="top"/>
          </w:tcPr>
          <w:p>
            <w:pPr>
              <w:spacing w:after="0"/>
            </w:pPr>
            <w:r>
              <w:rPr>
                <w:sz w:val="17"/>
                <w:szCs w:val="17"/>
              </w:rPr>
              <w:t xml:space="preserve">LOT 245 · SSP O7.23 · LOT_245_Appel_B_V5_Ultra_Pedagogique_Partie_2_DX.3_a_DX.5.html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DX.3 et DX.5 › fenêtres « infirmité congénitale OIC 480 » et « infirmité congénitale OIC 456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attribue la mucoviscidose à l'OIC 480 et la maladie de Wilson à l'OIC 456, prise en charge AI jusqu'à 20 ans (LAI art. 13) ; autres exceptions absentes.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Vérifier dans l'annexe de l'OIC-DFI (RS 831.232.211, état en vigueur après la révision du 1.1.2022) les numéros et libellés exacts de la mucoviscidose et de la maladie de Wilson (et de la drépanocytose) ; quelles conditions, quelle procédure d'annonce à l'office AI et quelles exceptions s'appliquent ? Citer le texte suisse en vigueur (RS, article, alinéa, état du texte, URL) et, s'il y a lieu, les directives ASSM ou le Code de déontologie FMH applicables, avec leur année.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E-074  ·  priorité Haute  ·  autorisation</w:t>
            </w:r>
          </w:p>
        </w:tc>
        <w:tc>
          <w:tcPr>
            <w:tcW w:w="11200" w:type="dxa"/>
            <w:shd w:val="clear" w:color="auto" w:fill="FDEBD0"/>
            <w:vAlign w:val="top"/>
          </w:tcPr>
          <w:p>
            <w:pPr>
              <w:spacing w:after="0"/>
            </w:pPr>
            <w:r>
              <w:rPr>
                <w:sz w:val="17"/>
                <w:szCs w:val="17"/>
              </w:rPr>
              <w:t xml:space="preserve">LOT 245 · SSP O7.23 · LOT_245_Appel_A_V5_Ultra_Pedagogique_Plan_et_Liste.html ; LOT_245_Appel_B_V5_Ultra_Pedagogique_Partie_2_DX.3_a_DX.5.html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tableau thérapeutique DX.4 (Casgevy®) ; Partie 2 › DX.4 › crizanlizumab et voxelotor</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Casgevy® (dose minimale 3 × 10⁶ CD34+/kg) ; FI suisses du crizanlizumab et du voxelotor absentes d'AIPS.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est le statut Swissmedic actuel de Casgevy® (exagamglogène autotemcel), de Lyfgenia®, du crizanlizumab (Adakveo®) et du voxelotor (Oxbryta®, retiré du marché mondial en septembre 2024) ? Préciser les indications autorisées et la prise en charge en Suisse.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E-075  ·  priorité Haute  ·  recommandation</w:t>
            </w:r>
          </w:p>
        </w:tc>
        <w:tc>
          <w:tcPr>
            <w:tcW w:w="11200" w:type="dxa"/>
            <w:shd w:val="clear" w:color="auto" w:fill="FDEBD0"/>
            <w:vAlign w:val="top"/>
          </w:tcPr>
          <w:p>
            <w:pPr>
              <w:spacing w:after="0"/>
            </w:pPr>
            <w:r>
              <w:rPr>
                <w:sz w:val="17"/>
                <w:szCs w:val="17"/>
              </w:rPr>
              <w:t xml:space="preserve">LOT 245 · SSP O7.23 · LOT_245_Appel_B_V5_Ultra_Pedagogique_Partie_2_DX.3_a_DX.5.html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DX.4 › fenêtre « dépistage néonatal universel remboursé », Doppler transcrânien annuel (170–199 cm/s : délai de contrôle), surveillance après Casgevy®</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dit que la drépanocytose ne figure pas dans le dépistage néonatal suisse ; recommandations suisses sur le dépistage ciblé et délai de contrôle en zone conditionnelle du Doppler absents.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La drépanocytose fait-elle partie du dépistage néonatal suisse en 2026 (Laboratoire suisse de dépistage néonatal, Zurich, liste des maladies) ? Quelle recommandation suisse de dépistage ciblé existe ? Quel délai de contrôle du Doppler transcrânien en zone conditionnelle (170–199 cm/s) et quel calendrier de surveillance biologique après thérapie génique recommandent les guidelines les plus récentes (STOP, ASH 2020, EHA) ? Citer la recommandation suisse en vigueur (société savante ou autorité, titre, année, URL) ; comparer sa version la plus récente avec celle citée dans le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E-077  ·  priorité Haute  ·  seuil</w:t>
            </w:r>
          </w:p>
        </w:tc>
        <w:tc>
          <w:tcPr>
            <w:tcW w:w="11200" w:type="dxa"/>
            <w:shd w:val="clear" w:color="auto" w:fill="FDEBD0"/>
            <w:vAlign w:val="top"/>
          </w:tcPr>
          <w:p>
            <w:pPr>
              <w:spacing w:after="0"/>
            </w:pPr>
            <w:r>
              <w:rPr>
                <w:sz w:val="17"/>
                <w:szCs w:val="17"/>
              </w:rPr>
              <w:t xml:space="preserve">LOT 245 · SSP O7.23 · LOT_245_Appel_B_V5_Ultra_Pedagogique_Partie_2_DX.3_a_DX.5.html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DX.5 › fenêtre « insuffisance hépatique aiguë avec bilirubine… », tableau (phosphatases alcalines), diagnostic différentiel hétérozygote ATP7B, fenêtre « New Wilson Index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dit que les rapports chiffrés (PAL/bilirubine, ASAT/ALAT) et les composantes du New Wilson Index (≥ 11 : décès sans greffe) ne figurent pas dans les sources lues.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critères biologiques de la forme fulminante de la maladie de Wilson (rapport PAL/bilirubine totale &lt; 4, rapport ASAT/ALAT &gt; 2,2) et quelles composantes et seuils du New Wilson Index (Dhawan) retiennent les recommandations EASL-ERN 2025 ? Quand transférer en centre de greffe hépatique suisse ? Citer la recommandation suisse en vigueur (société savante ou autorité, titre, année, URL) ; comparer sa version la plus récente avec celle citée dans le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E-078  ·  priorité Haute  ·  autorisation</w:t>
            </w:r>
          </w:p>
        </w:tc>
        <w:tc>
          <w:tcPr>
            <w:tcW w:w="11200" w:type="dxa"/>
            <w:shd w:val="clear" w:color="auto" w:fill="FDEBD0"/>
            <w:vAlign w:val="top"/>
          </w:tcPr>
          <w:p>
            <w:pPr>
              <w:spacing w:after="0"/>
            </w:pPr>
            <w:r>
              <w:rPr>
                <w:sz w:val="17"/>
                <w:szCs w:val="17"/>
              </w:rPr>
              <w:t xml:space="preserve">LOT 245 · SSP O7.23 · LOT_245_Appel_A_V5_Ultra_Pedagogique_Plan_et_Liste.html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tableau thérapeutique DX.6 (Berinert® crise et prophylaxie, Firazyr®, Takhzyro®, Andembry®) [Appel A non déposé (filtre de sécurité) : réinjecter dans le fichier local]</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Berinert® 20 UI/kg i.v., Firazyr® 30 mg s.c., Takhzyro® 300 mg toutes les 2 semaines, Andembry® 400 mg puis 200 mg/mois ; adaptations rénales, hépatiques, pédiatriques et grossesse absentes.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traitements de l'angio-œdème héréditaire sont autorisés en Suisse (Berinert®, Cinryze®, Ruconest®, Firazyr®, Takhzyro®, Orladeyo®, Andembry®, sebetralstat) avec indication, âge, dose, adaptations et usage en grossesse ? Quelle place leur donne la recommandation WAO/EAACI la plus récente (2025) et quel plan d'urgence suisse existe (HAE Suisse, centres)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E-079  ·  priorité Haute  ·  autorisation</w:t>
            </w:r>
          </w:p>
        </w:tc>
        <w:tc>
          <w:tcPr>
            <w:tcW w:w="11200" w:type="dxa"/>
            <w:shd w:val="clear" w:color="auto" w:fill="FDEBD0"/>
            <w:vAlign w:val="top"/>
          </w:tcPr>
          <w:p>
            <w:pPr>
              <w:spacing w:after="0"/>
            </w:pPr>
            <w:r>
              <w:rPr>
                <w:sz w:val="17"/>
                <w:szCs w:val="17"/>
              </w:rPr>
              <w:t xml:space="preserve">LOT 245 · SSP O7.23 · LOT_245_Appel_A_V5_Ultra_Pedagogique_Plan_et_Liste.html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tableau thérapeutique DX.7 Maladie de Fabry (Elfabrio®) [Appel A non déposé (filtre de sécurité) : réinjecter dans le fichier local]</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pégunigalsidase alfa 1 mg/kg toutes les 2 semaines ou 2 mg/kg toutes les 4 semaines ; adaptations absentes ; autres traitements non listés.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traitements de la maladie de Fabry sont autorisés en Suisse (agalsidase alfa Replagal®, agalsidase bêta Fabrazyme®, pégunigalsidase alfa Elfabrio®, migalastat Galafold®) avec indication, dose, adaptations rénale et en grossesse, et critères de début selon la recommandation européenne la plus récente (ERN, consensus 2023)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E-080  ·  priorité Haute  ·  autorisation</w:t>
            </w:r>
          </w:p>
        </w:tc>
        <w:tc>
          <w:tcPr>
            <w:tcW w:w="11200" w:type="dxa"/>
            <w:shd w:val="clear" w:color="auto" w:fill="FDEBD0"/>
            <w:vAlign w:val="top"/>
          </w:tcPr>
          <w:p>
            <w:pPr>
              <w:spacing w:after="0"/>
            </w:pPr>
            <w:r>
              <w:rPr>
                <w:sz w:val="17"/>
                <w:szCs w:val="17"/>
              </w:rPr>
              <w:t xml:space="preserve">LOT 245 · SSP O7.23 · LOT_245_Appel_A_V5_Ultra_Pedagogique_Plan_et_Liste.html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tableau thérapeutique DX.8 HPN (Soliris®, Ultomiris®, Fabhalta®, Aspaveli®, Voydeya®) [Appel A non déposé (filtre de sécurité) : réinjecter dans le fichier local]</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les schémas d'eculizumab, ravulizumab, iptacopan, pegcétacoplan et danicopan ; adaptations rénales, hépatiques et en grossesse absentes.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traitements de l'HPN sont autorisés en Suisse avec leur indication exacte (première ligne, relais), dose, adaptations, conduite en grossesse et vaccination exigée (méningocoque ACWY et B, pneumocoque, Haemophilus) selon les FI suisses ? Quelle recommandation européenne la plus récente fixe leur ordre d'emploi (crovalimab inclus)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E-081  ·  priorité Haute  ·  autorisation</w:t>
            </w:r>
          </w:p>
        </w:tc>
        <w:tc>
          <w:tcPr>
            <w:tcW w:w="11200" w:type="dxa"/>
            <w:shd w:val="clear" w:color="auto" w:fill="FDEBD0"/>
            <w:vAlign w:val="top"/>
          </w:tcPr>
          <w:p>
            <w:pPr>
              <w:spacing w:after="0"/>
            </w:pPr>
            <w:r>
              <w:rPr>
                <w:sz w:val="17"/>
                <w:szCs w:val="17"/>
              </w:rPr>
              <w:t xml:space="preserve">LOT 245 · SSP O7.23 · LOT_245_Appel_A_V5_Ultra_Pedagogique_Plan_et_Liste.html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tableau thérapeutique DX.9 Amylose à transthyrétine (Amvuttra®, Onpattro®) [Appel A non déposé (filtre de sécurité) : réinjecter dans le fichier local]</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vutrisiran 25 mg s.c. tous les 3 mois et patisiran 300 µg/kg i.v. toutes les 3 semaines avec vitamine A ; tafamidis et acoramidis non listés ; adaptations absentes.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traitements de l'amylose ATTR sont autorisés en Suisse (tafamidis Vyndaqel®/Vyndamax®, acoramidis, vutrisiran, patisiran, inotersen, éplontersen) pour la cardiomyopathie et pour la polyneuropathie, avec dose, limitations de la Liste des spécialités et adaptations ? Quelle place leur donne l'ESC (cardiomyopathies 2023) ou la recommandation européenne la plus récente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E-082  ·  priorité Haute  ·  conduite</w:t>
            </w:r>
          </w:p>
        </w:tc>
        <w:tc>
          <w:tcPr>
            <w:tcW w:w="11200" w:type="dxa"/>
            <w:shd w:val="clear" w:color="auto" w:fill="FDEBD0"/>
            <w:vAlign w:val="top"/>
          </w:tcPr>
          <w:p>
            <w:pPr>
              <w:spacing w:after="0"/>
            </w:pPr>
            <w:r>
              <w:rPr>
                <w:sz w:val="17"/>
                <w:szCs w:val="17"/>
              </w:rPr>
              <w:t xml:space="preserve">LOT 245 · SSP O7.23 · LOT_245_Appel_A_V5_Ultra_Pedagogique_Plan_et_Liste.html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diagnostic différentiel DX.10 ; Bloc 2 › tableau thérapeutique DX.10 Porphyrie aiguë intermittente (Normosang®, glucose 10 %) [Appel A non déposé (filtre de sécurité) : réinjecter dans le fichier local]</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hémine 3 mg/kg/j i.v. pendant 4 jours (max 250 mg/j) et glucose 300–500 g/j ; adaptations et givosiran non listés.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prise en charge de la crise de porphyrie hépatique aiguë recommandent le centre suisse des porphyries (Triemli Zurich) ou l'European Porphyria Network (EPNET) : hémine (FI suisse de Normosang®), glucose, liste des médicaments sûrs (base suisse ou drugs-porphyria.org), givosiran (Givlaari® : statut Swissmedic, dose, indication prophylactique)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E-064  ·  priorité Moyenne  ·  recommandation</w:t>
            </w:r>
          </w:p>
        </w:tc>
        <w:tc>
          <w:tcPr>
            <w:tcW w:w="11200" w:type="dxa"/>
            <w:shd w:val="clear" w:color="auto" w:fill="EBF5FB"/>
            <w:vAlign w:val="top"/>
          </w:tcPr>
          <w:p>
            <w:pPr>
              <w:spacing w:after="0"/>
            </w:pPr>
            <w:r>
              <w:rPr>
                <w:sz w:val="17"/>
                <w:szCs w:val="17"/>
              </w:rPr>
              <w:t xml:space="preserve">LOT 245 · SSP O7.23 · LOT_245_Appel_A_V5_Ultra_Pedagogique_Plan_et_Liste.html ; LOT_245_Appel_B_V5_Ultra_Pedagogique_Partie_2_DX.3_a_DX.5.html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fenêtres « neuf centres pour maladies rares (CMR) » et « centres de référence kosek » ; Partie 2 › DX.4 › fenêtre « réseau de proximité avec un centre de référence » [Appel A non déposé (filtre de sécurité) : réinjecter dans le fichier local]</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 reconnaissance par la kosek (4 centres métaboliques et 7 neuromusculaires en 2021, 25 supplémentaires en 2024) ; base légale fédérale et liste nominative des centres absentes.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liste actuelle (2025–2026) des centres pour maladies rares et des centres de référence reconnus par la kosek (par groupe de maladies, dont hématologie et drépanocytose), quelle est leur base légale ou contractuelle et où en est le Concept national maladies rares (OFSP) et la motion de financement ? Citer le texte suisse en vigueur (RS, article, alinéa, état du texte, URL) et, s'il y a lieu, les directives ASSM ou le Code de déontologie FMH applicables, avec leur année.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E-065  ·  priorité Moyenne  ·  épidémiologie</w:t>
            </w:r>
          </w:p>
        </w:tc>
        <w:tc>
          <w:tcPr>
            <w:tcW w:w="11200" w:type="dxa"/>
            <w:shd w:val="clear" w:color="auto" w:fill="EBF5FB"/>
            <w:vAlign w:val="top"/>
          </w:tcPr>
          <w:p>
            <w:pPr>
              <w:spacing w:after="0"/>
            </w:pPr>
            <w:r>
              <w:rPr>
                <w:sz w:val="17"/>
                <w:szCs w:val="17"/>
              </w:rPr>
              <w:t xml:space="preserve">LOT 245 · SSP O7.23 · LOT_245_Appel_A_V5_Ultra_Pedagogique_Plan_et_Liste.html ; LOT_245_Appel_B_V5_Ultra_Pedagogique_Partie_1_DX.1_a_DX.2.html ; LOT_245_Appel_B_V5_Ultra_Pedagogique_Partie_2_DX.3_a_DX.5.html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fenêtres « Les prévalences suisses mesurées sont rares » et « Une valeur de prévalence suisse n'existe que pour deux entités » ; Partie 1 › DX.1 et DX.2 (prévalence) ; Partie 2 › DX.3 (survie médiane, prévalence 11,1/100 000), DX.4, DX.5 [Appel A non déposé (filtre de sécurité) : réinjecter dans le fichier local]</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utilise Orphanet (prévalences européennes) ; prévalences suisses de la myasthénie, de la sclérodermie, de la mucoviscidose, de la drépanocytose et de la maladie de Wilson et survie médiane suisse de la mucoviscidose non trouvées (chiffre allemand 40 ans en 2017).</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prévalences suisses mesurées existent pour la myasthénie, la sclérodermie systémique, la mucoviscidose (registre ECFS Patient Registry, part suisse, survie médiane), la drépanocytose et la maladie de Wilson (registres, études de cohorte, dépistage néonatal suisse) ? Donner le chiffre suisse le plus récent (source, année, URL : OFS, OFSP, registre ou rapport national) ; à défaut, le chiffre européen le plus récent avec sa méthode de mesure.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E-066  ·  priorité Moyenne  ·  seuil</w:t>
            </w:r>
          </w:p>
        </w:tc>
        <w:tc>
          <w:tcPr>
            <w:tcW w:w="11200" w:type="dxa"/>
            <w:shd w:val="clear" w:color="auto" w:fill="EBF5FB"/>
            <w:vAlign w:val="top"/>
          </w:tcPr>
          <w:p>
            <w:pPr>
              <w:spacing w:after="0"/>
            </w:pPr>
            <w:r>
              <w:rPr>
                <w:sz w:val="17"/>
                <w:szCs w:val="17"/>
              </w:rPr>
              <w:t xml:space="preserve">LOT 245 · SSP O7.23 · LOT_245_Appel_A_V5_Ultra_Pedagogique_Plan_et_Liste.html ; LOT_245_Appel_B_V5_Ultra_Pedagogique_Partie_2_DX.3_a_DX.5.html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tableaux d'interprétation DX.3 (TIR-1, TIR-2) et DX.4 (étude de l'hémoglobine, HbF) ; Bloc 1 › tableaux d'interprétation (anti-RACh, TIR, étude de l'hémoglobine, céruloplasmine, cuivre hépatique, C1-INH, α-Gal A, scintigraphie osseuse, PBG urinaire) [Appel A non déposé (filtre de sécurité) : réinjecter dans le fichier local]</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donne les seuils pathologiques (céruloplasmine 0,1–0,2 g/L = 1 point, cuivre hépatique &gt; 250 µg/g, fonction C1-INH &lt; 50 %, scintigraphie grade 2–3, PBG élevé) mais pas les valeurs normales ni la définition des grades.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valeurs de référence et quels seuils diagnostiques recommandent les sociétés européennes pour l'anticorps anti-RACh, la TIR néonatale, la céruloplasmine et le cuivre urinaire et hépatique (score de Leipzig, EASL-ERN 2025 Wilson), la fonction C1-INH et le C4, l'activité α-Gal A et le lyso-Gb3, le grade de Perugini en scintigraphie osseuse (ESC 2021 cardiomyopathies, 2023) et le PBG urinaire (seuil en multiple de la normale, EPNET) ?</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E-068  ·  priorité Moyenne  ·  conduite</w:t>
            </w:r>
          </w:p>
        </w:tc>
        <w:tc>
          <w:tcPr>
            <w:tcW w:w="11200" w:type="dxa"/>
            <w:shd w:val="clear" w:color="auto" w:fill="EBF5FB"/>
            <w:vAlign w:val="top"/>
          </w:tcPr>
          <w:p>
            <w:pPr>
              <w:spacing w:after="0"/>
            </w:pPr>
            <w:r>
              <w:rPr>
                <w:sz w:val="17"/>
                <w:szCs w:val="17"/>
              </w:rPr>
              <w:t xml:space="preserve">LOT 245 · SSP O7.23 · LOT_245_Appel_B_V5_Ultra_Pedagogique_Partie_1_DX.1_a_DX.2.html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1 › DX.2 › 7.4 syndrome inflammatoire (arthrite, atteinte digestive) de la sclérodermie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les recommandations EULAR 2023 (huit domaines) sans détails thérapeutiques pour l'arthrite et l'atteinte digestive.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traitements recommandent les recommandations EULAR 2023 sur la sclérodermie systémique pour l'arthrite et l'atteinte digestive (IPP, prokinétiques, antibiotiques en rotation), avec doses et spécialités suisses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E-070  ·  priorité Moyenne  ·  seuil</w:t>
            </w:r>
          </w:p>
        </w:tc>
        <w:tc>
          <w:tcPr>
            <w:tcW w:w="11200" w:type="dxa"/>
            <w:shd w:val="clear" w:color="auto" w:fill="EBF5FB"/>
            <w:vAlign w:val="top"/>
          </w:tcPr>
          <w:p>
            <w:pPr>
              <w:spacing w:after="0"/>
            </w:pPr>
            <w:r>
              <w:rPr>
                <w:sz w:val="17"/>
                <w:szCs w:val="17"/>
              </w:rPr>
              <w:t xml:space="preserve">LOT 245 · SSP O7.23 · LOT_245_Appel_B_V5_Ultra_Pedagogique_Partie_2_DX.3_a_DX.5.html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DX.3 › fenêtre « poumons, pancréas, voies aériennes supérieures », 7.2 pancréas, 7.4 diabète lié à la mucoviscidose, 7.5 syndrome osseux</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renvoie aux standards ESPEN-ESPGHAN-ECFS 2024 sans en avoir lu le texte : seuils glycémiques du CFRD, dépistage, densité osseuse et fertilité absents.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critères de dépistage et de diagnostic du diabète lié à la mucoviscidose (HGPO annuelle dès 10 ans, seuils), quel traitement (insuline), quel dépistage osseux (DXA : âge, fréquence) et quelles recommandations sur la fertilité et les voies aériennes supérieures donnent les standards ECFS 2023–2024 et ISPAD 2022 ? Citer la recommandation suisse en vigueur (société savante ou autorité, titre, année, URL) ; comparer sa version la plus récente avec celle citée dans le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E-084  ·  priorité Critique  ·  dose</w:t>
            </w:r>
          </w:p>
        </w:tc>
        <w:tc>
          <w:tcPr>
            <w:tcW w:w="11200" w:type="dxa"/>
            <w:shd w:val="clear" w:color="auto" w:fill="FADBD8"/>
            <w:vAlign w:val="top"/>
          </w:tcPr>
          <w:p>
            <w:pPr>
              <w:spacing w:after="0"/>
            </w:pPr>
            <w:r>
              <w:rPr>
                <w:sz w:val="17"/>
                <w:szCs w:val="17"/>
              </w:rPr>
              <w:t xml:space="preserve">LOT 246 · SSP O7.24 · LOT_246_Appel_A_V5_Ultra_Pedagogique_Plan_et_Liste.html ; LOT_246_Appel_B_V5_Ultra_Pedagogique_Partie_1_DX.1_a_DX.2.html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V. diagnostics différentiels (delirium : halopéridol) et tableau des moyens pharmacologiques ; Partie 1 › DX.2 › surveillance et pronostic</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halopéridol max 10 mg/j avec ECG, 0,5 mg/j chez l'âgé dans l'agitation de la démence ; adaptations rénale et hépatique de toutes les spécialités, calendrier biologique et pronostic absents.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traitement pharmacologique du delirium et des SCPD chez la personne âgée recommandent les recommandations suisses (SSGG/SPSG, guidelines Felix Platter ou HUG, SGAP) ou européennes récentes (EuGMS, NICE en comparaison) : halopéridol, rispéridone, quétiapine, lorazépam (doses, durée, QTc), adaptations rénale et hépatique selon les FI suisses, calendrier de surveillance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E-088  ·  priorité Critique  ·  dose</w:t>
            </w:r>
          </w:p>
        </w:tc>
        <w:tc>
          <w:tcPr>
            <w:tcW w:w="11200" w:type="dxa"/>
            <w:shd w:val="clear" w:color="auto" w:fill="FADBD8"/>
            <w:vAlign w:val="top"/>
          </w:tcPr>
          <w:p>
            <w:pPr>
              <w:spacing w:after="0"/>
            </w:pPr>
            <w:r>
              <w:rPr>
                <w:sz w:val="17"/>
                <w:szCs w:val="17"/>
              </w:rPr>
              <w:t xml:space="preserve">LOT 246 · SSP O7.24 · LOT_246_Appel_A_V5_Ultra_Pedagogique_Plan_et_Liste.html ; LOT_246_Appel_B_V5_Ultra_Pedagogique_Partie_2_DX.3_a_DX.5.html ; LOT_246_Appel_B_V5_Ultra_Pedagogique_Partie_3_DX.6_a_DX.7.html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mises en garde (PEP) ; Partie 2 › DX.4 › prophylaxie post-exposition du VIH ; Partie 3 › DX.6 › conditions et exceptions (posologies CFIST chez l'adolescente)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une PEP débutée dans les 48 h pendant 28 jours et le dolutégravir (effets neuropsychiatriques) ; schéma antirétroviral en vigueur, calendrier des contrôles et adaptation chez l'adolescente de petit poids absents.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schéma de PEP VIH recommandent l'OFSP et la CFIST/CFSS en vigueur (molécules, doses, durée, délai maximal de 72 h, adaptation au poids et à l'âge chez l'adolescent, grossesse) et quel calendrier de contrôles sérologiques (VIH, VHB, VHC, syphilis) ? Comparer avec EACS 2024. Inclure la prophylaxie des IST et la contraception d'urgence après viol.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E-090  ·  priorité Critique  ·  dose</w:t>
            </w:r>
          </w:p>
        </w:tc>
        <w:tc>
          <w:tcPr>
            <w:tcW w:w="11200" w:type="dxa"/>
            <w:shd w:val="clear" w:color="auto" w:fill="FADBD8"/>
            <w:vAlign w:val="top"/>
          </w:tcPr>
          <w:p>
            <w:pPr>
              <w:spacing w:after="0"/>
            </w:pPr>
            <w:r>
              <w:rPr>
                <w:sz w:val="17"/>
                <w:szCs w:val="17"/>
              </w:rPr>
              <w:t xml:space="preserve">LOT 246 · SSP O7.24 · LOT_246_Appel_B_V5_Ultra_Pedagogique_Partie_3_DX.6_a_DX.7.html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3 › DX.6 › contraception d'urgence (inducteurs enzymatiques) chez l'adolescente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dit que les inducteurs enzymatiques pris dans les quatre dernières semaines réduisent l'efficacité de la contraception d'urgence ; conduite précise non tranchée.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conduite recommandent la FI suisse de NorLevo®/levonorgestrel et d'ellaOne® (ulipristal) et les recommandations suisses (SSGO, Santé sexuelle Suisse, IENT) chez une adolescente sous inducteur enzymatique : double dose de lévonorgestrel, DIU au cuivre, délai maximal, contrôle de grossesse, capacité de discernement et remise sans les parents ? Pour chaque médicament, donner selon l'information professionnelle suisse (AIPS, swissmedicinfo.ch, date de révision) : spécialité ®, titulaire, indication autorisée, dose, voie, rythme, durée et adaptations rénale, hépatique, pédiatrique, grossesse et allaitement ; signaler tout usage hors indication.</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E-083  ·  priorité Haute  ·  autre</w:t>
            </w:r>
          </w:p>
        </w:tc>
        <w:tc>
          <w:tcPr>
            <w:tcW w:w="11200" w:type="dxa"/>
            <w:shd w:val="clear" w:color="auto" w:fill="FDEBD0"/>
            <w:vAlign w:val="top"/>
          </w:tcPr>
          <w:p>
            <w:pPr>
              <w:spacing w:after="0"/>
            </w:pPr>
            <w:r>
              <w:rPr>
                <w:sz w:val="17"/>
                <w:szCs w:val="17"/>
              </w:rPr>
              <w:t xml:space="preserve">LOT 246 · SSP O7.24 · LOT_246_Appel_A_V5_Ultra_Pedagogique_Plan_et_Liste.html ; LOT_246_Appel_B_V5_Ultra_Pedagogique_Partie_2_DX.3_a_DX.5.html ; LOT_246_Appel_B_V5_Ultra_Pedagogique_Partie_3_DX.6_a_DX.7.html ; LOT_246_Appel_B_V5_Ultra_Pedagogique_Partie_4_DX.8_a_DX.10.html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fenêtre « Droit d'aviser l'APEA » ; Partie 4 › fenêtre T8.3 ; Bloc 1 › II. cadre juridique et II.D. droit et obligation d'aviser (fenêtre transversale II.6) ; Partie 3 › fenêtres 6.7, 7.2, 7.4 et 7.6 (droit d'aviser, poursuite d'office, documentation)</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décrit trois niveaux de droit et cite CC 314c, 314d, 443, 453, CP 321 ; obligations cantonales d'aviser (deux exemples non exhaustifs), modalités cantonales de dénonciation et conservation du dossier non trouvées.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obligations et quels droits d'aviser l'APEA ou de dénoncer à la police s'imposent au médecin en Suisse (CC 314c–314e, 443, 453 ; CP 321, 364 ; lois cantonales de santé, exemple de Vaud, Genève, Neuchâtel, Berne, Zurich) en cas de mise en danger d'un enfant, d'un adulte vulnérable ou de maltraitance d'une personne âgée ? Quelles règles de conservation et d'accès au dossier et aux photographies s'appliquent (durée cantonale, LPD) ? Citer le texte suisse en vigueur (RS, article, alinéa, état du texte, URL) et, s'il y a lieu, les directives ASSM ou le Code de déontologie FMH applicables, avec leur année.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E-085  ·  priorité Haute  ·  recommandation</w:t>
            </w:r>
          </w:p>
        </w:tc>
        <w:tc>
          <w:tcPr>
            <w:tcW w:w="11200" w:type="dxa"/>
            <w:shd w:val="clear" w:color="auto" w:fill="FDEBD0"/>
            <w:vAlign w:val="top"/>
          </w:tcPr>
          <w:p>
            <w:pPr>
              <w:spacing w:after="0"/>
            </w:pPr>
            <w:r>
              <w:rPr>
                <w:sz w:val="17"/>
                <w:szCs w:val="17"/>
              </w:rPr>
              <w:t xml:space="preserve">LOT 246 · SSP O7.24 · LOT_246_Appel_A_V5_Ultra_Pedagogique_Plan_et_Liste.html ; LOT_246_Appel_B_V5_Ultra_Pedagogique_Partie_2_DX.3_a_DX.5.html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moyens pharmacologiques (lithium, Quilonorm® retard) ; Partie 2 › DX.3 › épidémiologie du suicide, 7.4 demande d'assistance au suicide, fenêtre transversale « Assistance au suicide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958 suicides non assistés en 2022 (11,0/100 000) ; nombre de suicides assistés non retenu ; directives ASSM sur l'assistance au suicide non détaillées ; lithium sans indication antisuicidaire en Suisse.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est le nombre de suicides assistés et non assistés en Suisse selon l'OFS (dernière année publiée) ? Quelles directives ASSM « Attitude face à la fin de vie et à la mort » (2018, révisée 2021–2022) et quelle jurisprudence (ATF 133 I 58) encadrent l'évaluation de la capacité de discernement avant une assistance au suicide ? Quelle place donnent les recommandations suisses (SSPP) ou européennes au lithium dans la prévention du suicide, selon la FI suisse de Quilonorm® ? Citer le texte suisse en vigueur (RS, article, alinéa, état du texte, URL) et, s'il y a lieu, les directives ASSM ou le Code de déontologie FMH applicables, avec leur année.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E-086  ·  priorité Haute  ·  autre</w:t>
            </w:r>
          </w:p>
        </w:tc>
        <w:tc>
          <w:tcPr>
            <w:tcW w:w="11200" w:type="dxa"/>
            <w:shd w:val="clear" w:color="auto" w:fill="FDEBD0"/>
            <w:vAlign w:val="top"/>
          </w:tcPr>
          <w:p>
            <w:pPr>
              <w:spacing w:after="0"/>
            </w:pPr>
            <w:r>
              <w:rPr>
                <w:sz w:val="17"/>
                <w:szCs w:val="17"/>
              </w:rPr>
              <w:t xml:space="preserve">LOT 246 · SSP O7.24 · LOT_246_Appel_B_V5_Ultra_Pedagogique_Partie_2_DX.3_a_DX.5.html ; LOT_246_Appel_B_V5_Ultra_Pedagogique_Partie_4_DX.8_a_DX.10.html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DX.3 › fenêtre transversale « PAFA médical : procédure » ; Partie 4 › DX.9 › fenêtre T9.4 « placement à des fins d'assistance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les trois conditions du PAFA (CC 426) ; médecins habilités, durée du placement médical et voies de recours selon les cantons non détaillés.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règles cantonales désignent les médecins habilités à ordonner un PAFA (CC 429) et fixent sa durée maximale (6 semaines au plus), et quelles procédures (recours CC 439, entretien, plan de traitement, mesures limitant la liberté CC 438) s'appliquent ? Que disent les directives ASSM sur les mesures de contrainte (2015, révision) ? Citer le texte suisse en vigueur (RS, article, alinéa, état du texte, URL) et, s'il y a lieu, les directives ASSM ou le Code de déontologie FMH applicables, avec leur année.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E-087  ·  priorité Haute  ·  recommandation</w:t>
            </w:r>
          </w:p>
        </w:tc>
        <w:tc>
          <w:tcPr>
            <w:tcW w:w="11200" w:type="dxa"/>
            <w:shd w:val="clear" w:color="auto" w:fill="FDEBD0"/>
            <w:vAlign w:val="top"/>
          </w:tcPr>
          <w:p>
            <w:pPr>
              <w:spacing w:after="0"/>
            </w:pPr>
            <w:r>
              <w:rPr>
                <w:sz w:val="17"/>
                <w:szCs w:val="17"/>
              </w:rPr>
              <w:t xml:space="preserve">LOT 246 · SSP O7.24 · LOT_246_Appel_B_V5_Ultra_Pedagogique_Partie_2_DX.3_a_DX.5.html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DX.4 › violence domestique (épidémiologie, fenêtre transversale « Secret médical et victimes »)</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265 victimes d'homicide dans le couple de 2019 à 2023 et la procédure en quatre étapes sur le secret médical.</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chiffres de la statistique policière OFS 2025 décrivent la violence domestique en Suisse, et quelles recommandations suisses guident le médecin (BFEG, guides cantonaux, LAVI : centres de consultation, constat médico-légal, levée du secret CP 321 ch. 2, Convention d'Istanbul) ? Citer le texte suisse en vigueur (RS, article, alinéa, état du texte, URL) et, s'il y a lieu, les directives ASSM ou le Code de déontologie FMH applicables, avec leur année.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E-089  ·  priorité Haute  ·  conduite</w:t>
            </w:r>
          </w:p>
        </w:tc>
        <w:tc>
          <w:tcPr>
            <w:tcW w:w="11200" w:type="dxa"/>
            <w:shd w:val="clear" w:color="auto" w:fill="FDEBD0"/>
            <w:vAlign w:val="top"/>
          </w:tcPr>
          <w:p>
            <w:pPr>
              <w:spacing w:after="0"/>
            </w:pPr>
            <w:r>
              <w:rPr>
                <w:sz w:val="17"/>
                <w:szCs w:val="17"/>
              </w:rPr>
              <w:t xml:space="preserve">LOT 246 · SSP O7.24 · LOT_246_Appel_B_V5_Ultra_Pedagogique_Partie_2_DX.3_a_DX.5.html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DX.5 › maltraitance de l'enfant (épidémiologie, co-ingestions, traitement, surveillance biologique)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2380 enfants traités en 2025 par 19 cliniques pédiatriques ; aucune pharmacothérapie spécifique ; bilan de coagulation devant un hématome sans détail.</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bilan recommandent Pédiatrie Suisse et le Groupe suisse de protection de l'enfant (Kinderschutz Schweiz / Fondation Protection de l'enfance) devant une suspicion de maltraitance ou de bébé secoué : bilan de coagulation, bilan squelettique, fond d'œil, imagerie cérébrale, examen de la fratrie ? Quelle conduite pour une intoxication suspecte de l'enfant (Tox Info Suisse) ? Citer la recommandation suisse en vigueur (société savante ou autorité, titre, année, URL) ; comparer sa version la plus récente avec celle citée dans le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E-093  ·  priorité Haute  ·  autre</w:t>
            </w:r>
          </w:p>
        </w:tc>
        <w:tc>
          <w:tcPr>
            <w:tcW w:w="11200" w:type="dxa"/>
            <w:shd w:val="clear" w:color="auto" w:fill="FDEBD0"/>
            <w:vAlign w:val="top"/>
          </w:tcPr>
          <w:p>
            <w:pPr>
              <w:spacing w:after="0"/>
            </w:pPr>
            <w:r>
              <w:rPr>
                <w:sz w:val="17"/>
                <w:szCs w:val="17"/>
              </w:rPr>
              <w:t xml:space="preserve">LOT 246 · SSP O7.24 · LOT_246_Appel_A_V5_Ultra_Pedagogique_Plan_et_Liste.html ; LOT_246_Appel_B_V5_Ultra_Pedagogique_Partie_4_DX.8_a_DX.10.html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outil pour DX.9 précarité ; Partie 4 › DX.9 › premier recours, fenêtres T9.1 (aide sociale), T9.2 (liste cantonale des mauvais payeurs), T9.5 (secret médical et sans-papiers), suivi ambulatoire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dit qu'aucun outil validé n'a été retrouvé ; modalités de l'aide sociale cantonale, cantons ayant une liste de mauvais payeurs (LAMal art. 64a al. 7) et levée de la suspension, obligations cantonales d'annoncer et intervalles de suivi absents.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cantons tiennent en 2026 une liste des assurés en retard de paiement (LAMal art. 64a al. 7, révision entrée en vigueur en 2024 : interdiction pour les mineurs), comment se lève la suspension et que couvre l'urgence ? Quels droits d'accès aux soins ont les sans-papiers (affiliation LAMal, réduction de primes, Cst. 12) et existe-t-il un outil validé de repérage de la précarité en Suisse (DiPCare-Q, Genève) ? Citer le texte suisse en vigueur (RS, article, alinéa, état du texte, URL) et, s'il y a lieu, les directives ASSM ou le Code de déontologie FMH applicables, avec leur année.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E-096  ·  priorité Haute  ·  recommandation</w:t>
            </w:r>
          </w:p>
        </w:tc>
        <w:tc>
          <w:tcPr>
            <w:tcW w:w="11200" w:type="dxa"/>
            <w:shd w:val="clear" w:color="auto" w:fill="FDEBD0"/>
            <w:vAlign w:val="top"/>
          </w:tcPr>
          <w:p>
            <w:pPr>
              <w:spacing w:after="0"/>
            </w:pPr>
            <w:r>
              <w:rPr>
                <w:sz w:val="17"/>
                <w:szCs w:val="17"/>
              </w:rPr>
              <w:t xml:space="preserve">LOT 246 · SSP O7.24 · LOT_246_Appel_B_V5_Ultra_Pedagogique_Partie_4_DX.8_a_DX.10.html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4 › DX.8 › 7.3 mutilations génitales féminines (douleurs, complications obstétricales)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oriente vers le Réseau suisse contre l'excision ; mécanismes et complications détaillées non trouvés.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recommandations suisses (SSGO avis d'experts sur les MGF, Réseau suisse contre l'excision, OFSP) encadrent la prise en charge des femmes excisées : classification OMS, complications gynécologiques et obstétricales, désinfibulation, interdiction de la réinfibulation, CP 124 et droit d'aviser pour une fillette à risque ? Citer le texte suisse en vigueur (RS, article, alinéa, état du texte, URL) et, s'il y a lieu, les directives ASSM ou le Code de déontologie FMH applicables, avec leur année.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E-097  ·  priorité Haute  ·  recommandation</w:t>
            </w:r>
          </w:p>
        </w:tc>
        <w:tc>
          <w:tcPr>
            <w:tcW w:w="11200" w:type="dxa"/>
            <w:shd w:val="clear" w:color="auto" w:fill="FDEBD0"/>
            <w:vAlign w:val="top"/>
          </w:tcPr>
          <w:p>
            <w:pPr>
              <w:spacing w:after="0"/>
            </w:pPr>
            <w:r>
              <w:rPr>
                <w:sz w:val="17"/>
                <w:szCs w:val="17"/>
              </w:rPr>
              <w:t xml:space="preserve">LOT 246 · SSP O7.24 · LOT_246_Appel_B_V5_Ultra_Pedagogique_Partie_4_DX.8_a_DX.10.html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4 › DX.10 › 7.5 maladie contagieuse (dépistage tuberculose en détention)</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dit que le protocole suisse de dépistage en détention n'a pas été trouvé ; il cite l'OEp art. 30.</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protocole suisse de dépistage de la tuberculose et des infections transmissibles (VIH, VHB, VHC) à l'entrée en détention recommandent l'OFSP, la Ligue pulmonaire suisse (Manuel de la tuberculose, édition la plus récente) et le Centre suisse de compétences en matière d'exécution des sanctions pénales (CSCSP/SKJV) ? Citer la recommandation suisse en vigueur (société savante ou autorité, titre, année, URL) ; comparer sa version la plus récente avec celle citée dans le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E-098  ·  priorité Haute  ·  recommandation</w:t>
            </w:r>
          </w:p>
        </w:tc>
        <w:tc>
          <w:tcPr>
            <w:tcW w:w="11200" w:type="dxa"/>
            <w:shd w:val="clear" w:color="auto" w:fill="FDEBD0"/>
            <w:vAlign w:val="top"/>
          </w:tcPr>
          <w:p>
            <w:pPr>
              <w:spacing w:after="0"/>
            </w:pPr>
            <w:r>
              <w:rPr>
                <w:sz w:val="17"/>
                <w:szCs w:val="17"/>
              </w:rPr>
              <w:t xml:space="preserve">LOT 246 · SSP O7.24 · LOT_246_Appel_B_V5_Ultra_Pedagogique_Partie_4_DX.8_a_DX.10.html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4 › DX.10 › fenêtres T10.1 (mesures de contrainte), T10.2 (grève de la faim), T10.3 (secret médical), T10.5 (constat de violences), T10.6 (recherche sur les détenus)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les directives ASSM sur l'exercice de la médecine auprès des personnes détenues (2013, mises à jour 2015) ; textes intégraux des mesures de contrainte, du Protocole d'Istanbul et des conditions de recherche (LRH) non lus.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prévoient les directives ASSM en vigueur « Exercice de la médecine auprès de personnes détenues » (version, URL) sur la grève de la faim, les mesures de contrainte, le secret médical et la levée du secret, et quelle est la version la plus récente du Protocole d'Istanbul (2022) pour le constat de violences ? Quelles conditions la LRH (art. 28–31) impose-t-elle à la recherche sur des personnes détenues ? Citer le texte suisse en vigueur (RS, article, alinéa, état du texte, URL) et, s'il y a lieu, les directives ASSM ou le Code de déontologie FMH applicables, avec leur année.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E-091  ·  priorité Moyenne  ·  conduite</w:t>
            </w:r>
          </w:p>
        </w:tc>
        <w:tc>
          <w:tcPr>
            <w:tcW w:w="11200" w:type="dxa"/>
            <w:shd w:val="clear" w:color="auto" w:fill="EBF5FB"/>
            <w:vAlign w:val="top"/>
          </w:tcPr>
          <w:p>
            <w:pPr>
              <w:spacing w:after="0"/>
            </w:pPr>
            <w:r>
              <w:rPr>
                <w:sz w:val="17"/>
                <w:szCs w:val="17"/>
              </w:rPr>
              <w:t xml:space="preserve">LOT 246 · SSP O7.24 · LOT_246_Appel_B_V5_Ultra_Pedagogique_Partie_3_DX.6_a_DX.7.html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3 › DX.6 › adolescent (épidémiologie CP 187, 7.3 trouble alimentaire, suivi de la suicidalité, placement CC 314b)</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1118 infractions CP 187 en 2025 ; critères du trouble alimentaire, fréquence du suivi de la suicidalité et règles du placement d'un mineur en milieu fermé non détaillés.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critères d'hospitalisation de l'adolescent souffrant d'anorexie mentale (fréquence cardiaque, IMC, kaliémie, phosphate) recommandent les sociétés suisses (SSPPEA, Pédiatrie Suisse) ou européennes ? Quel suivi de la suicidalité chez l'adolescent recommandent-elles, et quelles règles s'appliquent au placement d'un mineur en établissement fermé ou psychiatrique (CC 314b) ? Citer la recommandation suisse en vigueur (société savante ou autorité, titre, année, URL) ; comparer sa version la plus récente avec celle citée dans le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E-092  ·  priorité Moyenne  ·  recommandation</w:t>
            </w:r>
          </w:p>
        </w:tc>
        <w:tc>
          <w:tcPr>
            <w:tcW w:w="11200" w:type="dxa"/>
            <w:shd w:val="clear" w:color="auto" w:fill="EBF5FB"/>
            <w:vAlign w:val="top"/>
          </w:tcPr>
          <w:p>
            <w:pPr>
              <w:spacing w:after="0"/>
            </w:pPr>
            <w:r>
              <w:rPr>
                <w:sz w:val="17"/>
                <w:szCs w:val="17"/>
              </w:rPr>
              <w:t xml:space="preserve">LOT 246 · SSP O7.24 · LOT_246_Appel_B_V5_Ultra_Pedagogique_Partie_1_DX.1_a_DX.2.html ; LOT_246_Appel_A_V5_Ultra_Pedagogique_Plan_et_Liste.html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1 › DX.1 › fragilité (prévalence, populations particulières, lorazépam Temesta® et supplémentation, surveillance, pronostic)</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 phénotype de Fried et la CFS, la réduction de 50 % de la dose de Temesta® chez l'âgé ; prévalence suisse de la fragilité, spécialité suisse de supplémentation protéino-énergétique, adaptation à DFGe &lt; 30 et calendrier de surveillance absents.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prévalence suisse de la fragilité (cohortes Lc65+, SHARE Suisse, OFS) existe ? Quelles recommandations suisses (SSGG, Ligue suisse contre le rhumatisme, guidelines de prévention des chutes « StoppSturz ») ou européennes (ICFSR 2017, World Falls Guidelines 2022) fixent la prise en charge : exercice, supplémentation protéino-énergétique (produits suisses, apports cibles), vitamine D (dose), déprescription des benzodiazépines, calendrier de réévaluation ? Citer la recommandation suisse en vigueur (société savante ou autorité, titre, année, URL) ; comparer sa version la plus récente avec celle citée dans le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E-094  ·  priorité Moyenne  ·  épidémiologie</w:t>
            </w:r>
          </w:p>
        </w:tc>
        <w:tc>
          <w:tcPr>
            <w:tcW w:w="11200" w:type="dxa"/>
            <w:shd w:val="clear" w:color="auto" w:fill="EBF5FB"/>
            <w:vAlign w:val="top"/>
          </w:tcPr>
          <w:p>
            <w:pPr>
              <w:spacing w:after="0"/>
            </w:pPr>
            <w:r>
              <w:rPr>
                <w:sz w:val="17"/>
                <w:szCs w:val="17"/>
              </w:rPr>
              <w:t xml:space="preserve">LOT 246 · SSP O7.24 · LOT_246_Appel_B_V5_Ultra_Pedagogique_Partie_3_DX.6_a_DX.7.html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3 › DX.7 › maltraitance de la personne âgée (épidémiologie BFEG, 7.5 contention abusive, traitement des lésions, surveillance biologique)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300 000 à 500 000 personnes de 60 ans et plus victimes chaque année (BFEG), méthode non détaillée ; complications de la contention et suivi de la dénutrition non sourcés.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méthode et la source exacte de l'estimation suisse de 300 000 à 500 000 victimes (BFEG, rapport du Conseil fédéral 2020 « Prévenir la violence sur les personnes âgées », URL) ? Quelles complications de la contention physique et quelles règles légales (CC 383–385) et recommandations (ASSM mesures de contrainte, Curaviva) s'appliquent ? Quel suivi de la dénutrition recommandent les sociétés suisses (SSNC/GESKES) ? Citer le texte suisse en vigueur (RS, article, alinéa, état du texte, URL) et, s'il y a lieu, les directives ASSM ou le Code de déontologie FMH applicables, avec leur année.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E-095  ·  priorité Moyenne  ·  autre</w:t>
            </w:r>
          </w:p>
        </w:tc>
        <w:tc>
          <w:tcPr>
            <w:tcW w:w="11200" w:type="dxa"/>
            <w:shd w:val="clear" w:color="auto" w:fill="EBF5FB"/>
            <w:vAlign w:val="top"/>
          </w:tcPr>
          <w:p>
            <w:pPr>
              <w:spacing w:after="0"/>
            </w:pPr>
            <w:r>
              <w:rPr>
                <w:sz w:val="17"/>
                <w:szCs w:val="17"/>
              </w:rPr>
              <w:t xml:space="preserve">LOT 246 · SSP O7.24 · LOT_246_Appel_B_V5_Ultra_Pedagogique_Partie_4_DX.8_a_DX.10.html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4 › DX.8 › fenêtres T8.1 « interprétariat » et Bio-Mathématique 8.1 (trois pays principaux), conditions de l'interprète auxiliaire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dit que la liste des langues des demandeurs d'asile, la méthode de repérage de la langue et la qualité d'« auxiliaire » de l'interprète au sens du CP 321 ne figurent pas dans les sources.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sont les principales nationalités et langues des demandeurs d'asile en Suisse (SEM, statistique 2025) ; quelles recommandations de l'OFSP et d'INTERPRET encadrent l'interprétariat communautaire (repérage de la langue, financement, secret) ; l'interprète est-il un auxiliaire soumis au CP 321 ? Citer le texte suisse en vigueur (RS, article, alinéa, état du texte, URL) et, s'il y a lieu, les directives ASSM ou le Code de déontologie FMH applicables, avec leur année.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E-099  ·  priorité Moyenne  ·  recommandation</w:t>
            </w:r>
          </w:p>
        </w:tc>
        <w:tc>
          <w:tcPr>
            <w:tcW w:w="11200" w:type="dxa"/>
            <w:shd w:val="clear" w:color="auto" w:fill="EBF5FB"/>
            <w:vAlign w:val="top"/>
          </w:tcPr>
          <w:p>
            <w:pPr>
              <w:spacing w:after="0"/>
            </w:pPr>
            <w:r>
              <w:rPr>
                <w:sz w:val="17"/>
                <w:szCs w:val="17"/>
              </w:rPr>
              <w:t xml:space="preserve">LOT 246 · SSP O7.24 · LOT_246_Appel_B_V5_Ultra_Pedagogique_Partie_4_DX.8_a_DX.10.html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4 › DX.10 › troubles mentaux en détention et suivi psychiatrique sous TAO</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un excès de troubles mentaux en prison et un suivi sous TAO avec ECG selon les facteurs de risque ; fréquence des consultations psychiatriques absente.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recommandations suisses (SSAM « Recommandations médicales pour le traitement par agonistes opioïdes » 2020 ou plus récentes, CSCSP, OFSP) encadrent le TAO et le suivi psychiatrique en détention : poursuite du traitement à l'entrée, ECG sous méthadone, prévention de l'overdose à la sortie (naloxone) ? Citer la recommandation suisse en vigueur (société savante ou autorité, titre, année, URL) ; comparer sa version la plus récente avec celle citée dans le cours et lister les différences ; à défaut de source suisse, donner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p>
      <w:pPr>
        <w:pStyle w:val="Titre1"/>
      </w:pPr>
      <w:r>
        <w:rPr>
          <w:b/>
          <w:color w:val="1A5276"/>
          <w:sz w:val="28"/>
          <w:szCs w:val="28"/>
        </w:rPr>
        <w:t xml:space="preserve">9. Groupe F — Lots Claude 247, 248 et dizaine 02 (217 à 226)</w:t>
      </w: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F-038  ·  priorité Haute  ·  conduite</w:t>
            </w:r>
          </w:p>
        </w:tc>
        <w:tc>
          <w:tcPr>
            <w:tcW w:w="11200" w:type="dxa"/>
            <w:shd w:val="clear" w:color="auto" w:fill="FDEBD0"/>
            <w:vAlign w:val="top"/>
          </w:tcPr>
          <w:p>
            <w:pPr>
              <w:spacing w:after="0"/>
            </w:pPr>
            <w:r>
              <w:rPr>
                <w:sz w:val="17"/>
                <w:szCs w:val="17"/>
              </w:rPr>
              <w:t xml:space="preserve">LOT 217 · SSP O6.4 · evidence.json (LOT_217, dossier de preuves ; fichiers HTML du cours non encore produits)</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not_found n° 8 (point 11 Prise en charge, certificat d'incapacité) ; lié au LOT_224</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dossier n'a trouvé la notion d'incapacité de travail limitée au poste (« arbeitsplatzbezogene Arbeitsunfähigkeit ») ni dans les lignes directrices SIM 2026 ni dans le guide ASSM/FMH.</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Comment les lignes directrices de la Swiss Insurance Medicine (SIM 2026) ou la jurisprudence suisse traitent-elles l'incapacité de travail limitée au poste de travail (conflit, mobbing) et ses conséquences pour l'assurance perte de gain et le délai de protection contre le licenciement (CO 336c) ? Citez la recommandation suisse en vigueur (société savante ou autorité : titre, année, URL) qui fixe cette conduite. Comparez sa version la plus récente avec celle du cours et listez les différences.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F-039  ·  priorité Haute  ·  autorisation</w:t>
            </w:r>
          </w:p>
        </w:tc>
        <w:tc>
          <w:tcPr>
            <w:tcW w:w="11200" w:type="dxa"/>
            <w:shd w:val="clear" w:color="auto" w:fill="FDEBD0"/>
            <w:vAlign w:val="top"/>
          </w:tcPr>
          <w:p>
            <w:pPr>
              <w:spacing w:after="0"/>
            </w:pPr>
            <w:r>
              <w:rPr>
                <w:sz w:val="17"/>
                <w:szCs w:val="17"/>
              </w:rPr>
              <w:t xml:space="preserve">LOT 217 · SSP O6.4 · evidence.json (LOT_217, dossier de preuves ; fichiers HTML du cours non encore produits)</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not_found n° 10 et 12 (point 6 Cadre légal, harcèlement scolaire)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DPMin et les lois scolaires cantonales n'ont pas été lus ; le dossier interdit de citer un âge de responsabilité pénale sans vérification ; la Revue médicale suisse 2026 (harcèlement scolaire et médecin traitant) n'a été lue qu'en résumé.</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âge de responsabilité pénale fixe le DPMin (art. 3–4), quelles sanctions s'appliquent au cyberharcèlement entre mineurs, et quelle conduite du médecin traitant devant un harcèlement scolaire recommande une source suisse (RMS 2026, SSP, programme cantonal) ? Citez le texte en vigueur (Fedlex : RS, article, alinéa et lettre exacts, état de consolidation, URL) ou l'entrée Swissmedic/AIPS ou la décision officielle, avec date. Comparez avec la version citée dans le cours et signalez tout changement.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F-040  ·  priorité Haute  ·  dose</w:t>
            </w:r>
          </w:p>
        </w:tc>
        <w:tc>
          <w:tcPr>
            <w:tcW w:w="11200" w:type="dxa"/>
            <w:shd w:val="clear" w:color="auto" w:fill="FDEBD0"/>
            <w:vAlign w:val="top"/>
          </w:tcPr>
          <w:p>
            <w:pPr>
              <w:spacing w:after="0"/>
            </w:pPr>
            <w:r>
              <w:rPr>
                <w:sz w:val="17"/>
                <w:szCs w:val="17"/>
              </w:rPr>
              <w:t xml:space="preserve">LOT 217 · SSP O6.4 · evidence.json (LOT_217, dossier de preuves ; fichiers HTML du cours non encore produits)</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not_found n° 11 (DX.10, trouble délirant / stalking)</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Les posologies des antipsychotiques du DX.10 et les outils validés d'évaluation du risque de violence dans le stalking n'ont pas été recherchés ou trouvés.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antipsychotiques et quelles posologies (IP suisse) s'emploient dans le trouble délirant de type érotomaniaque, et quels outils validés d'évaluation du risque (SRP, SAM) recommandent les sources européennes ou suisses (police cantonale, gestion des menaces) ? Donnez la posologie selon l'information professionnelle suisse en vigueur (AIPS, swissmedicinfo.ch : spécialité ®, titulaire, date de révision, URL) : dose, voie, rythme, durée et adaptations rénale, hépatique, pédiatrique, grossesse et allaitement. Comparez avec la version citée dans le cours et signalez toute différence. À défaut d'IP suisse, citez la recommandation européenne la plus récente (titre, année,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F-041  ·  priorité Haute  ·  autorisation</w:t>
            </w:r>
          </w:p>
        </w:tc>
        <w:tc>
          <w:tcPr>
            <w:tcW w:w="11200" w:type="dxa"/>
            <w:shd w:val="clear" w:color="auto" w:fill="FDEBD0"/>
            <w:vAlign w:val="top"/>
          </w:tcPr>
          <w:p>
            <w:pPr>
              <w:spacing w:after="0"/>
            </w:pPr>
            <w:r>
              <w:rPr>
                <w:sz w:val="17"/>
                <w:szCs w:val="17"/>
              </w:rPr>
              <w:t xml:space="preserve">LOT 217 · SSP O6.4 · evidence.json (LOT_217, dossier de preuves ; fichiers HTML du cours non encore produits) ; LOT_218 LOT_218_Appel_A_V5_Ultra_Pedagogique_Plan_et_Liste.html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LOT_217 not_found n° 13 ; LOT_218 not_found n° 1 et Bloc 2 › lacunes (218.12) ; LOT_219 not_found n° 5 ; LOT_220 not_found n° 7 ; LOT_221 not_found n° 3 ; LOT_226 uncertainties n° 13</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code de déontologie FMH n'a pas été lu sur fmh.ch : copies ISFM/SIWF (révision 2025) ou citation indirecte ; articles sur la non-discrimination, le secret, les certificats et l'intégration des directives ASSM non vérifiés.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est le texte en vigueur du code de déontologie de la FMH (version et date) pour les articles sur la non-discrimination, le secret professionnel, l'établissement des certificats médicaux (art. 34) et l'intégration des directives de l'ASSM (annexe), avec URL fmh.ch ? Citez le texte en vigueur (Fedlex : RS, article, alinéa et lettre exacts, état de consolidation, URL) ou l'entrée Swissmedic/AIPS ou la décision officielle, avec date. Comparez avec la version citée dans le cours et signalez tout changement.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F-042  ·  priorité Haute  ·  dose</w:t>
            </w:r>
          </w:p>
        </w:tc>
        <w:tc>
          <w:tcPr>
            <w:tcW w:w="11200" w:type="dxa"/>
            <w:shd w:val="clear" w:color="auto" w:fill="FDEBD0"/>
            <w:vAlign w:val="top"/>
          </w:tcPr>
          <w:p>
            <w:pPr>
              <w:spacing w:after="0"/>
            </w:pPr>
            <w:r>
              <w:rPr>
                <w:sz w:val="17"/>
                <w:szCs w:val="17"/>
              </w:rPr>
              <w:t xml:space="preserve">LOT 217 · SSP O6.4 · evidence.json (LOT_217, dossier de preuves ; fichiers HTML du cours non encore produits)</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uncertainties n° 8 (point 11.B, pédiatrie)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dossier signale que Swisspeddose harmonise des posologies pédiatriques hors indication de l'IP pour la fluoxétine et la sertraline.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posologies pédiatriques de la fluoxétine et de la sertraline (dépression, TSPT, anxiété) publie Swisspeddose, et quelles indications pédiatriques l'IP suisse de chaque spécialité reconnaît-elle ? Donnez la posologie selon l'information professionnelle suisse en vigueur (AIPS, swissmedicinfo.ch : spécialité ®, titulaire, date de révision, URL) : dose, voie, rythme, durée et adaptations rénale, hépatique, pédiatrique, grossesse et allaitement. Comparez avec la version citée dans le cours et signalez toute différence. À défaut d'IP suisse, citez la recommandation européenne la plus récente (titre, année,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F-043  ·  priorité Haute  ·  dose</w:t>
            </w:r>
          </w:p>
        </w:tc>
        <w:tc>
          <w:tcPr>
            <w:tcW w:w="11200" w:type="dxa"/>
            <w:shd w:val="clear" w:color="auto" w:fill="FDEBD0"/>
            <w:vAlign w:val="top"/>
          </w:tcPr>
          <w:p>
            <w:pPr>
              <w:spacing w:after="0"/>
            </w:pPr>
            <w:r>
              <w:rPr>
                <w:sz w:val="17"/>
                <w:szCs w:val="17"/>
              </w:rPr>
              <w:t xml:space="preserve">LOT 217 · SSP O6.4 · evidence.json (LOT_217, dossier de preuves ; fichiers HTML du cours non encore produits)</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uncertainties n° 9, 11 (TSPT) ; aussi LOT_221 uncertainties n° 1 (allaitement) et LOT_226 uncertainties n° 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dossier arbitre : IP Zoloft® (TSPT chronique, max 200 mg) contre OMS 2013 et SGAD 2016 (50–150 mg) ; LOT_221 : la recommandation suisse 2016 cite la sertraline en allaitement, l'IP Zoloft® (août 2025) demande d'arrêter l'allaitement.</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prévoit l'IP suisse de Zoloft® en vigueur (indications TSPT et dépression, dose initiale et maximale, allaitement) et quelle position adoptent swisstis.ch et la recommandation suisse la plus récente sur l'emploi de la sertraline pendant l'allaitement ? Donnez la posologie selon l'information professionnelle suisse en vigueur (AIPS, swissmedicinfo.ch : spécialité ®, titulaire, date de révision, URL) : dose, voie, rythme, durée et adaptations rénale, hépatique, pédiatrique, grossesse et allaitement. Comparez avec la version citée dans le cours et signalez toute différence. À défaut d'IP suisse, citez la recommandation européenne la plus récente (titre, année,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F-035  ·  priorité Moyenne  ·  epidemiologie</w:t>
            </w:r>
          </w:p>
        </w:tc>
        <w:tc>
          <w:tcPr>
            <w:tcW w:w="11200" w:type="dxa"/>
            <w:shd w:val="clear" w:color="auto" w:fill="EBF5FB"/>
            <w:vAlign w:val="top"/>
          </w:tcPr>
          <w:p>
            <w:pPr>
              <w:spacing w:after="0"/>
            </w:pPr>
            <w:r>
              <w:rPr>
                <w:sz w:val="17"/>
                <w:szCs w:val="17"/>
              </w:rPr>
              <w:t xml:space="preserve">LOT 217 · SSP O6.4 · evidence.json (LOT_217, dossier de preuves ; fichiers HTML du cours non encore produits)</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not_found n° 1, 2, 3, 9 ; uncertainties n° 1, 2, 12 (point 3 Épidémiologie, futur cours LOT_217)</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dossier utilise l'OFS 2024 (ESS 2022 : 5,9 %/6,8 % de mobbing), le rapport HBSC fribourgeois (valeurs nationales lues sur figures), des chiffres internationaux de stalking (BFEG 2017 : aucune donnée suisse) ; prévalence du TSPT après mobbing et chiffres sur le harcèlement entre médecins non trouvés ; rapport Addiction Suisse n° 154 non lu.</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données suisses récentes existent sur la prévalence du harcèlement obsessionnel (stalking), du harcèlement scolaire et du cyberharcèlement (rapport national HBSC 2022, Addiction Suisse n° 154), du harcèlement au travail (SECO, ESS 2022) et du harcèlement entre médecins (ASMAC, FMH), et sur le TSPT consécutif ? Citez la source suisse primaire la plus récente (OFS, Obsan, OFSP, registre ou société savante : titre, année des données, URL, date de consultation). Signalez toute rupture de série. À défaut de donnée suisse, donnez la donnée européenne la plus récente en l'étiquetant comme telle.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F-036  ·  priorité Moyenne  ·  autorisation</w:t>
            </w:r>
          </w:p>
        </w:tc>
        <w:tc>
          <w:tcPr>
            <w:tcW w:w="11200" w:type="dxa"/>
            <w:shd w:val="clear" w:color="auto" w:fill="EBF5FB"/>
            <w:vAlign w:val="top"/>
          </w:tcPr>
          <w:p>
            <w:pPr>
              <w:spacing w:after="0"/>
            </w:pPr>
            <w:r>
              <w:rPr>
                <w:sz w:val="17"/>
                <w:szCs w:val="17"/>
              </w:rPr>
              <w:t xml:space="preserve">LOT 217 · SSP O6.4 · evidence.json (LOT_217, dossier de preuves ; fichiers HTML du cours non encore produits)</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not_found n° 5 (point 6 Cadre légal, mobbing au travail)</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L'article 2 OLT 3 est cité d'après l'annexe de la brochure SECO ; le commentaire SECO de l'OLT 3 art. 2 (passages sur le mobbing) n'a pas été lu.</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disent le texte en vigueur de l'OLT 3 art. 2 et le commentaire officiel du SECO sur le mobbing et le harcèlement sexuel (obligations de l'employeur, définition opérationnelle), et quelle jurisprudence du Tribunal fédéral définit le mobbing ? Citez le texte en vigueur (Fedlex : RS, article, alinéa et lettre exacts, état de consolidation, URL) ou l'entrée Swissmedic/AIPS ou la décision officielle, avec date. Comparez avec la version citée dans le cours et signalez tout changement.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F-037  ·  priorité Moyenne  ·  seuil</w:t>
            </w:r>
          </w:p>
        </w:tc>
        <w:tc>
          <w:tcPr>
            <w:tcW w:w="11200" w:type="dxa"/>
            <w:shd w:val="clear" w:color="auto" w:fill="EBF5FB"/>
            <w:vAlign w:val="top"/>
          </w:tcPr>
          <w:p>
            <w:pPr>
              <w:spacing w:after="0"/>
            </w:pPr>
            <w:r>
              <w:rPr>
                <w:sz w:val="17"/>
                <w:szCs w:val="17"/>
              </w:rPr>
              <w:t xml:space="preserve">LOT 217 · SSP O6.4 · evidence.json (LOT_217, dossier de preuves ; fichiers HTML du cours non encore produits)</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not_found n° 7 (point 2 Définition, critère de Leymann)</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dossier ne dispose que de la fenêtre de 6 mois du NAQ-R et du critère « au moins un acte hebdomadaire » (Petrović 2016) ; le critère temporel de Leymann n'a pas été lu dans une source primaire.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critère opérationnel de durée et de fréquence (Leymann : au moins une fois par semaine pendant au moins 6 mois) retiennent une source primaire et la jurisprudence ou le SECO en Suisse, et quels seuils dichotomiques du NAQ-R sont validés ? Donnez la valeur seuil validée, la population de validation (suisse ou germanophone/francophone si possible), la sensibilité et la spécificité, avec la source primaire (titre, année, URL). Signalez toute recommandation suisse ou européenne qui adopte ce seuil.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F-044  ·  priorité Moyenne  ·  seuil</w:t>
            </w:r>
          </w:p>
        </w:tc>
        <w:tc>
          <w:tcPr>
            <w:tcW w:w="11200" w:type="dxa"/>
            <w:shd w:val="clear" w:color="auto" w:fill="EBF5FB"/>
            <w:vAlign w:val="top"/>
          </w:tcPr>
          <w:p>
            <w:pPr>
              <w:spacing w:after="0"/>
            </w:pPr>
            <w:r>
              <w:rPr>
                <w:sz w:val="17"/>
                <w:szCs w:val="17"/>
              </w:rPr>
              <w:t xml:space="preserve">LOT 217 · SSP O6.4 · evidence.json (LOT_217, dossier de preuves ; fichiers HTML du cours non encore produits) ; LOT_222 evidence.json (LOT_222, dossier de preuves ; fichiers HTML du cours non encore produits) ; LOT_226 evidence.json (LOT_226, dossier de preuves ; fichiers HTML du cours non encore produits)</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LOT_217 not_found n° 6 ; LOT_222 not_found n° 11 ; LOT_226 not_found n° 6 (GAD-7)</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Les dossiers citent le PHQ-9 ≥ 10 et le GAD-7 sans seuil numérique lu ; les seuils du MBI, du PCL-5 et de l'ITQ ne sont pas lus.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seuils validés (versions française ou allemande) et quelles sensibilité et spécificité s'appliquent au GAD-7 (≥ 10 ?), au PCL-5, à l'International Trauma Questionnaire (ITQ, TSPT et TSPT complexe) et au Maslach Burnout Inventory ? Donnez la valeur seuil validée, la population de validation (suisse ou germanophone/francophone si possible), la sensibilité et la spécificité, avec la source primaire (titre, année, URL). Signalez toute recommandation suisse ou européenne qui adopte ce seuil.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F-047  ·  priorité Critique  ·  dose</w:t>
            </w:r>
          </w:p>
        </w:tc>
        <w:tc>
          <w:tcPr>
            <w:tcW w:w="11200" w:type="dxa"/>
            <w:shd w:val="clear" w:color="auto" w:fill="FADBD8"/>
            <w:vAlign w:val="top"/>
          </w:tcPr>
          <w:p>
            <w:pPr>
              <w:spacing w:after="0"/>
            </w:pPr>
            <w:r>
              <w:rPr>
                <w:sz w:val="17"/>
                <w:szCs w:val="17"/>
              </w:rPr>
              <w:t xml:space="preserve">LOT 218 · SSP O6.5 · LOT_218_Appel_A_V5_Ultra_Pedagogique_Plan_et_Liste.html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lacunes (218.15) et point 11.B (antiandrogènes) ; evidence not_found n° 4 et uncertainties n° 4</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 SSED (dose cumulée de cyprotérone &gt; 10 g) et l'EMA (risque de méningiome surtout ≥ 25 mg/j, lié à la dose cumulée, sans seuil chiffré) ; l'IP d'Androcur®-10 n'a pas été obtenue.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indications, posologies et mises en garde (méningiome : dose seuil, IRM, contre-indication) prévoient les IP suisses d'Androcur®-10 et d'Androcur®-50 et la communication DHPC de Swissmedic consécutive à l'évaluation EMA 2020, et quelle dose maximale recommande la SSED 2026 en hormonothérapie d'affirmation ? Donnez la posologie selon l'information professionnelle suisse en vigueur (AIPS, swissmedicinfo.ch : spécialité ®, titulaire, date de révision, URL) : dose, voie, rythme, durée et adaptations rénale, hépatique, pédiatrique, grossesse et allaitement. Comparez avec la version citée dans le cours et signalez toute différence. À défaut d'IP suisse, citez la recommandation européenne la plus récente (titre, année,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F-055  ·  priorité Critique  ·  dose</w:t>
            </w:r>
          </w:p>
        </w:tc>
        <w:tc>
          <w:tcPr>
            <w:tcW w:w="11200" w:type="dxa"/>
            <w:shd w:val="clear" w:color="auto" w:fill="FADBD8"/>
            <w:vAlign w:val="top"/>
          </w:tcPr>
          <w:p>
            <w:pPr>
              <w:spacing w:after="0"/>
            </w:pPr>
            <w:r>
              <w:rPr>
                <w:sz w:val="17"/>
                <w:szCs w:val="17"/>
              </w:rPr>
              <w:t xml:space="preserve">LOT 218 · SSP O6.5 · LOT_218_Appel_A_V5_Ultra_Pedagogique_Plan_et_Liste.html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fenêtre « réponse à la naloxone » (DX chemsex / intoxication)</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 Posologie et spécialité suisse ®. Donnée non trouvée dans les sources consultées. » La réponse Gemini (HELP LOT_248 V1, réserve 4) a cité Naloxon OrPha®, Naloxon Labatec® et Nyxoid® d'après la liste des antidotes 2022-23, sans entrée AIPS.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spécialités de naloxone sont autorisées en Suisse (entrées AIPS : Naloxon OrPha®, Naloxon Labatec®, Nyxoid®) et quelles posologies IV, IM et intranasales (dose initiale, répétition, enfant) prévoient leurs IP et la liste des antidotes Tox Info Suisse la plus récente ? Donnez la posologie selon l'information professionnelle suisse en vigueur (AIPS, swissmedicinfo.ch : spécialité ®, titulaire, date de révision, URL) : dose, voie, rythme, durée et adaptations rénale, hépatique, pédiatrique, grossesse et allaitement. Comparez avec la version citée dans le cours et signalez toute différence. À défaut d'IP suisse, citez la recommandation européenne la plus récente (titre, année,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F-045  ·  priorité Haute  ·  dose</w:t>
            </w:r>
          </w:p>
        </w:tc>
        <w:tc>
          <w:tcPr>
            <w:tcW w:w="11200" w:type="dxa"/>
            <w:shd w:val="clear" w:color="auto" w:fill="FDEBD0"/>
            <w:vAlign w:val="top"/>
          </w:tcPr>
          <w:p>
            <w:pPr>
              <w:spacing w:after="0"/>
            </w:pPr>
            <w:r>
              <w:rPr>
                <w:sz w:val="17"/>
                <w:szCs w:val="17"/>
              </w:rPr>
              <w:t xml:space="preserve">LOT 218 · SSP O6.5 · LOT_218_Appel_A_V5_Ultra_Pedagogique_Plan_et_Liste.html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11.B › tableau des œstrogènes (féminisation) ; evidence uncertainties n° 1 et 3</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suit la SSED 2026 : « Oestrogel 0,75–3 mg/j (= 1–6 pressions) » incohérent avec l'IP (1 pression = 0,75 mg) ; « Estradot 50–300 µg toutes les 72 h » ambigu (IP : libération par 24 h, patch max 100 µg/24 h) ; valérate d'estradiol jusqu'à 6 mg/j hors IP.</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doses d'œstradiol (gel, patch, valérate oral) recommande la ligne directrice SSED 2026 pour l'hormonothérapie d'affirmation féminisante, et comment se comparent-elles aux IP suisses d'Oestrogel®, d'Estradot® et de Progynova® (unités, rythme de changement des patchs, dose maximale) ? Donnez la posologie selon l'information professionnelle suisse en vigueur (AIPS, swissmedicinfo.ch : spécialité ®, titulaire, date de révision, URL) : dose, voie, rythme, durée et adaptations rénale, hépatique, pédiatrique, grossesse et allaitement. Comparez avec la version citée dans le cours et signalez toute différence. À défaut d'IP suisse, citez la recommandation européenne la plus récente (titre, année,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F-046  ·  priorité Haute  ·  dose</w:t>
            </w:r>
          </w:p>
        </w:tc>
        <w:tc>
          <w:tcPr>
            <w:tcW w:w="11200" w:type="dxa"/>
            <w:shd w:val="clear" w:color="auto" w:fill="FDEBD0"/>
            <w:vAlign w:val="top"/>
          </w:tcPr>
          <w:p>
            <w:pPr>
              <w:spacing w:after="0"/>
            </w:pPr>
            <w:r>
              <w:rPr>
                <w:sz w:val="17"/>
                <w:szCs w:val="17"/>
              </w:rPr>
              <w:t xml:space="preserve">LOT 218 · SSP O6.5 · LOT_218_Appel_A_V5_Ultra_Pedagogique_Plan_et_Liste.html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11.B (masculinisation) et fenêtre « Bilan avant et sous hormonothérapie » (testostérone) ; evidence uncertainties n° 2</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l'énanthate de testostérone « s.c. mensuel » dans le texte SSED et « i.m. toutes les 3–4 semaines » dans le tableau ; l'IP Testoviron impose l'i.m. ; cible énanthate 14–24 nmol/L à mi-cycle ; cible de l'undécanoate non donnée.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voie, quel intervalle et quelles cibles de testostéronémie (énanthate, undécanoate Nebido®, gel) recommande la SSED 2026, et quelles voies et posologies reconnaissent les IP suisses de Testoviron® Depot, de Nebido® et des gels de testostérone ? Donnez la posologie selon l'information professionnelle suisse en vigueur (AIPS, swissmedicinfo.ch : spécialité ®, titulaire, date de révision, URL) : dose, voie, rythme, durée et adaptations rénale, hépatique, pédiatrique, grossesse et allaitement. Comparez avec la version citée dans le cours et signalez toute différence. À défaut d'IP suisse, citez la recommandation européenne la plus récente (titre, année,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F-048  ·  priorité Haute  ·  dose</w:t>
            </w:r>
          </w:p>
        </w:tc>
        <w:tc>
          <w:tcPr>
            <w:tcW w:w="11200" w:type="dxa"/>
            <w:shd w:val="clear" w:color="auto" w:fill="FDEBD0"/>
            <w:vAlign w:val="top"/>
          </w:tcPr>
          <w:p>
            <w:pPr>
              <w:spacing w:after="0"/>
            </w:pPr>
            <w:r>
              <w:rPr>
                <w:sz w:val="17"/>
                <w:szCs w:val="17"/>
              </w:rPr>
              <w:t xml:space="preserve">LOT 218 · SSP O6.5 · LOT_218_Appel_A_V5_Ultra_Pedagogique_Plan_et_Liste.html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6.6 (hyperkaliémie sous spironolactone) et fenêtre « Bilan » (créatinine, kaliémie) ; evidence uncertainties n° 3</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 SSED (spironolactone jusqu'à 300 mg/j, hors IP) et l'IP [S43] (contrôle des électrolytes) ; seuil de kaliémie, seuil de clairance pour éviter la spironolactone et mécanisme de l'hyperkaliémie :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dose de spironolactone, quel seuil de kaliémie et de DFGe pour réduire ou arrêter, et quel calendrier de contrôle recommandent la SSED 2026 et l'IP suisse d'Aldactone® ? Donnez la posologie selon l'information professionnelle suisse en vigueur (AIPS, swissmedicinfo.ch : spécialité ®, titulaire, date de révision, URL) : dose, voie, rythme, durée et adaptations rénale, hépatique, pédiatrique, grossesse et allaitement. Comparez avec la version citée dans le cours et signalez toute différence. À défaut d'IP suisse, citez la recommandation européenne la plus récente (titre, année,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F-050  ·  priorité Haute  ·  autorisation</w:t>
            </w:r>
          </w:p>
        </w:tc>
        <w:tc>
          <w:tcPr>
            <w:tcW w:w="11200" w:type="dxa"/>
            <w:shd w:val="clear" w:color="auto" w:fill="FDEBD0"/>
            <w:vAlign w:val="top"/>
          </w:tcPr>
          <w:p>
            <w:pPr>
              <w:spacing w:after="0"/>
            </w:pPr>
            <w:r>
              <w:rPr>
                <w:sz w:val="17"/>
                <w:szCs w:val="17"/>
              </w:rPr>
              <w:t xml:space="preserve">LOT 218 · SSP O6.5 · LOT_218_Appel_A_V5_Ultra_Pedagogique_Plan_et_Liste.html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Fenêtre « LPMéd art. 40 et mesures de conversion » ; Bloc 2 › lacunes (218.16) ; evidence not_found n° 5</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 projet d'art. 9 du Code pénal neuchâtelois (rapport 23.002 du 1.2.2023) et des lois vaudoises ; statut d'adoption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Les cantons de Neuchâtel, Vaud, Genève et d'autres ont-ils adopté une interdiction des thérapies de conversion (texte, date d'entrée en vigueur, sanction), et où en est l'interdiction fédérale (modification du CP, initiative parlementaire, vote du Parlement) au 22.10.2026 ? Citez le texte en vigueur (Fedlex : RS, article, alinéa et lettre exacts, état de consolidation, URL) ou l'entrée Swissmedic/AIPS ou la décision officielle, avec date. Comparez avec la version citée dans le cours et signalez tout changement.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F-051  ·  priorité Haute  ·  autorisation</w:t>
            </w:r>
          </w:p>
        </w:tc>
        <w:tc>
          <w:tcPr>
            <w:tcW w:w="11200" w:type="dxa"/>
            <w:shd w:val="clear" w:color="auto" w:fill="FDEBD0"/>
            <w:vAlign w:val="top"/>
          </w:tcPr>
          <w:p>
            <w:pPr>
              <w:spacing w:after="0"/>
            </w:pPr>
            <w:r>
              <w:rPr>
                <w:sz w:val="17"/>
                <w:szCs w:val="17"/>
              </w:rPr>
              <w:t xml:space="preserve">LOT 218 · SSP O6.5 · LOT_218_Appel_A_V5_Ultra_Pedagogique_Plan_et_Liste.html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Fenêtre « LAMal et prise en charge » ; Bloc 2 › lacunes (218.17) ; evidence not_found n° 6</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reprend la CNE et la SSED : des assureurs imposent des exigences non conformes (test de vie réelle, âge minimal, psychiatrie préalable) ; jurisprudence du Tribunal fédéral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arrêts du Tribunal fédéral (numéro, date) fixent la prise en charge LAMal des traitements d'affirmation de genre (chirurgie, hormonothérapie, épilation, délai d'observation de deux ans abandonné ou non) ? Citez le texte en vigueur (Fedlex : RS, article, alinéa et lettre exacts, état de consolidation, URL) ou l'entrée Swissmedic/AIPS ou la décision officielle, avec date. Comparez avec la version citée dans le cours et signalez tout changement.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F-052  ·  priorité Haute  ·  recommandation</w:t>
            </w:r>
          </w:p>
        </w:tc>
        <w:tc>
          <w:tcPr>
            <w:tcW w:w="11200" w:type="dxa"/>
            <w:shd w:val="clear" w:color="auto" w:fill="FDEBD0"/>
            <w:vAlign w:val="top"/>
          </w:tcPr>
          <w:p>
            <w:pPr>
              <w:spacing w:after="0"/>
            </w:pPr>
            <w:r>
              <w:rPr>
                <w:sz w:val="17"/>
                <w:szCs w:val="17"/>
              </w:rPr>
              <w:t xml:space="preserve">LOT 218 · SSP O6.5 · LOT_218_Appel_A_V5_Ultra_Pedagogique_Plan_et_Liste.html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lacunes (218.18) ; DX incongruence de genre chez le mineur ; evidence not_found n° 7, 8 et uncertainties n° 8</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WPATH SOC 8 et Endocrine Society 2017 par la SSED et la CNE ; la Cass Review 2024, les restrictions suédoises et finlandaises des bloqueurs et l'AWMF 2025 (D/A/CH, votes séparés de la SGKJPP) ne sont pas lus en texte intégral ; aucune ligne directrice suisse propre aux mineurs.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position suisse officielle (SSPP/SGKJPP, SSED, ASSM, CNE, OFSP) sur la suppression pubertaire et l'hormonothérapie chez le mineur existe en 2026, et quelles différences opposent la ligne directrice AWMF 2025, la Cass Review 2024 et les recommandations suédoise et finlandaise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F-053  ·  priorité Haute  ·  recommandation</w:t>
            </w:r>
          </w:p>
        </w:tc>
        <w:tc>
          <w:tcPr>
            <w:tcW w:w="11200" w:type="dxa"/>
            <w:shd w:val="clear" w:color="auto" w:fill="FDEBD0"/>
            <w:vAlign w:val="top"/>
          </w:tcPr>
          <w:p>
            <w:pPr>
              <w:spacing w:after="0"/>
            </w:pPr>
            <w:r>
              <w:rPr>
                <w:sz w:val="17"/>
                <w:szCs w:val="17"/>
              </w:rPr>
              <w:t xml:space="preserve">LOT 218 · SSP O6.5 · LOT_218_Appel_A_V5_Ultra_Pedagogique_Plan_et_Liste.html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lacunes (218.14) ; dépistage chez les personnes trans ; evidence not_found n° 3</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Les intervalles du dépistage du cancer du col sont repris de la SSED 2026 ; la recommandation SSGO primaire n'est pas lue.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intervalles et quelles méthodes (cytologie, test HPV, auto-prélèvement) fixe la recommandation SSGO la plus récente pour le dépistage du cancer du col, et comment s'applique-t-elle aux hommes trans ayant un col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F-056  ·  priorité Haute  ·  conduite</w:t>
            </w:r>
          </w:p>
        </w:tc>
        <w:tc>
          <w:tcPr>
            <w:tcW w:w="11200" w:type="dxa"/>
            <w:shd w:val="clear" w:color="auto" w:fill="FDEBD0"/>
            <w:vAlign w:val="top"/>
          </w:tcPr>
          <w:p>
            <w:pPr>
              <w:spacing w:after="0"/>
            </w:pPr>
            <w:r>
              <w:rPr>
                <w:sz w:val="17"/>
                <w:szCs w:val="17"/>
              </w:rPr>
              <w:t xml:space="preserve">LOT 218 · SSP O6.5 · LOT_218_Appel_A_V5_Ultra_Pedagogique_Plan_et_Liste.html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fenêtre « dépression respiratoire » et lacunes (218.10, 218.20) ; evidence not_found n° 10, 12 et uncertainties n° 7</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Infodrog et Euro-DEN Plus pour les mélanges GHB/GBL ; critères CIM de dépendance du chemsex, dosages toxicologiques du GHB, LStup et prévalence (17,2 % dans les cohortes SHCS/SwissPrEPared, résumé) :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conduite (surveillance, intubation, sevrage du GHB/GBL et sa benzodiazépine), quelle fenêtre de détection toxicologique du GHB et quel statut légal (LStup, OTStup-DFI) des substances du chemsex fixent Infodrog, Tox Info Suisse ou une recommandation européenne (EMCDDA/EUDA) ? Citez la recommandation suisse en vigueur (société savante ou autorité : titre, année, URL) qui fixe cette conduite. Comparez sa version la plus récente avec celle du cours et listez les différences.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F-049  ·  priorité Moyenne  ·  seuil</w:t>
            </w:r>
          </w:p>
        </w:tc>
        <w:tc>
          <w:tcPr>
            <w:tcW w:w="11200" w:type="dxa"/>
            <w:shd w:val="clear" w:color="auto" w:fill="EBF5FB"/>
            <w:vAlign w:val="top"/>
          </w:tcPr>
          <w:p>
            <w:pPr>
              <w:spacing w:after="0"/>
            </w:pPr>
            <w:r>
              <w:rPr>
                <w:sz w:val="17"/>
                <w:szCs w:val="17"/>
              </w:rPr>
              <w:t xml:space="preserve">LOT 218 · SSP O6.5 · LOT_218_Appel_A_V5_Ultra_Pedagogique_Plan_et_Liste.html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Fenêtre « Bilan avant et sous hormonothérapie : interprétation » (œstradiol, testostérone, hématocrite)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les cibles SSED : œstradiol 370–730 pmol/L, testostérone énanthate 14–24 nmol/L, hématocrite &gt; 0,50–0,54 = érythrocytose ; cible de testostérone en féminisation et seuil d'arrêt de l'hématocrite non chiffrés.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cibles biologiques (testostérone &lt; seuil en féminisation, œstradiol, hématocrite d'adaptation et d'arrêt, prolactine) et quel calendrier de surveillance fixent la SSED 2026 et la recommandation européenne la plus récente (ENIGI/EAA) ? Donnez la valeur seuil validée, la population de validation (suisse ou germanophone/francophone si possible), la sensibilité et la spécificité, avec la source primaire (titre, année, URL). Signalez toute recommandation suisse ou européenne qui adopte ce seuil.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F-054  ·  priorité Moyenne  ·  epidemiologie</w:t>
            </w:r>
          </w:p>
        </w:tc>
        <w:tc>
          <w:tcPr>
            <w:tcW w:w="11200" w:type="dxa"/>
            <w:shd w:val="clear" w:color="auto" w:fill="EBF5FB"/>
            <w:vAlign w:val="top"/>
          </w:tcPr>
          <w:p>
            <w:pPr>
              <w:spacing w:after="0"/>
            </w:pPr>
            <w:r>
              <w:rPr>
                <w:sz w:val="17"/>
                <w:szCs w:val="17"/>
              </w:rPr>
              <w:t xml:space="preserve">LOT 218 · SSP O6.5 · LOT_218_Appel_A_V5_Ultra_Pedagogique_Plan_et_Liste.html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lacunes (218.13, 218.19) ; point 3 Épidémiologie ; evidence not_found n° 2 et 9</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Fréquence suisse des hormonothérapies d'affirmation, des consultations d'incongruence de genre et des suppressions pubertaires, et violence de couple chez les couples de même sexe :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chiffres suisses (OFS statistique médicale des hôpitaux, Obsan, centres universitaires, Bureau fédéral de l'égalité) existent sur les traitements d'affirmation de genre, les suppressions pubertaires et la violence de couple chez les couples de même sexe ? Citez la source suisse primaire la plus récente (OFS, Obsan, OFSP, registre ou société savante : titre, année des données, URL, date de consultation). Signalez toute rupture de série. À défaut de donnée suisse, donnez la donnée européenne la plus récente en l'étiquetant comme telle.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F-057  ·  priorité Moyenne  ·  autorisation</w:t>
            </w:r>
          </w:p>
        </w:tc>
        <w:tc>
          <w:tcPr>
            <w:tcW w:w="11200" w:type="dxa"/>
            <w:shd w:val="clear" w:color="auto" w:fill="EBF5FB"/>
            <w:vAlign w:val="top"/>
          </w:tcPr>
          <w:p>
            <w:pPr>
              <w:spacing w:after="0"/>
            </w:pPr>
            <w:r>
              <w:rPr>
                <w:sz w:val="17"/>
                <w:szCs w:val="17"/>
              </w:rPr>
              <w:t xml:space="preserve">LOT 218 · SSP O6.5 · LOT_218_Appel_A_V5_Ultra_Pedagogique_Plan_et_Liste.html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2 › lacunes (218.20) ; evidence not_found n° 11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Les directives de Transfusion CRS Suisse sur le don de sang des HSH n'ont pas été lues.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critères d'exclusion ou de délai de Transfusion CRS Suisse s'appliquent en 2026 au don de sang des hommes ayant des relations sexuelles avec des hommes et des personnes trans, et depuis quelle date ? Citez le texte en vigueur (Fedlex : RS, article, alinéa et lettre exacts, état de consolidation, URL) ou l'entrée Swissmedic/AIPS ou la décision officielle, avec date. Comparez avec la version citée dans le cours et signalez tout changement.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F-058  ·  priorité Moyenne  ·  autorisation</w:t>
            </w:r>
          </w:p>
        </w:tc>
        <w:tc>
          <w:tcPr>
            <w:tcW w:w="11200" w:type="dxa"/>
            <w:shd w:val="clear" w:color="auto" w:fill="EBF5FB"/>
            <w:vAlign w:val="top"/>
          </w:tcPr>
          <w:p>
            <w:pPr>
              <w:spacing w:after="0"/>
            </w:pPr>
            <w:r>
              <w:rPr>
                <w:sz w:val="17"/>
                <w:szCs w:val="17"/>
              </w:rPr>
              <w:t xml:space="preserve">LOT 218 · SSP O6.5 · LOT_218_Appel_A_V5_Ultra_Pedagogique_Plan_et_Liste.html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6 Cadre légal (LEg) ; evidence uncertainties n° 9</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La SSED affirme que la LEg protège les personnes trans ; l'art. 3 LEg parle de discrimination « à raison du sexe » sans mention de l'identité de genre.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La jurisprudence suisse (Tribunal fédéral ou tribunaux cantonaux) ou le Bureau fédéral de l'égalité reconnaît-elle que la LEg protège contre la discrimination fondée sur l'identité de genre, et quel autre texte (CP art. 261bis) couvre l'orientation sexuelle ? Citez le texte en vigueur (Fedlex : RS, article, alinéa et lettre exacts, état de consolidation, URL) ou l'entrée Swissmedic/AIPS ou la décision officielle, avec date. Comparez avec la version citée dans le cours et signalez tout changement.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F-059  ·  priorité Haute  ·  dose</w:t>
            </w:r>
          </w:p>
        </w:tc>
        <w:tc>
          <w:tcPr>
            <w:tcW w:w="11200" w:type="dxa"/>
            <w:shd w:val="clear" w:color="auto" w:fill="FDEBD0"/>
            <w:vAlign w:val="top"/>
          </w:tcPr>
          <w:p>
            <w:pPr>
              <w:spacing w:after="0"/>
            </w:pPr>
            <w:r>
              <w:rPr>
                <w:sz w:val="17"/>
                <w:szCs w:val="17"/>
              </w:rPr>
              <w:t xml:space="preserve">LOT 219 · SSP O6.6 · LOT_219_Appel_A_V5_Ultra_Pedagogique_Plan_et_Liste.html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XI.B › tableau des moyens pharmacologiques › ligne « Appoint : benzodiazépines » ; aussi LOT_217 evidence uncertainties n° 10</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LOT_219 : benzodiazépines 2 semaines, maximum 4, dans l'épisode sévère avec suicidalité [S25] ; dose et spécialité « donnée non trouvée ». LOT_217 : conflit Temesta® (≤ 2–3 mois) / SGAD 2024 (2, max 4 semaines) / OMS 2013 (aucune benzodiazépine le premier mois post-traumatique).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benzodiazépine, quelle dose (IP suisse de Temesta® ou autre) et quelle durée maximale recommande la recommandation suisse la plus récente sur la dépression (SSAD 2024 ou suivante) en appoint de l'épisode dépressif sévère, et quelle position adopte la recommandation suisse ou européenne sur les benzodiazépines après un traumatisme aigu ? Donnez la posologie selon l'information professionnelle suisse en vigueur (AIPS, swissmedicinfo.ch : spécialité ®, titulaire, date de révision, URL) : dose, voie, rythme, durée et adaptations rénale, hépatique, pédiatrique, grossesse et allaitement. Comparez avec la version citée dans le cours et signalez toute différence. À défaut d'IP suisse, citez la recommandation européenne la plus récente (titre, année,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F-061  ·  priorité Haute  ·  conduite</w:t>
            </w:r>
          </w:p>
        </w:tc>
        <w:tc>
          <w:tcPr>
            <w:tcW w:w="11200" w:type="dxa"/>
            <w:shd w:val="clear" w:color="auto" w:fill="FDEBD0"/>
            <w:vAlign w:val="top"/>
          </w:tcPr>
          <w:p>
            <w:pPr>
              <w:spacing w:after="0"/>
            </w:pPr>
            <w:r>
              <w:rPr>
                <w:sz w:val="17"/>
                <w:szCs w:val="17"/>
              </w:rPr>
              <w:t xml:space="preserve">LOT 219 · SSP O6.6 · LOT_219_Appel_A_V5_Ultra_Pedagogique_Plan_et_Liste.html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III (piège violence domestique) et point XI (protection) ; evidence not_found n° 8, 10 et uncertainties n° 4, 5</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 feuille BFEG n° 6 (2012 ; SPC 2011 : 26,2 % d'ex-partenaires) ; la part des ex-partenaires 2025 (OFS 3.2.3) n'est pas extractible ; les instruments cantonaux d'évaluation de la dangerosité ne sont pas consultés ; statistique nationale de protection de l'enfance 2025 (2380 enfants) de source secondaire.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part des infractions de violence domestique concerne d'anciens partenaires selon la statistique policière OFS la plus récente, quels instruments d'évaluation du risque de violence domestique (DyRiAS, ODARA ou autre) utilisent les cantons, et quels chiffres publie la statistique nationale de protection de l'enfance 2025 ? Citez la recommandation suisse en vigueur (société savante ou autorité : titre, année, URL) qui fixe cette conduite. Comparez sa version la plus récente avec celle du cours et listez les différences.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F-062  ·  priorité Haute  ·  recommandation</w:t>
            </w:r>
          </w:p>
        </w:tc>
        <w:tc>
          <w:tcPr>
            <w:tcW w:w="11200" w:type="dxa"/>
            <w:shd w:val="clear" w:color="auto" w:fill="FDEBD0"/>
            <w:vAlign w:val="top"/>
          </w:tcPr>
          <w:p>
            <w:pPr>
              <w:spacing w:after="0"/>
            </w:pPr>
            <w:r>
              <w:rPr>
                <w:sz w:val="17"/>
                <w:szCs w:val="17"/>
              </w:rPr>
              <w:t xml:space="preserve">LOT 219 · SSP O6.6 · LOT_219_Appel_A_V5_Ultra_Pedagogique_Plan_et_Liste.html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II Définitions (trouble de l'adaptation, épisode dépressif) et tableau des critères ; evidence not_found n° 2, 3, 9 et uncertainties n° 10 ; aussi LOT_222 not_found n° 4</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LOT_219 : le texte officiel CIM-11 (6B43 trouble de l'adaptation, épisode dépressif) n'est pas lu (navigateur inaccessible) ; définition via Zelviene 2018 ; statut de l'« aliénation parentale » non vérifié. LOT_222 : QD85 (burnout) et 6B43 non lus, seule la définition OMS 2019 du burnout.</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sont les textes exacts des exigences diagnostiques CIM-11 (CDDR 2024) pour 6B43 trouble de l'adaptation, 6A70–6A71 épisode dépressif et QD85 syndrome d'épuisement professionnel, la CIM-11 contient-elle une entité ou un code « aliénation parentale » (QE52.0 ?), et quelle est la prévalence suisse du trouble de l'adaptation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F-064  ·  priorité Haute  ·  dose</w:t>
            </w:r>
          </w:p>
        </w:tc>
        <w:tc>
          <w:tcPr>
            <w:tcW w:w="11200" w:type="dxa"/>
            <w:shd w:val="clear" w:color="auto" w:fill="FDEBD0"/>
            <w:vAlign w:val="top"/>
          </w:tcPr>
          <w:p>
            <w:pPr>
              <w:spacing w:after="0"/>
            </w:pPr>
            <w:r>
              <w:rPr>
                <w:sz w:val="17"/>
                <w:szCs w:val="17"/>
              </w:rPr>
              <w:t xml:space="preserve">LOT 219 · SSP O6.6 · LOT_219_Appel_A_V5_Ultra_Pedagogique_Plan_et_Liste.html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XI.C › tableau de surveillance (acamprosate, naltrexone, disulfirame) ; aussi LOT_222 evidence uncertainties n° 7</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LOT_219 : créatinine &gt; 120 µmol/L : acamprosate contre-indiqué ; autres seuils d'arrêt (naltrexone, disulfirame) « donnée non trouvée ». LOT_222 : conflit HUG 2017 (Campral® selon le poids) / IP 2023 (2 cp 3×/j sans distinction) arbitré pour l'IP.</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posologies et quels seuils biologiques d'arrêt (transaminases, créatinine) prévoient les IP suisses de Campral®, de la naltrexone et de l'Antabus® (disulfirame), et quel calendrier de surveillance hépatique imposent-elles ? Donnez la posologie selon l'information professionnelle suisse en vigueur (AIPS, swissmedicinfo.ch : spécialité ®, titulaire, date de révision, URL) : dose, voie, rythme, durée et adaptations rénale, hépatique, pédiatrique, grossesse et allaitement. Comparez avec la version citée dans le cours et signalez toute différence. À défaut d'IP suisse, citez la recommandation européenne la plus récente (titre, année,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F-060  ·  priorité Moyenne  ·  epidemiologie</w:t>
            </w:r>
          </w:p>
        </w:tc>
        <w:tc>
          <w:tcPr>
            <w:tcW w:w="11200" w:type="dxa"/>
            <w:shd w:val="clear" w:color="auto" w:fill="EBF5FB"/>
            <w:vAlign w:val="top"/>
          </w:tcPr>
          <w:p>
            <w:pPr>
              <w:spacing w:after="0"/>
            </w:pPr>
            <w:r>
              <w:rPr>
                <w:sz w:val="17"/>
                <w:szCs w:val="17"/>
              </w:rPr>
              <w:t xml:space="preserve">LOT 219 · SSP O6.6 · LOT_219_Appel_A_V5_Ultra_Pedagogique_Plan_et_Liste.html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III Épidémiologie (tableau SILC, dépense imprévue de 2500 francs) ; evidence not_found n° 1, 6, 7 et uncertainties n° 1, 2, 3 ; aussi LOT_226 uncertainties n° 2</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SILC 2018 (48 % des ménages monoparentaux incapables d'une dépense imprévue de 2500 francs ; pauvreté 19,3 %) et 10,6 % en 2023 (CSIAS citant l'OFS) ; aide sociale 18,6–19,6 % ; nombre annuel d'enfants mineurs touchés par un divorce et santé des enfants de familles recomposées non trouvés ; date du communiqué SILC 2024 incertaine.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chiffres OFS les plus récents existent sur le nombre de divorces et d'enfants mineurs concernés, le taux de pauvreté et de privation matérielle des ménages monoparentaux (SILC 2024, date de publication exacte), le taux d'aide sociale des familles monoparentales et la part des familles recomposées ? Citez la source suisse primaire la plus récente (OFS, Obsan, OFSP, registre ou société savante : titre, année des données, URL, date de consultation). Signalez toute rupture de série. À défaut de donnée suisse, donnez la donnée européenne la plus récente en l'étiquetant comme telle.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F-063  ·  priorité Moyenne  ·  seuil</w:t>
            </w:r>
          </w:p>
        </w:tc>
        <w:tc>
          <w:tcPr>
            <w:tcW w:w="11200" w:type="dxa"/>
            <w:shd w:val="clear" w:color="auto" w:fill="EBF5FB"/>
            <w:vAlign w:val="top"/>
          </w:tcPr>
          <w:p>
            <w:pPr>
              <w:spacing w:after="0"/>
            </w:pPr>
            <w:r>
              <w:rPr>
                <w:sz w:val="17"/>
                <w:szCs w:val="17"/>
              </w:rPr>
              <w:t xml:space="preserve">LOT 219 · SSP O6.6 · LOT_219_Appel_A_V5_Ultra_Pedagogique_Plan_et_Liste.html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Fenêtre bio-mathématique 9.2 (AUDIT) ; evidence not_found n° 12</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source l'AUDIT complet (Saunders 1993, résumé) ; l'AUDIT-C et ses seuils suisses de validation :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seuils de l'AUDIT-C (homme, femme) et de l'AUDIT complet sont validés en Suisse ou recommandés par l'OFSP, Addiction Suisse ou la SSAM, avec la sensibilité et la spécificité ? Donnez la valeur seuil validée, la population de validation (suisse ou germanophone/francophone si possible), la sensibilité et la spécificité, avec la source primaire (titre, année, URL). Signalez toute recommandation suisse ou européenne qui adopte ce seuil.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F-065  ·  priorité Moyenne  ·  autorisation</w:t>
            </w:r>
          </w:p>
        </w:tc>
        <w:tc>
          <w:tcPr>
            <w:tcW w:w="11200" w:type="dxa"/>
            <w:shd w:val="clear" w:color="auto" w:fill="EBF5FB"/>
            <w:vAlign w:val="top"/>
          </w:tcPr>
          <w:p>
            <w:pPr>
              <w:spacing w:after="0"/>
            </w:pPr>
            <w:r>
              <w:rPr>
                <w:sz w:val="17"/>
                <w:szCs w:val="17"/>
              </w:rPr>
              <w:t xml:space="preserve">LOT 219 · SSP O6.6 · LOT_219_Appel_A_V5_Ultra_Pedagogique_Plan_et_Liste.html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VI Cadre légal (autorité parentale, beau-parent) ; evidence not_found n° 13 et uncertainties n° 11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Les numéros d'alinéas CC 298 al. 2bis/2ter et CC 301 al. 1bis ne sont pas visibles dans l'extraction Fedlex ; le statut du concubin non marié pour représenter l'enfant du partenaire (équivalent de CC 299) n'est pas trouvé.</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numérotation exacte en vigueur des alinéas de CC 298 et CC 301 (garde alternée, prise en charge, décisions courantes), et quelle base légale permet au concubin non marié de représenter l'enfant de son partenaire (CC 300 ?) ? Citez le texte en vigueur (Fedlex : RS, article, alinéa et lettre exacts, état de consolidation, URL) ou l'entrée Swissmedic/AIPS ou la décision officielle, avec date. Comparez avec la version citée dans le cours et signalez tout changement.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F-066  ·  priorité Haute  ·  epidemiologie</w:t>
            </w:r>
          </w:p>
        </w:tc>
        <w:tc>
          <w:tcPr>
            <w:tcW w:w="11200" w:type="dxa"/>
            <w:shd w:val="clear" w:color="auto" w:fill="FDEBD0"/>
            <w:vAlign w:val="top"/>
          </w:tcPr>
          <w:p>
            <w:pPr>
              <w:spacing w:after="0"/>
            </w:pPr>
            <w:r>
              <w:rPr>
                <w:sz w:val="17"/>
                <w:szCs w:val="17"/>
              </w:rPr>
              <w:t xml:space="preserve">LOT 220 · SSP O6.7 · LOT_220_Appel_A_V5_Ultra_Pedagogique_Plan_et_Liste.html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III Épidémiologie (220.1) ; evidence not_found n° 2</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dernier chiffre officiel lu date de 2016 (928 suicides assistés, 1016 suicides) ; la réponse Gemini (HELP LOT_248 V1 n° 3) donne 995 suicides hors suicide assisté en 2023, sans les suicides assistés.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Combien de suicides assistés l'OFS a-t-il enregistrés en 2022, 2023 et 2024, et combien de suicides (hors assistance) en 2024, avec l'URL du tableau OFS ? Citez la source suisse primaire la plus récente (OFS, Obsan, OFSP, registre ou société savante : titre, année des données, URL, date de consultation). Signalez toute rupture de série. À défaut de donnée suisse, donnez la donnée européenne la plus récente en l'étiquetant comme telle.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F-068  ·  priorité Haute  ·  conduite</w:t>
            </w:r>
          </w:p>
        </w:tc>
        <w:tc>
          <w:tcPr>
            <w:tcW w:w="11200" w:type="dxa"/>
            <w:shd w:val="clear" w:color="auto" w:fill="FDEBD0"/>
            <w:vAlign w:val="top"/>
          </w:tcPr>
          <w:p>
            <w:pPr>
              <w:spacing w:after="0"/>
            </w:pPr>
            <w:r>
              <w:rPr>
                <w:sz w:val="17"/>
                <w:szCs w:val="17"/>
              </w:rPr>
              <w:t xml:space="preserve">LOT 220 · SSP O6.7 · LOT_220_Appel_A_V5_Ultra_Pedagogique_Plan_et_Liste.html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7.4 (Takotsubo), fenêtres « Score diagnostique InterTAK », ECG, imagerie (allergie, stimulateur) ; tableau comparatif DX.8 ; evidence not_found n° 4, 11 et uncertainties n° 8</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 consensus InterTAK [S45] (pondération des items non lue) et la position HFA 2016 en résumé ; Triatec® et Beloc Zok® n'ont pas l'indication Takotsubo ; imagerie en cas d'allergie aux produits iodés ou de stimulateur non compatible :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pondération des items du score diagnostique InterTAK, quelle conduite aiguë (obstruction du VG, choc, anticoagulation du thrombus) et quel traitement au long cours (IEC/ARA, bêtabloquant) recommandent le consensus InterTAK et la position la plus récente de l'ESC/HFA, et quelle est l'incidence suisse du syndrome de Takotsubo ? Citez la recommandation suisse en vigueur (société savante ou autorité : titre, année, URL) qui fixe cette conduite. Comparez sa version la plus récente avec celle du cours et listez les différences.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F-071  ·  priorité Haute  ·  recommandation</w:t>
            </w:r>
          </w:p>
        </w:tc>
        <w:tc>
          <w:tcPr>
            <w:tcW w:w="11200" w:type="dxa"/>
            <w:shd w:val="clear" w:color="auto" w:fill="FDEBD0"/>
            <w:vAlign w:val="top"/>
          </w:tcPr>
          <w:p>
            <w:pPr>
              <w:spacing w:after="0"/>
            </w:pPr>
            <w:r>
              <w:rPr>
                <w:sz w:val="17"/>
                <w:szCs w:val="17"/>
              </w:rPr>
              <w:t xml:space="preserve">LOT 220 · SSP O6.7 · LOT_220_Appel_A_V5_Ultra_Pedagogique_Plan_et_Liste.html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Tableaux comparatifs DX.7 (deuil périnatal) et DX.4 (PGD) ; point 11.B (aucune spécialité pour le PGD) ; evidence not_found n° 8 et 10</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NICE NG116 pour le TSPT et une psychothérapie spécifique (PG-CBT) pour le PGD ; recommandation suisse sur le deuil, le deuil périnatal (SSGO) et le TSPT, position EPA sur le PGD, reconnaissance par l'AI :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recommandations suisses (SSGO sur le deuil périnatal, SSPP/SSAD sur le TSPT) ou européennes (EPA, ESTSS) fixent la prise en charge du deuil périnatal, du TSPT et du trouble de deuil prolongé, et l'AI reconnaît-elle le PGD comme atteinte invalidante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F-072  ·  priorité Haute  ·  autorisation</w:t>
            </w:r>
          </w:p>
        </w:tc>
        <w:tc>
          <w:tcPr>
            <w:tcW w:w="11200" w:type="dxa"/>
            <w:shd w:val="clear" w:color="auto" w:fill="FDEBD0"/>
            <w:vAlign w:val="top"/>
          </w:tcPr>
          <w:p>
            <w:pPr>
              <w:spacing w:after="0"/>
            </w:pPr>
            <w:r>
              <w:rPr>
                <w:sz w:val="17"/>
                <w:szCs w:val="17"/>
              </w:rPr>
              <w:t xml:space="preserve">LOT 220 · SSP O6.7 · LOT_220_Appel_A_V5_Ultra_Pedagogique_Plan_et_Liste.html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6 Cadre légal (congé de deuil, rentes de survivants) ; evidence not_found n° 9 et uncertainties n° 13</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CO 329 al. 3 (« jours usuels ») et LAVS art. 23–24 (consolidation au 1.1.2026) ; une réforme des rentes de veuve et de veuf est discutée au Parlement.</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est l'état au 22.10.2026 de la réforme des rentes de veuve et de veuf (LAVS art. 23–24 : texte adopté, date d'entrée en vigueur, régime transitoire), et existe-t-il une durée légale ou jurisprudentielle de congé de deuil (CO 329) ? Citez le texte en vigueur (Fedlex : RS, article, alinéa et lettre exacts, état de consolidation, URL) ou l'entrée Swissmedic/AIPS ou la décision officielle, avec date. Comparez avec la version citée dans le cours et signalez tout changement.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F-073  ·  priorité Haute  ·  autorisation</w:t>
            </w:r>
          </w:p>
        </w:tc>
        <w:tc>
          <w:tcPr>
            <w:tcW w:w="11200" w:type="dxa"/>
            <w:shd w:val="clear" w:color="auto" w:fill="FDEBD0"/>
            <w:vAlign w:val="top"/>
          </w:tcPr>
          <w:p>
            <w:pPr>
              <w:spacing w:after="0"/>
            </w:pPr>
            <w:r>
              <w:rPr>
                <w:sz w:val="17"/>
                <w:szCs w:val="17"/>
              </w:rPr>
              <w:t xml:space="preserve">LOT 220 · SSP O6.7 · LOT_220_Appel_A_V5_Ultra_Pedagogique_Plan_et_Liste.html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Fenêtre « Loi sur la transplantation (LTx) art. 9 » ; evidence uncertainties n° 10</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retient la page OFSP (consentement présumé « premier semestre 2028 ») et la LTx en vigueur (consentement explicite) ; le détail des examens de constat de la mort :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À quelle date le consentement présumé au sens large entre-t-il en vigueur (ordonnance du Conseil fédéral, registre), et quels examens cliniques et paracliniques exigent les directives ASSM « Diagnostic de la mort en vue de la transplantation » dans leur version la plus récente ? Citez le texte en vigueur (Fedlex : RS, article, alinéa et lettre exacts, état de consolidation, URL) ou l'entrée Swissmedic/AIPS ou la décision officielle, avec date. Comparez avec la version citée dans le cours et signalez tout changement.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F-067  ·  priorité Moyenne  ·  epidemiologie</w:t>
            </w:r>
          </w:p>
        </w:tc>
        <w:tc>
          <w:tcPr>
            <w:tcW w:w="11200" w:type="dxa"/>
            <w:shd w:val="clear" w:color="auto" w:fill="EBF5FB"/>
            <w:vAlign w:val="top"/>
          </w:tcPr>
          <w:p>
            <w:pPr>
              <w:spacing w:after="0"/>
            </w:pPr>
            <w:r>
              <w:rPr>
                <w:sz w:val="17"/>
                <w:szCs w:val="17"/>
              </w:rPr>
              <w:t xml:space="preserve">LOT 220 · SSP O6.7 · LOT_220_Appel_A_V5_Ultra_Pedagogique_Plan_et_Liste.html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III Épidémiologie (220.0) ; evidence not_found n° 1 et 3</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71 900 décès en 2024 (OFS) et un PGD chez 9,8 % des endeuillés (méta-analyse) ; nombre annuel d'endeuillés, prévalence suisse du PGD selon la CIM-11 (seules données : Zurich, personnes âgées, critères anciens) et de la dépression du deuil :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Existe-t-il une prévalence suisse ou européenne représentative du trouble de deuil prolongé selon les critères CIM-11 (6B42) et de l'épisode dépressif après un deuil, publiée après 2020 ? Citez la source suisse primaire la plus récente (OFS, Obsan, OFSP, registre ou société savante : titre, année des données, URL, date de consultation). Signalez toute rupture de série. À défaut de donnée suisse, donnez la donnée européenne la plus récente en l'étiquetant comme telle.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F-069  ·  priorité Moyenne  ·  seuil</w:t>
            </w:r>
          </w:p>
        </w:tc>
        <w:tc>
          <w:tcPr>
            <w:tcW w:w="11200" w:type="dxa"/>
            <w:shd w:val="clear" w:color="auto" w:fill="EBF5FB"/>
            <w:vAlign w:val="top"/>
          </w:tcPr>
          <w:p>
            <w:pPr>
              <w:spacing w:after="0"/>
            </w:pPr>
            <w:r>
              <w:rPr>
                <w:sz w:val="17"/>
                <w:szCs w:val="17"/>
              </w:rPr>
              <w:t xml:space="preserve">LOT 220 · SSP O6.7 · LOT_220_Appel_A_V5_Ultra_Pedagogique_Plan_et_Liste.html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7.5 (épuisement du proche aidant), fenêtre « Zarit Burden Interview », tableau comparatif DX.2 ; evidence not_found n° 6 ; aussi LOT_226 not_found n° 6</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une sensibilité du ZBI de 77,3–85,2 % [S68] et une intensité d'aide &gt; 10 h/semaine comme facteur de vulnérabilité [S10] ; seuils validés en Suisse du ZBI (22, 12 et 4 items), critères formels de l'épuisement et seuil de l'échelle de solitude en 3 items :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seuils du Zarit Burden Interview (versions 22, 12 et 4 items) et de l'échelle de solitude en 3 items (Hughes) sont validés en français ou en allemand, et existe-t-il des critères formels suisses de l'épuisement du proche aidant (OFSP, Pro Senectute, société savante) ? Donnez la valeur seuil validée, la population de validation (suisse ou germanophone/francophone si possible), la sensibilité et la spécificité, avec la source primaire (titre, année, URL). Signalez toute recommandation suisse ou européenne qui adopte ce seuil.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F-070  ·  priorité Moyenne  ·  seuil</w:t>
            </w:r>
          </w:p>
        </w:tc>
        <w:tc>
          <w:tcPr>
            <w:tcW w:w="11200" w:type="dxa"/>
            <w:shd w:val="clear" w:color="auto" w:fill="EBF5FB"/>
            <w:vAlign w:val="top"/>
          </w:tcPr>
          <w:p>
            <w:pPr>
              <w:spacing w:after="0"/>
            </w:pPr>
            <w:r>
              <w:rPr>
                <w:sz w:val="17"/>
                <w:szCs w:val="17"/>
              </w:rPr>
              <w:t xml:space="preserve">LOT 220 · SSP O6.7 · LOT_220_Appel_A_V5_Ultra_Pedagogique_Plan_et_Liste.html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Fenêtres IPGDS et PG-13-R (point 9 et tableau DX.4)</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 PG-13-R (seuil 30, kappa 0,70–0,89) ; score seuil et valeur normale de l'IPGDS :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seuils diagnostiques et quelles performances (sensibilité, spécificité) ont l'IPGDS et le PG-13-R pour le trouble de deuil prolongé selon la CIM-11, et existe-t-il une version validée en français ou en allemand ? Donnez la valeur seuil validée, la population de validation (suisse ou germanophone/francophone si possible), la sensibilité et la spécificité, avec la source primaire (titre, année, URL). Signalez toute recommandation suisse ou européenne qui adopte ce seuil.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F-074  ·  priorité Moyenne  ·  seuil</w:t>
            </w:r>
          </w:p>
        </w:tc>
        <w:tc>
          <w:tcPr>
            <w:tcW w:w="11200" w:type="dxa"/>
            <w:shd w:val="clear" w:color="auto" w:fill="EBF5FB"/>
            <w:vAlign w:val="top"/>
          </w:tcPr>
          <w:p>
            <w:pPr>
              <w:spacing w:after="0"/>
            </w:pPr>
            <w:r>
              <w:rPr>
                <w:sz w:val="17"/>
                <w:szCs w:val="17"/>
              </w:rPr>
              <w:t xml:space="preserve">LOT 220 · SSP O6.7 · LOT_220_Appel_A_V5_Ultra_Pedagogique_Plan_et_Liste.html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Tableaux DX.9 (enfant endeuillé), point 9.c (enfant) et fenêtre 9.3 (LOT_219) ; evidence not_found n° 5 ; aussi LOT_219 LOT_219_Appel_A_V5_Ultra_Pedagogique_Plan_et_Liste.html fenêtre 9.3</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LOT_220 : instruments pédiatriques validés en Suisse pour le deuil et le TSPT « donnée non trouvée » ; aucun médicament du TSPT avant 18 ans. LOT_219 : aucune échelle pédiatrique validée spécifique du risque suicidaire.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instruments pédiatriques validés en français ou en allemand (deuil prolongé de l'enfant, TSPT : CATS, CRIES ; risque suicidaire : ASQ, C-SSRS pédiatrique) recommandent la SSPPEA/SGKJPP ou une source européenne ? Donnez la valeur seuil validée, la population de validation (suisse ou germanophone/francophone si possible), la sensibilité et la spécificité, avec la source primaire (titre, année, URL). Signalez toute recommandation suisse ou européenne qui adopte ce seuil.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F-075  ·  priorité Haute  ·  recommandation</w:t>
            </w:r>
          </w:p>
        </w:tc>
        <w:tc>
          <w:tcPr>
            <w:tcW w:w="11200" w:type="dxa"/>
            <w:shd w:val="clear" w:color="auto" w:fill="FDEBD0"/>
            <w:vAlign w:val="top"/>
          </w:tcPr>
          <w:p>
            <w:pPr>
              <w:spacing w:after="0"/>
            </w:pPr>
            <w:r>
              <w:rPr>
                <w:sz w:val="17"/>
                <w:szCs w:val="17"/>
              </w:rPr>
              <w:t xml:space="preserve">LOT 221 · SSP O6.8 · evidence.json (LOT_221, dossier de preuves ; fichiers HTML du cours non encore produits) ; LOT_219 LOT_219_Appel_A_V5_Ultra_Pedagogique_Plan_et_Liste.html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LOT_221 not_found n° 1 ; LOT_217 not_found n° 4 ; LOT_219 not_found n° 4, uncertainties n° 12 et point XI.D (recherche 2026) ; LOT_220 uncertainties n° 11 ; LOT_222 not_found n° 3 ; LOT_226 uncertainties n° 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Les lots utilisent la recommandation SGAD/SGBP/SGPP 2016 (validité FMH jusqu'en 2024 ; 2020 sur Guidelines Schweiz) et le compte rendu ARS MEDICI 2024 d'une mise à jour 2024 « en préparation » (esketamine, rTMS, pharmacogénétique) ; la partie 2 (traitement d'entretien) n'est pas lue.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La mise à jour suisse 2024 (ou plus récente) des recommandations SSAD/SGAD-SGBP-SGPP sur la dépression unipolaire est-elle publiée en texte intégral (parties 1 et 2 : titre, revue, année, URL), et quelles différences présente-t-elle par rapport à 2016 sur la gradation de la sévérité, le choix et la dose des antidépresseurs, la durée d'entretien, les benzodiazépines, l'esketamine et la rTMS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F-076  ·  priorité Haute  ·  autorisation</w:t>
            </w:r>
          </w:p>
        </w:tc>
        <w:tc>
          <w:tcPr>
            <w:tcW w:w="11200" w:type="dxa"/>
            <w:shd w:val="clear" w:color="auto" w:fill="FDEBD0"/>
            <w:vAlign w:val="top"/>
          </w:tcPr>
          <w:p>
            <w:pPr>
              <w:spacing w:after="0"/>
            </w:pPr>
            <w:r>
              <w:rPr>
                <w:sz w:val="17"/>
                <w:szCs w:val="17"/>
              </w:rPr>
              <w:t xml:space="preserve">LOT 221 · SSP O6.8 · evidence.json (LOT_221, dossier de preuves ; fichiers HTML du cours non encore produits) ; LOT_220 LOT_220_Appel_A_V5_Ultra_Pedagogique_Plan_et_Liste.html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LOT_221 not_found n° 2 et uncertainties n° 4 ; LOT_220 not_found n° 7 et piège d'examen (220.4)</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LOT_220 a lu la version 2018 des directives ASSM « Attitude face à la fin de vie et à la mort » (5 conditions) ; LOT_221 a lu la révision 2022 en anglais (4 conditions, deux entretiens espacés de deux semaines) ; la version française 2022 n'est pas trouvée.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est le texte français en vigueur des directives ASSM « Attitude face à la fin de vie et à la mort » (révision 2022, chap. 6.2.1 : conditions de l'assistance au suicide, deux entretiens espacés d'au moins deux semaines, souffrance insupportable), avec URL, et comment le code de déontologie FMH l'intègre-t-il ? Citez le texte en vigueur (Fedlex : RS, article, alinéa et lettre exacts, état de consolidation, URL) ou l'entrée Swissmedic/AIPS ou la décision officielle, avec date. Comparez avec la version citée dans le cours et signalez tout changement.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F-077  ·  priorité Haute  ·  autorisation</w:t>
            </w:r>
          </w:p>
        </w:tc>
        <w:tc>
          <w:tcPr>
            <w:tcW w:w="11200" w:type="dxa"/>
            <w:shd w:val="clear" w:color="auto" w:fill="FDEBD0"/>
            <w:vAlign w:val="top"/>
          </w:tcPr>
          <w:p>
            <w:pPr>
              <w:spacing w:after="0"/>
            </w:pPr>
            <w:r>
              <w:rPr>
                <w:sz w:val="17"/>
                <w:szCs w:val="17"/>
              </w:rPr>
              <w:t xml:space="preserve">LOT 221 · SSP O6.8 · evidence.json (LOT_221, dossier de preuves ; fichiers HTML du cours non encore produits)</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not_found n° 4 (point 6 Cadre légal, psychothérapie)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Seul l'effet du « modèle de la prescription » (Obsan 2024) est documenté ; l'OPAS art. 11b n'est pas lisible sur Fedlex.</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prévoit l'OPAS art. 11b en vigueur pour la psychothérapie pratiquée par des psychologues sur prescription médicale (médecins habilités, nombre de séances par prescription, bilan après 30 séances, intervention de crise) ? Citez le texte en vigueur (Fedlex : RS, article, alinéa et lettre exacts, état de consolidation, URL) ou l'entrée Swissmedic/AIPS ou la décision officielle, avec date. Comparez avec la version citée dans le cours et signalez tout changement.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F-081  ·  priorité Haute  ·  dose</w:t>
            </w:r>
          </w:p>
        </w:tc>
        <w:tc>
          <w:tcPr>
            <w:tcW w:w="11200" w:type="dxa"/>
            <w:shd w:val="clear" w:color="auto" w:fill="FDEBD0"/>
            <w:vAlign w:val="top"/>
          </w:tcPr>
          <w:p>
            <w:pPr>
              <w:spacing w:after="0"/>
            </w:pPr>
            <w:r>
              <w:rPr>
                <w:sz w:val="17"/>
                <w:szCs w:val="17"/>
              </w:rPr>
              <w:t xml:space="preserve">LOT 221 · SSP O6.8 · evidence.json (LOT_221, dossier de preuves ; fichiers HTML du cours non encore produits)</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not_found n° 11 et uncertainties n° 10 (trouble bipolaire, lithium)</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La recommandation suisse du trouble bipolaire de 2015 (SSTB) n'a été lue qu'en résumé ; Quilonorm® retard 450 mg par comprimé est déduit de « 4 comprimés (1800 mg)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Existe-t-il une recommandation suisse du trouble bipolaire postérieure à 2015, et que prévoit l'IP suisse de Quilonorm® retard (dosage par comprimé, dose initiale, lithiémie cible, adaptation rénale, surveillance) ? Donnez la posologie selon l'information professionnelle suisse en vigueur (AIPS, swissmedicinfo.ch : spécialité ®, titulaire, date de révision, URL) : dose, voie, rythme, durée et adaptations rénale, hépatique, pédiatrique, grossesse et allaitement. Comparez avec la version citée dans le cours et signalez toute différence. À défaut d'IP suisse, citez la recommandation européenne la plus récente (titre, année,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F-082  ·  priorité Haute  ·  seuil</w:t>
            </w:r>
          </w:p>
        </w:tc>
        <w:tc>
          <w:tcPr>
            <w:tcW w:w="11200" w:type="dxa"/>
            <w:shd w:val="clear" w:color="auto" w:fill="FDEBD0"/>
            <w:vAlign w:val="top"/>
          </w:tcPr>
          <w:p>
            <w:pPr>
              <w:spacing w:after="0"/>
            </w:pPr>
            <w:r>
              <w:rPr>
                <w:sz w:val="17"/>
                <w:szCs w:val="17"/>
              </w:rPr>
              <w:t xml:space="preserve">LOT 221 · SSP O6.8 · evidence.json (LOT_221, dossier de preuves ; fichiers HTML du cours non encore produits) ; LOT_222 evidence.json (LOT_222, dossier de preuves ; fichiers HTML du cours non encore produits)</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LOT_221 not_found n° 12 ; LOT_222 uncertainties n° 6</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LOT_221 : grammes d'alcool par verre standard et période de référence des seuils OFSP (2/4 verres) non précisés. LOT_222 : conflit OFSP (≥ 2 verres F, ≥ 4 verres H) / HUG 2017 (&gt; 20 g F, &gt; 30 g H) arbitré pour l'OFSP.</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repères de consommation à faible risque et quels seuils de consommation chronique à risque et ponctuelle excessive publie la Commission fédérale pour les questions liées aux addictions (CFANT/OFSP) en vigueur, et combien de grammes d'alcool pur contient un verre standard en Suisse ? Donnez la valeur seuil validée, la population de validation (suisse ou germanophone/francophone si possible), la sensibilité et la spécificité, avec la source primaire (titre, année, URL). Signalez toute recommandation suisse ou européenne qui adopte ce seuil.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F-078  ·  priorité Moyenne  ·  epidemiologie</w:t>
            </w:r>
          </w:p>
        </w:tc>
        <w:tc>
          <w:tcPr>
            <w:tcW w:w="11200" w:type="dxa"/>
            <w:shd w:val="clear" w:color="auto" w:fill="EBF5FB"/>
            <w:vAlign w:val="top"/>
          </w:tcPr>
          <w:p>
            <w:pPr>
              <w:spacing w:after="0"/>
            </w:pPr>
            <w:r>
              <w:rPr>
                <w:sz w:val="17"/>
                <w:szCs w:val="17"/>
              </w:rPr>
              <w:t xml:space="preserve">LOT 221 · SSP O6.8 · evidence.json (LOT_221, dossier de preuves ; fichiers HTML du cours non encore produits)</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not_found n° 5, 8 et uncertainties n° 5 (point 3 Épidémiologie)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Prévalences suisses du trouble bipolaire, du TSPT, du trouble de l'adaptation, de la dépression du post-partum et de la détresse spirituelle hors gériatrie non trouvées ; détresse psychologique MHI-5 (ESS 2022 : 15 % → 18 %) non vérifiée sur la source primaire.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prévalences suisses publient l'Obsan ou l'OFS (ESS 2022) pour la détresse psychologique MHI-5 (moyenne et élevée), le trouble bipolaire, le TSPT et la dépression du post-partum ? Citez la source suisse primaire la plus récente (OFS, Obsan, OFSP, registre ou société savante : titre, année des données, URL, date de consultation). Signalez toute rupture de série. À défaut de donnée suisse, donnez la donnée européenne la plus récente en l'étiquetant comme telle.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F-079  ·  priorité Moyenne  ·  seuil</w:t>
            </w:r>
          </w:p>
        </w:tc>
        <w:tc>
          <w:tcPr>
            <w:tcW w:w="11200" w:type="dxa"/>
            <w:shd w:val="clear" w:color="auto" w:fill="EBF5FB"/>
            <w:vAlign w:val="top"/>
          </w:tcPr>
          <w:p>
            <w:pPr>
              <w:spacing w:after="0"/>
            </w:pPr>
            <w:r>
              <w:rPr>
                <w:sz w:val="17"/>
                <w:szCs w:val="17"/>
              </w:rPr>
              <w:t xml:space="preserve">LOT 221 · SSP O6.8 · evidence.json (LOT_221, dossier de preuves ; fichiers HTML du cours non encore produits)</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not_found n° 7 (dépistage de l'hypomanie)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Les seuils et la Se/Sp de l'HCL-32 (Angst) ne figurent pas dans les résumés lus.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seuil de l'HCL-32 et quelles sensibilité et spécificité (validation de Angst et versions françaises ou allemandes) sont recommandés pour dépister la bipolarité devant une dépression ? Donnez la valeur seuil validée, la population de validation (suisse ou germanophone/francophone si possible), la sensibilité et la spécificité, avec la source primaire (titre, année, URL). Signalez toute recommandation suisse ou européenne qui adopte ce seuil.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F-080  ·  priorité Moyenne  ·  autorisation</w:t>
            </w:r>
          </w:p>
        </w:tc>
        <w:tc>
          <w:tcPr>
            <w:tcW w:w="11200" w:type="dxa"/>
            <w:shd w:val="clear" w:color="auto" w:fill="EBF5FB"/>
            <w:vAlign w:val="top"/>
          </w:tcPr>
          <w:p>
            <w:pPr>
              <w:spacing w:after="0"/>
            </w:pPr>
            <w:r>
              <w:rPr>
                <w:sz w:val="17"/>
                <w:szCs w:val="17"/>
              </w:rPr>
              <w:t xml:space="preserve">LOT 221 · SSP O6.8 · evidence.json (LOT_221, dossier de preuves ; fichiers HTML du cours non encore produits)</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not_found n° 9 (point 11.D recherche, dépression du post-partum)</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statut suisse de la brexanolone et de la zuranolone n'a pas été trouvé.</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La brexanolone ou la zuranolone (Zurzuvae®) sont-elles autorisées par Swissmedic ou l'EMA en 2026 pour la dépression du post-partum, avec quelle posologie ? Citez le texte en vigueur (Fedlex : RS, article, alinéa et lettre exacts, état de consolidation, URL) ou l'entrée Swissmedic/AIPS ou la décision officielle, avec date. Comparez avec la version citée dans le cours et signalez tout changement.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F-083  ·  priorité Moyenne  ·  recommandation</w:t>
            </w:r>
          </w:p>
        </w:tc>
        <w:tc>
          <w:tcPr>
            <w:tcW w:w="11200" w:type="dxa"/>
            <w:shd w:val="clear" w:color="auto" w:fill="EBF5FB"/>
            <w:vAlign w:val="top"/>
          </w:tcPr>
          <w:p>
            <w:pPr>
              <w:spacing w:after="0"/>
            </w:pPr>
            <w:r>
              <w:rPr>
                <w:sz w:val="17"/>
                <w:szCs w:val="17"/>
              </w:rPr>
              <w:t xml:space="preserve">LOT 221 · SSP O6.8 · evidence.json (LOT_221, dossier de preuves ; fichiers HTML du cours non encore produits)</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uncertainties n° 2 (TAG, critère de durée)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dossier signale une divergence : durée ≥ 6 mois (ligne directrice suisse 2024) contre « au moins plusieurs mois » (CIM-11).</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critère de durée du trouble anxieux généralisé retiennent la recommandation suisse 2024 sur les troubles anxieux (titre, URL) et les CDDR CIM-11, et quelles doses de première ligne (ISRS, IRSN, prégabaline) recommande-t-elle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F-084  ·  priorité Haute  ·  recommandation</w:t>
            </w:r>
          </w:p>
        </w:tc>
        <w:tc>
          <w:tcPr>
            <w:tcW w:w="11200" w:type="dxa"/>
            <w:shd w:val="clear" w:color="auto" w:fill="FDEBD0"/>
            <w:vAlign w:val="top"/>
          </w:tcPr>
          <w:p>
            <w:pPr>
              <w:spacing w:after="0"/>
            </w:pPr>
            <w:r>
              <w:rPr>
                <w:sz w:val="17"/>
                <w:szCs w:val="17"/>
              </w:rPr>
              <w:t xml:space="preserve">LOT 222 · SSP O6.9 · evidence.json (LOT_222, dossier de preuves ; fichiers HTML du cours non encore produits) ; LOT_224 LOT_224_Appel_A_V5_Ultra_Pedagogique_Plan_et_Liste.html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LOT_222 not_found n° 2 et uncertainties n° 5 ; LOT_224 not_found n° 1 et uncertainties n° 2</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Les deux lots connaissent Hochstrasser et al., « Le traitement du burnout », Forum Med Suisse 2016 (parties 1 et 2), seulement par des diapositives HUG 2018 : gradation de l'arrêt dans l'épisode dépressif (léger : pas d'arrêt ; moyen : cas par cas ; sévère : arrêt), part de dépression dans le burnout (20 %/60 %), benzodiazépine « à demi-vie longue » sans posologie.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conduite (stades du burnout, arrêt de travail total ou partiel et sa durée, psychothérapie, antidépresseurs, reprise progressive) recommande le consensus suisse sur le burnout de Hochstrasser et al. (Forum Med Suisse 2016) ou sa mise à jour, et existe-t-il une version plus récente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F-086  ·  priorité Haute  ·  seuil</w:t>
            </w:r>
          </w:p>
        </w:tc>
        <w:tc>
          <w:tcPr>
            <w:tcW w:w="11200" w:type="dxa"/>
            <w:shd w:val="clear" w:color="auto" w:fill="FDEBD0"/>
            <w:vAlign w:val="top"/>
          </w:tcPr>
          <w:p>
            <w:pPr>
              <w:spacing w:after="0"/>
            </w:pPr>
            <w:r>
              <w:rPr>
                <w:sz w:val="17"/>
                <w:szCs w:val="17"/>
              </w:rPr>
              <w:t xml:space="preserve">LOT 222 · SSP O6.9 · evidence.json (LOT_222, dossier de preuves ; fichiers HTML du cours non encore produits)</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not_found n° 5 et uncertainties n° 9 (DX fatigue, carence martiale)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Seul le seuil de ferritine de 70 µg/L en cas d'inflammation (OMS) est vérifié ; le seuil &lt; 15 µg/L chez l'adulte sain n'est pas lu ; Vaucher 2012 utilise 50 µg/L comme critère d'essai.</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seuils de ferritine définissent la carence martiale chez l'adulte sain, en cas d'inflammation et dans la fatigue isolée selon la ligne directrice OMS 2020 et une recommandation suisse (SSMIG, smarter medicine, Swiss Medical Forum), et quel traitement oral ou IV (IP suisse) est recommandé ? Donnez la valeur seuil validée, la population de validation (suisse ou germanophone/francophone si possible), la sensibilité et la spécificité, avec la source primaire (titre, année, URL). Signalez toute recommandation suisse ou européenne qui adopte ce seuil.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F-088  ·  priorité Haute  ·  conduite</w:t>
            </w:r>
          </w:p>
        </w:tc>
        <w:tc>
          <w:tcPr>
            <w:tcW w:w="11200" w:type="dxa"/>
            <w:shd w:val="clear" w:color="auto" w:fill="FDEBD0"/>
            <w:vAlign w:val="top"/>
          </w:tcPr>
          <w:p>
            <w:pPr>
              <w:spacing w:after="0"/>
            </w:pPr>
            <w:r>
              <w:rPr>
                <w:sz w:val="17"/>
                <w:szCs w:val="17"/>
              </w:rPr>
              <w:t xml:space="preserve">LOT 222 · SSP O6.9 · evidence.json (LOT_222, dossier de preuves ; fichiers HTML du cours non encore produits) ; LOT_224 LOT_224_Appel_A_V5_Ultra_Pedagogique_Plan_et_Liste.html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LOT_222 not_found n° 7 ; LOT_224 not_found n° 10</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LOT_222 : prévalence suisse du SAOS symptomatique, critères de somnolence (Epworth) et recommandations sur le SAOS et la conduite non lus. LOT_224 : recommandations SSRS (somnolence et conduite) et règles des postes de sécurité non lues.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recommandations suisses (Société suisse de recherche sur le sommeil, Société suisse de médecine du trafic, OAC annexe 1 exigences médicales minimales) fixent l'aptitude à la conduite en cas de SAOS ou de somnolence (seuil d'Epworth, délai après traitement par PPC, groupes 1 et 2), et quelle est la prévalence suisse du SAOS (HypnoLaus) ? Citez la recommandation suisse en vigueur (société savante ou autorité : titre, année, URL) qui fixe cette conduite. Comparez sa version la plus récente avec celle du cours et listez les différences.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F-085  ·  priorité Moyenne  ·  epidemiologie</w:t>
            </w:r>
          </w:p>
        </w:tc>
        <w:tc>
          <w:tcPr>
            <w:tcW w:w="11200" w:type="dxa"/>
            <w:shd w:val="clear" w:color="auto" w:fill="EBF5FB"/>
            <w:vAlign w:val="top"/>
          </w:tcPr>
          <w:p>
            <w:pPr>
              <w:spacing w:after="0"/>
            </w:pPr>
            <w:r>
              <w:rPr>
                <w:sz w:val="17"/>
                <w:szCs w:val="17"/>
              </w:rPr>
              <w:t xml:space="preserve">LOT 222 · SSP O6.9 · evidence.json (LOT_222, dossier de preuves ; fichiers HTML du cours non encore produits) ; LOT_224 LOT_224_Appel_A_V5_Ultra_Pedagogique_Plan_et_Liste.html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LOT_222 not_found n° 1 ; LOT_224 not_found n° 11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Job-Stress-Index 2022/2024 de Promotion Santé Suisse n'est pas accessible (CAPTCHA) ; les chiffres de presse (30,3 % épuisés, 6,5 milliards CHF) ne sont pas retenus.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résultats publie le Job-Stress-Index 2024 (ou plus récent) de Promotion Santé Suisse (part des actifs épuisés, potentiel économique, URL du rapport) ? Citez la source suisse primaire la plus récente (OFS, Obsan, OFSP, registre ou société savante : titre, année des données, URL, date de consultation). Signalez toute rupture de série. À défaut de donnée suisse, donnez la donnée européenne la plus récente en l'étiquetant comme telle.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F-087  ·  priorité Moyenne  ·  autorisation</w:t>
            </w:r>
          </w:p>
        </w:tc>
        <w:tc>
          <w:tcPr>
            <w:tcW w:w="11200" w:type="dxa"/>
            <w:shd w:val="clear" w:color="auto" w:fill="EBF5FB"/>
            <w:vAlign w:val="top"/>
          </w:tcPr>
          <w:p>
            <w:pPr>
              <w:spacing w:after="0"/>
            </w:pPr>
            <w:r>
              <w:rPr>
                <w:sz w:val="17"/>
                <w:szCs w:val="17"/>
              </w:rPr>
              <w:t xml:space="preserve">LOT 222 · SSP O6.9 · evidence.json (LOT_222, dossier de preuves ; fichiers HTML du cours non encore produits) ; LOT_226 evidence.json (LOT_226, dossier de preuves ; fichiers HTML du cours non encore produits)</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LOT_222 not_found n° 6 ; LOT_226 not_found n° 13</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LOT_222 : forfait CSIAS pour l'entretien 2026 connu seulement par le synopsis de révision. LOT_226 : rente minimale AVS 2026 (base de l'allocation pour impotent) non lue.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montants sont en vigueur en 2026 pour le forfait CSIAS pour l'entretien (ménage d'une personne et barème), la rente minimale et maximale AVS/AI et l'allocation pour impotent (degrés faible, moyen, grave) ? Citez le texte en vigueur (Fedlex : RS, article, alinéa et lettre exacts, état de consolidation, URL) ou l'entrée Swissmedic/AIPS ou la décision officielle, avec date. Comparez avec la version citée dans le cours et signalez tout changement.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F-089  ·  priorité Moyenne  ·  autorisation</w:t>
            </w:r>
          </w:p>
        </w:tc>
        <w:tc>
          <w:tcPr>
            <w:tcW w:w="11200" w:type="dxa"/>
            <w:shd w:val="clear" w:color="auto" w:fill="EBF5FB"/>
            <w:vAlign w:val="top"/>
          </w:tcPr>
          <w:p>
            <w:pPr>
              <w:spacing w:after="0"/>
            </w:pPr>
            <w:r>
              <w:rPr>
                <w:sz w:val="17"/>
                <w:szCs w:val="17"/>
              </w:rPr>
              <w:t xml:space="preserve">LOT 222 · SSP O6.9 · evidence.json (LOT_222, dossier de preuves ; fichiers HTML du cours non encore produits)</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not_found n° 8 (point 6, burnout et assurance-accidents)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Aucune statistique ni jurisprudence n'a été lue sur la reconnaissance du burnout comme maladie professionnelle LAA.</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Le burnout ou un trouble psychique lié au travail peut-il être reconnu comme maladie professionnelle au sens de la LAA art. 9 al. 2 (jurisprudence du Tribunal fédéral, position de la Suva) ? Citez le texte en vigueur (Fedlex : RS, article, alinéa et lettre exacts, état de consolidation, URL) ou l'entrée Swissmedic/AIPS ou la décision officielle, avec date. Comparez avec la version citée dans le cours et signalez tout changement.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F-090  ·  priorité Moyenne  ·  autorisation</w:t>
            </w:r>
          </w:p>
        </w:tc>
        <w:tc>
          <w:tcPr>
            <w:tcW w:w="11200" w:type="dxa"/>
            <w:shd w:val="clear" w:color="auto" w:fill="EBF5FB"/>
            <w:vAlign w:val="top"/>
          </w:tcPr>
          <w:p>
            <w:pPr>
              <w:spacing w:after="0"/>
            </w:pPr>
            <w:r>
              <w:rPr>
                <w:sz w:val="17"/>
                <w:szCs w:val="17"/>
              </w:rPr>
              <w:t xml:space="preserve">LOT 222 · SSP O6.9 · evidence.json (LOT_222, dossier de preuves ; fichiers HTML du cours non encore produits)</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not_found n° 12 (point 11.B, remboursement)</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L'autorisation des 12 spécialités citées est vérifiée via AmiKo ; leur remboursement (Liste des spécialités ePL OFSP) n'est pas vérifié.</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Les 12 spécialités citées dans le dossier LOT_222 (antidépresseurs, Campral®, Seresta®, fer) figurent-elles dans la Liste des spécialités en vigueur, avec quelles limitations ? Citez le texte en vigueur (Fedlex : RS, article, alinéa et lettre exacts, état de consolidation, URL) ou l'entrée Swissmedic/AIPS ou la décision officielle, avec date. Comparez avec la version citée dans le cours et signalez tout changement.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F-091  ·  priorité Critique  ·  dose</w:t>
            </w:r>
          </w:p>
        </w:tc>
        <w:tc>
          <w:tcPr>
            <w:tcW w:w="11200" w:type="dxa"/>
            <w:shd w:val="clear" w:color="auto" w:fill="FADBD8"/>
            <w:vAlign w:val="top"/>
          </w:tcPr>
          <w:p>
            <w:pPr>
              <w:spacing w:after="0"/>
            </w:pPr>
            <w:r>
              <w:rPr>
                <w:sz w:val="17"/>
                <w:szCs w:val="17"/>
              </w:rPr>
              <w:t xml:space="preserve">LOT 223 · SSP O7.1 · LOT_223_Appel_A_V5_Ultra_Pedagogique_Plan_et_Liste.html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Points 11.B (paludisme grave) et lacunes connues (223.21, 223.25) ; evidence not_found n° 4 et 9</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suit l'ESCMID 2012 pour le paludisme grave ; modalités d'obtention de l'artésunate IV en pharmacie hospitalière et base légale de l'importation de médicaments non autorisés (artésunate, primaquine, praziquantel) :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recommandation suisse (OFSP, Swiss TPH, SSI) fixe le traitement du paludisme grave (artésunate IV : dose, schéma, relais oral, surveillance de l'hémolyse retardée), comment l'artésunate est-il obtenu en Suisse (dépôt, importation selon LPTh art. 9 al. 2 ou OAMéd art. 49), et quel est le statut de la primaquine et du praziquantel ? Donnez la posologie selon l'information professionnelle suisse en vigueur (AIPS, swissmedicinfo.ch : spécialité ®, titulaire, date de révision, URL) : dose, voie, rythme, durée et adaptations rénale, hépatique, pédiatrique, grossesse et allaitement. Comparez avec la version citée dans le cours et signalez toute différence. À défaut d'IP suisse, citez la recommandation européenne la plus récente (titre, année,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F-096  ·  priorité Critique  ·  dose</w:t>
            </w:r>
          </w:p>
        </w:tc>
        <w:tc>
          <w:tcPr>
            <w:tcW w:w="11200" w:type="dxa"/>
            <w:shd w:val="clear" w:color="auto" w:fill="FADBD8"/>
            <w:vAlign w:val="top"/>
          </w:tcPr>
          <w:p>
            <w:pPr>
              <w:spacing w:after="0"/>
            </w:pPr>
            <w:r>
              <w:rPr>
                <w:sz w:val="17"/>
                <w:szCs w:val="17"/>
              </w:rPr>
              <w:t xml:space="preserve">LOT 223 · SSP O7.1 · LOT_223_Appel_A_V5_Ultra_Pedagogique_Plan_et_Liste.html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Fenêtre bio-mathématique 7.1 (dose d'immunoglobulines antirabiques) ; lacunes (223.27) ; evidence not_found n° 11 et uncertainties n° 2, 3, 12</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retient l'OFSP 2026 (PrEP 2 doses J0/J28 ; PEP 4 doses J0/3/7/14) contre l'IP Rabipur® (PrEP 3 doses, PEP 5 doses) ; Berirab® 20 UI/kg (OFSP : une ampoule de 300 UI suffit en règle générale) ; exceptions de PEP pour chiens, chats et furets domestiques non lues.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prévoient les directives OFSP/CFV les plus récentes sur la prophylaxie de la rage (schémas PrEP et PEP, immunodéprimé, dose et infiltration des immunoglobulines, exceptions pour animaux domestiques observables en Suisse et à l'étranger), et comment l'IP suisse de Rabipur® et de Berirab® diffère-t-elle ? Donnez la posologie selon l'information professionnelle suisse en vigueur (AIPS, swissmedicinfo.ch : spécialité ®, titulaire, date de révision, URL) : dose, voie, rythme, durée et adaptations rénale, hépatique, pédiatrique, grossesse et allaitement. Comparez avec la version citée dans le cours et signalez toute différence. À défaut d'IP suisse, citez la recommandation européenne la plus récente (titre, année,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F-092  ·  priorité Haute  ·  dose</w:t>
            </w:r>
          </w:p>
        </w:tc>
        <w:tc>
          <w:tcPr>
            <w:tcW w:w="11200" w:type="dxa"/>
            <w:shd w:val="clear" w:color="auto" w:fill="FDEBD0"/>
            <w:vAlign w:val="top"/>
          </w:tcPr>
          <w:p>
            <w:pPr>
              <w:spacing w:after="0"/>
            </w:pPr>
            <w:r>
              <w:rPr>
                <w:sz w:val="17"/>
                <w:szCs w:val="17"/>
              </w:rPr>
              <w:t xml:space="preserve">LOT 223 · SSP O7.1 · LOT_223_Appel_A_V5_Ultra_Pedagogique_Plan_et_Liste.html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Fenêtre « IP suisse Ciproxine® puis revue sur l'azithromycine » ; fenêtre Ceftriaxone ; lacunes (223.22) ; evidence not_found n° 5, 6 et uncertainties n° 13, 14</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Ciproxine® 2 × 500 mg 1 jour (diarrhée grave) et une indication « Typhus » de 7 jours, vraisemblablement la fièvre typhoïde ; azithromycine hors étiquette ; résistance de S. Typhi aux quinolones (90 % en Angleterre) ; Rocephin® 1–2 g/j, durée «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doses et durées d'azithromycine (adulte, enfant) pour l'autotraitement de la diarrhée du voyageur et pour la fièvre entérique recommandent le CEMV/OFSP ou une source européenne récente, l'IP allemande de Ciproxine® vise-t-elle la fièvre typhoïde par « Typhus », et quelle durée de ceftriaxone est recommandée dans la fièvre entérique ? Donnez la posologie selon l'information professionnelle suisse en vigueur (AIPS, swissmedicinfo.ch : spécialité ®, titulaire, date de révision, URL) : dose, voie, rythme, durée et adaptations rénale, hépatique, pédiatrique, grossesse et allaitement. Comparez avec la version citée dans le cours et signalez toute différence. À défaut d'IP suisse, citez la recommandation européenne la plus récente (titre, année,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F-093  ·  priorité Haute  ·  dose</w:t>
            </w:r>
          </w:p>
        </w:tc>
        <w:tc>
          <w:tcPr>
            <w:tcW w:w="11200" w:type="dxa"/>
            <w:shd w:val="clear" w:color="auto" w:fill="FDEBD0"/>
            <w:vAlign w:val="top"/>
          </w:tcPr>
          <w:p>
            <w:pPr>
              <w:spacing w:after="0"/>
            </w:pPr>
            <w:r>
              <w:rPr>
                <w:sz w:val="17"/>
                <w:szCs w:val="17"/>
              </w:rPr>
              <w:t xml:space="preserve">LOT 223 · SSP O7.1 · LOT_223_Appel_A_V5_Ultra_Pedagogique_Plan_et_Liste.html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Tableau DX.10 (dermatoses), lacunes (223.23) ; evidence not_found n° 7</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albendazole ou ivermectine (hors étiquette) dans la larva migrans cutanée ; posologie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posologies d'ivermectine (Subvectin® ou autre) et d'albendazole recommandent une source européenne ou le Swiss TPH pour la larva migrans cutanée, chez l'adulte et l'enfant ? Donnez la posologie selon l'information professionnelle suisse en vigueur (AIPS, swissmedicinfo.ch : spécialité ®, titulaire, date de révision, URL) : dose, voie, rythme, durée et adaptations rénale, hépatique, pédiatrique, grossesse et allaitement. Comparez avec la version citée dans le cours et signalez toute différence. À défaut d'IP suisse, citez la recommandation européenne la plus récente (titre, année,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F-095  ·  priorité Haute  ·  recommandation</w:t>
            </w:r>
          </w:p>
        </w:tc>
        <w:tc>
          <w:tcPr>
            <w:tcW w:w="11200" w:type="dxa"/>
            <w:shd w:val="clear" w:color="auto" w:fill="FDEBD0"/>
            <w:vAlign w:val="top"/>
          </w:tcPr>
          <w:p>
            <w:pPr>
              <w:spacing w:after="0"/>
            </w:pPr>
            <w:r>
              <w:rPr>
                <w:sz w:val="17"/>
                <w:szCs w:val="17"/>
              </w:rPr>
              <w:t xml:space="preserve">LOT 223 · SSP O7.1 · LOT_223_Appel_A_V5_Ultra_Pedagogique_Plan_et_Liste.html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Fenêtre « RSI annexe 7 » ; lacunes (223.26) ; evidence not_found n° 10 et uncertainties n° 1, 11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l'IP Stamaril® et le RSI (dose unique valable à vie), le CEMV (rappel unique ≥ 10 ans, max. 2 doses) et le Bulletin OFSP 36/2025 ; allaitement : CEMV &lt; 6 mois contre plan de vaccination 2026 (6 à 9 mois) ; procédure d'exemption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indications de rappel antiamaril (immunocompétent, enfant vacciné &lt; 2 ans, grossesse, VIH), quelle conduite pendant l'allaitement et quelle procédure d'exemption (certificat de contre-indication, modèle OMS) fixent le CEMV et le plan de vaccination suisse 2026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F-097  ·  priorité Haute  ·  dose</w:t>
            </w:r>
          </w:p>
        </w:tc>
        <w:tc>
          <w:tcPr>
            <w:tcW w:w="11200" w:type="dxa"/>
            <w:shd w:val="clear" w:color="auto" w:fill="FDEBD0"/>
            <w:vAlign w:val="top"/>
          </w:tcPr>
          <w:p>
            <w:pPr>
              <w:spacing w:after="0"/>
            </w:pPr>
            <w:r>
              <w:rPr>
                <w:sz w:val="17"/>
                <w:szCs w:val="17"/>
              </w:rPr>
              <w:t xml:space="preserve">LOT 223 · SSP O7.1 · LOT_223_Appel_A_V5_Ultra_Pedagogique_Plan_et_Liste.html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11.B › chimioprophylaxie du paludisme ; evidence uncertainties n° 4, 5, 15</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relève trois conflits : méfloquine (IP Mephaquin® : début ≥ 1 semaine, dose de charge possible ; OFSP 2016 : 10–14 jours, pas de charge, 1,5 cp ≥ 90 kg, 2 cp ≥ 120 kg) ; doxycycline (OFSP dès 8 ans ; IP Supracycline® &gt; 12 ans) ; atovaquone/proguanil (experts suisses : max. 3 mois ; IP sans durée maximale).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posologies et durées de chimioprophylaxie (méfloquine, doxycycline, atovaquone/proguanil : adulte, enfant par poids, grossesse) recommande la version la plus récente des recommandations suisses de prévention du paludisme (OFSP/CEMV, mise à jour postérieure à 2016 ?), et quelles différences présente-t-elle avec les IP suisses ? Donnez la posologie selon l'information professionnelle suisse en vigueur (AIPS, swissmedicinfo.ch : spécialité ®, titulaire, date de révision, URL) : dose, voie, rythme, durée et adaptations rénale, hépatique, pédiatrique, grossesse et allaitement. Comparez avec la version citée dans le cours et signalez toute différence. À défaut d'IP suisse, citez la recommandation européenne la plus récente (titre, année,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F-098  ·  priorité Haute  ·  dose</w:t>
            </w:r>
          </w:p>
        </w:tc>
        <w:tc>
          <w:tcPr>
            <w:tcW w:w="11200" w:type="dxa"/>
            <w:shd w:val="clear" w:color="auto" w:fill="FDEBD0"/>
            <w:vAlign w:val="top"/>
          </w:tcPr>
          <w:p>
            <w:pPr>
              <w:spacing w:after="0"/>
            </w:pPr>
            <w:r>
              <w:rPr>
                <w:sz w:val="17"/>
                <w:szCs w:val="17"/>
              </w:rPr>
              <w:t xml:space="preserve">LOT 223 · SSP O7.1 · LOT_223_Appel_A_V5_Ultra_Pedagogique_Plan_et_Liste.html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Tableau DX.3 et point 11.B (symptomatiques) ; evidence uncertainties n° 6, 7</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relève : lopéramide max. 16 mg/j (IP Imodium®) contre 12 mg/j (factsheet CEMV) ; paracétamol pédiatrique ≤ 75 mg/kg/j (IP Dafalgan®) contre ≤ 60 mg/kg/j (OMS 2025).</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doses maximales du lopéramide en autotraitement de la diarrhée du voyageur (adulte, âge minimal) et du paracétamol chez l'enfant fébrile recommandent les sources suisses les plus récentes (CEMV, SSP Pédiatrie Suisse, Swisspeddose) ? Donnez la posologie selon l'information professionnelle suisse en vigueur (AIPS, swissmedicinfo.ch : spécialité ®, titulaire, date de révision, URL) : dose, voie, rythme, durée et adaptations rénale, hépatique, pédiatrique, grossesse et allaitement. Comparez avec la version citée dans le cours et signalez toute différence. À défaut d'IP suisse, citez la recommandation européenne la plus récente (titre, année,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F-099  ·  priorité Haute  ·  recommandation</w:t>
            </w:r>
          </w:p>
        </w:tc>
        <w:tc>
          <w:tcPr>
            <w:tcW w:w="11200" w:type="dxa"/>
            <w:shd w:val="clear" w:color="auto" w:fill="FDEBD0"/>
            <w:vAlign w:val="top"/>
          </w:tcPr>
          <w:p>
            <w:pPr>
              <w:spacing w:after="0"/>
            </w:pPr>
            <w:r>
              <w:rPr>
                <w:sz w:val="17"/>
                <w:szCs w:val="17"/>
              </w:rPr>
              <w:t xml:space="preserve">LOT 223 · SSP O7.1 · LOT_223_Appel_A_V5_Ultra_Pedagogique_Plan_et_Liste.html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11.B › vaccins de voyage (dengue, encéphalite japonaise, typhoïde) ; evidence uncertainties n° 8, 9, 10</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relève : Qdenga® (IP dès 4 ans ; CEMV dès 6 ans et seulement après dengue documentée) ; Ixiaro® (IP dès 18 ans J0/J28 ; CEMV 2e dose dès J7, hors étiquette dès 12 mois, rappel puis tous les 10 ans) ; Vivotif® (IP annuel ; CEMV 1 an ou 3 ans).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indications, âges, schémas et rappels de Qdenga®, d'Ixiaro® et de Vivotif® recommandent le CEMV et le plan de vaccination suisse 2026, et quelles différences présentent-ils avec les IP suisses en vigueur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F-100  ·  priorité Haute  ·  recommandation</w:t>
            </w:r>
          </w:p>
        </w:tc>
        <w:tc>
          <w:tcPr>
            <w:tcW w:w="11200" w:type="dxa"/>
            <w:shd w:val="clear" w:color="auto" w:fill="FDEBD0"/>
            <w:vAlign w:val="top"/>
          </w:tcPr>
          <w:p>
            <w:pPr>
              <w:spacing w:after="0"/>
            </w:pPr>
            <w:r>
              <w:rPr>
                <w:sz w:val="17"/>
                <w:szCs w:val="17"/>
              </w:rPr>
              <w:t xml:space="preserve">LOT 223 · SSP O7.1 · LOT_223_Appel_A_V5_Ultra_Pedagogique_Plan_et_Liste.html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Fenêtre CEMV, lacunes (223.18, 223.31) et fenêtre « groupes vulnérables » ; evidence not_found n° 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La version PRO de healthytravel.ch (recommandations par pays) n'est pas consultée ; les pages du CEMV sur le voyageur immunodéprimé et les voyageurs VFR sont « en construction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recommandations du CEMV ou de l'OFSP s'appliquent au voyageur immunodéprimé (vaccins vivants, délais après biothérapie) et aux voyageurs VFR (paludisme, typhoïde), et comment accéder aux recommandations par pays de healthytravel.ch (version professionnelle)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F-094  ·  priorité Moyenne  ·  seuil</w:t>
            </w:r>
          </w:p>
        </w:tc>
        <w:tc>
          <w:tcPr>
            <w:tcW w:w="11200" w:type="dxa"/>
            <w:shd w:val="clear" w:color="auto" w:fill="EBF5FB"/>
            <w:vAlign w:val="top"/>
          </w:tcPr>
          <w:p>
            <w:pPr>
              <w:spacing w:after="0"/>
            </w:pPr>
            <w:r>
              <w:rPr>
                <w:sz w:val="17"/>
                <w:szCs w:val="17"/>
              </w:rPr>
              <w:t xml:space="preserve">LOT 223 · SSP O7.1 · LOT_223_Appel_A_V5_Ultra_Pedagogique_Plan_et_Liste.html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Fenêtre « Diagnostic sérologique » ; tableaux DX.8 et DX.9 ; lacunes (223.24) ; evidence not_found n° 8</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 sérologie ECDC (Se 96 %, Sp 83 %) et le délai ≥ 2 mois pour la schistosomiase ; seuils d'interprétation des sérologies schistosomes et Strongyloides, seuils PCR/sérologies des rickettsioses et calendrier de contrôle après traitement :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seuils d'interprétation, quel délai de séroconversion et quel calendrier de contrôle après traitement (sérologie, éosinophilie) recommandent l'ECDC, l'ESCMID ou le Swiss TPH pour la schistosomiase et la strongyloïdose, et quelle conduite avant une corticothérapie chez un migrant ? Donnez la valeur seuil validée, la population de validation (suisse ou germanophone/francophone si possible), la sensibilité et la spécificité, avec la source primaire (titre, année, URL). Signalez toute recommandation suisse ou européenne qui adopte ce seuil.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F-101  ·  priorité Moyenne  ·  epidemiologie</w:t>
            </w:r>
          </w:p>
        </w:tc>
        <w:tc>
          <w:tcPr>
            <w:tcW w:w="11200" w:type="dxa"/>
            <w:shd w:val="clear" w:color="auto" w:fill="EBF5FB"/>
            <w:vAlign w:val="top"/>
          </w:tcPr>
          <w:p>
            <w:pPr>
              <w:spacing w:after="0"/>
            </w:pPr>
            <w:r>
              <w:rPr>
                <w:sz w:val="17"/>
                <w:szCs w:val="17"/>
              </w:rPr>
              <w:t xml:space="preserve">LOT 223 · SSP O7.1 · LOT_223_Appel_A_V5_Ultra_Pedagogique_Plan_et_Liste.html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3 Épidémiologie, point 11.D, lacunes (223.19, 223.20) ; evidence not_found n° 2, 3</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 Bulletin OFSP 30/2019 (2014–2018) et Giannone 2022 (1990–2019 : 52 décès pour 8 439 cas) ; chiffres 2020–2025 du paludisme importé, part VFR et incidence de la fièvre typhoïde et de la diarrhée du voyageur :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Combien de cas de paludisme importé (espèce, part VFR, décès), de fièvre typhoïde et paratyphoïde et de dengue l'OFSP a-t-il enregistrés de 2020 à 2025 (tableau de bord IDD, Bulletin) ? Citez la source suisse primaire la plus récente (OFS, Obsan, OFSP, registre ou société savante : titre, année des données, URL, date de consultation). Signalez toute rupture de série. À défaut de donnée suisse, donnez la donnée européenne la plus récente en l'étiquetant comme telle.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F-102  ·  priorité Moyenne  ·  autorisation</w:t>
            </w:r>
          </w:p>
        </w:tc>
        <w:tc>
          <w:tcPr>
            <w:tcW w:w="11200" w:type="dxa"/>
            <w:shd w:val="clear" w:color="auto" w:fill="EBF5FB"/>
            <w:vAlign w:val="top"/>
          </w:tcPr>
          <w:p>
            <w:pPr>
              <w:spacing w:after="0"/>
            </w:pPr>
            <w:r>
              <w:rPr>
                <w:sz w:val="17"/>
                <w:szCs w:val="17"/>
              </w:rPr>
              <w:t xml:space="preserve">LOT 223 · SSP O7.1 · LOT_223_Appel_A_V5_Ultra_Pedagogique_Plan_et_Liste.html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Fenêtre « loi sur les épidémies (LEp), art. 12 » ; lacunes (223.29) ; evidence not_found n° 13</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 LEp art. 12 (état au 1.8.2025) ; le statut de déclaration des rickettsioses et de la leptospirose n'est pas vérifié dans l'annexe 1 de l'ordonnance du DFI.</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maladies d'importation (paludisme, dengue, chikungunya, Zika, fièvre typhoïde, rickettsioses, leptospirose, rage) sont à déclaration obligatoire selon l'ordonnance du DFI sur la déclaration en vigueur, avec quels délais et par qui (médecin, laboratoire) ? Citez le texte en vigueur (Fedlex : RS, article, alinéa et lettre exacts, état de consolidation, URL) ou l'entrée Swissmedic/AIPS ou la décision officielle, avec date. Comparez avec la version citée dans le cours et signalez tout changement.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F-103  ·  priorité Moyenne  ·  conduite</w:t>
            </w:r>
          </w:p>
        </w:tc>
        <w:tc>
          <w:tcPr>
            <w:tcW w:w="11200" w:type="dxa"/>
            <w:shd w:val="clear" w:color="auto" w:fill="EBF5FB"/>
            <w:vAlign w:val="top"/>
          </w:tcPr>
          <w:p>
            <w:pPr>
              <w:spacing w:after="0"/>
            </w:pPr>
            <w:r>
              <w:rPr>
                <w:sz w:val="17"/>
                <w:szCs w:val="17"/>
              </w:rPr>
              <w:t xml:space="preserve">LOT 223 · SSP O7.1 · LOT_223_Appel_A_V5_Ultra_Pedagogique_Plan_et_Liste.html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Tableau « examens au retour » et tableau DX.3 (diarrhée du voyageur)</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algorithme suisse de coproculture ou de PCR multiplex et données d'incubation :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algorithme diagnostique d'une diarrhée au retour de voyage (indications de la coproculture, de la PCR multiplex, de la recherche de parasites, de C. difficile, colonisation BLSE) recommande une source suisse (Swiss TPH, SSI, OFSP) ou européenne récente ? Citez la recommandation suisse en vigueur (société savante ou autorité : titre, année, URL) qui fixe cette conduite. Comparez sa version la plus récente avec celle du cours et listez les différences.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F-104  ·  priorité Moyenne  ·  conduite</w:t>
            </w:r>
          </w:p>
        </w:tc>
        <w:tc>
          <w:tcPr>
            <w:tcW w:w="11200" w:type="dxa"/>
            <w:shd w:val="clear" w:color="auto" w:fill="EBF5FB"/>
            <w:vAlign w:val="top"/>
          </w:tcPr>
          <w:p>
            <w:pPr>
              <w:spacing w:after="0"/>
            </w:pPr>
            <w:r>
              <w:rPr>
                <w:sz w:val="17"/>
                <w:szCs w:val="17"/>
              </w:rPr>
              <w:t xml:space="preserve">LOT 223 · SSP O7.1 · LOT_223_Appel_A_V5_Ultra_Pedagogique_Plan_et_Liste.html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Fenêtres « Gold standard (9.a) » et « Alternatives (9.c) : grossesse, enfant » (paludisme)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 goutte épaisse et le frottis (seuil 5 parasites/µL) ; spécificité et adaptation des tests chez la femme enceinte ou l'enfant :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performances (sensibilité, spécificité) des tests de diagnostic rapide et de la microscopie, quelle répétition des tests (toutes les 12–24 h, 3 fois) et quelles particularités chez la femme enceinte et l'enfant recommandent l'OFSP, le Swiss TPH ou l'ESCMID ? Citez la recommandation suisse en vigueur (société savante ou autorité : titre, année, URL) qui fixe cette conduite. Comparez sa version la plus récente avec celle du cours et listez les différences.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F-105  ·  priorité Moyenne  ·  recommandation</w:t>
            </w:r>
          </w:p>
        </w:tc>
        <w:tc>
          <w:tcPr>
            <w:tcW w:w="11200" w:type="dxa"/>
            <w:shd w:val="clear" w:color="auto" w:fill="EBF5FB"/>
            <w:vAlign w:val="top"/>
          </w:tcPr>
          <w:p>
            <w:pPr>
              <w:spacing w:after="0"/>
            </w:pPr>
            <w:r>
              <w:rPr>
                <w:sz w:val="17"/>
                <w:szCs w:val="17"/>
              </w:rPr>
              <w:t xml:space="preserve">LOT 223 · SSP O7.1 · LOT_223_Appel_A_V5_Ultra_Pedagogique_Plan_et_Liste.html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Fenêtre « leishmaniose cutanée », lacunes (223.28) ; evidence not_found n° 12</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Les lignes directrices BIA 2025 (éosinophilie), LeishMan 2014 et ISTM 2017 ne sont lues qu'en résumé.</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conduite diagnostique et thérapeutique de l'éosinophilie du voyageur et de la leishmaniose cutanée (traitements selon l'espèce, disponibilité en Suisse) recommandent les textes intégraux BIA 2025 et LeishMan, ou une recommandation européenne plus récente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F-106  ·  priorité Haute  ·  recommandation</w:t>
            </w:r>
          </w:p>
        </w:tc>
        <w:tc>
          <w:tcPr>
            <w:tcW w:w="11200" w:type="dxa"/>
            <w:shd w:val="clear" w:color="auto" w:fill="FDEBD0"/>
            <w:vAlign w:val="top"/>
          </w:tcPr>
          <w:p>
            <w:pPr>
              <w:spacing w:after="0"/>
            </w:pPr>
            <w:r>
              <w:rPr>
                <w:sz w:val="17"/>
                <w:szCs w:val="17"/>
              </w:rPr>
              <w:t xml:space="preserve">LOT 224 · SSP O7.2 · LOT_224_Appel_A_V5_Ultra_Pedagogique_Plan_et_Liste.html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Fenêtres « alerte rouge » et « STarT Back » (point 9, DX lombalgie) ; prévention secondaire ; evidence not_found n° 6 et uncertainties n° 7 ; aussi LOT_222 not_found n° 9</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LOT_224 cite le consensus CHUV-HUG 2014 [S30] (dépistage du risque de chronicisation dès 2 semaines d'arrêt, annonce AI dès 30 jours) ; liste détaillée des alertes rouges (renvoi externe) et seuil du STarT Back « donnée non trouvée » ; van Tulder 2006 et COST B13 non lus ; LOT_222 a abandonné le DX lombalgie faute de source.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recommandation suisse (consensus CHUV-HUG ou mise à jour, mednetbern, SSMIG) ou européenne la plus récente fixe la conduite de la lombalgie aiguë et chronique : liste des drapeaux rouges, seuils du STarT Back (risque faible, moyen, élevé), durée d'arrêt, imagerie et moment de l'annonce précoce à l'AI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F-107  ·  priorité Haute  ·  conduite</w:t>
            </w:r>
          </w:p>
        </w:tc>
        <w:tc>
          <w:tcPr>
            <w:tcW w:w="11200" w:type="dxa"/>
            <w:shd w:val="clear" w:color="auto" w:fill="FDEBD0"/>
            <w:vAlign w:val="top"/>
          </w:tcPr>
          <w:p>
            <w:pPr>
              <w:spacing w:after="0"/>
            </w:pPr>
            <w:r>
              <w:rPr>
                <w:sz w:val="17"/>
                <w:szCs w:val="17"/>
              </w:rPr>
              <w:t xml:space="preserve">LOT 224 · SSP O7.2 · LOT_224_Appel_A_V5_Ultra_Pedagogique_Plan_et_Liste.html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6 (éviction scolaire) et tableau des règles d'éviction ; evidence not_found n° 2 et uncertainties n° 3</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les « Mesures d'éviction (pré)scolaire » de l'AMCS (mai 2020) d'après une reprise communale (Leytron) ; d'autres reprises indiquent 48 h au lieu de 24 h après une gastro-entérite.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version en vigueur du document de l'Association des médecins cantonaux de Suisse « Mesures d'éviction (pré)scolaire » (date, URL), et quelles durées d'éviction fixe-t-elle pour la gastro-entérite, la varicelle, la scarlatine, la coqueluche, la rougeole, l'impétigo et la conjonctivite ? Citez la recommandation suisse en vigueur (société savante ou autorité : titre, année, URL) qui fixe cette conduite. Comparez sa version la plus récente avec celle du cours et listez les différences.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F-109  ·  priorité Haute  ·  conduite</w:t>
            </w:r>
          </w:p>
        </w:tc>
        <w:tc>
          <w:tcPr>
            <w:tcW w:w="11200" w:type="dxa"/>
            <w:shd w:val="clear" w:color="auto" w:fill="FDEBD0"/>
            <w:vAlign w:val="top"/>
          </w:tcPr>
          <w:p>
            <w:pPr>
              <w:spacing w:after="0"/>
            </w:pPr>
            <w:r>
              <w:rPr>
                <w:sz w:val="17"/>
                <w:szCs w:val="17"/>
              </w:rPr>
              <w:t xml:space="preserve">LOT 224 · SSP O7.2 · LOT_224_Appel_A_V5_Ultra_Pedagogique_Plan_et_Liste.html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11 (durée de l'arrêt) ; evidence not_found n° 7</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n'a trouvé aucune durée de référence suisse d'incapacité par diagnostic ou après chirurgie.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Existe-t-il des durées de référence d'incapacité de travail par diagnostic ou après chirurgie publiées en Suisse (SIM, Suva, assureurs) ou en Europe (Allemagne : DRV, Pays-Bas), et quel est leur statut ? Citez la recommandation suisse en vigueur (société savante ou autorité : titre, année, URL) qui fixe cette conduite. Comparez sa version la plus récente avec celle du cours et listez les différences.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F-112  ·  priorité Haute  ·  autorisation</w:t>
            </w:r>
          </w:p>
        </w:tc>
        <w:tc>
          <w:tcPr>
            <w:tcW w:w="11200" w:type="dxa"/>
            <w:shd w:val="clear" w:color="auto" w:fill="FDEBD0"/>
            <w:vAlign w:val="top"/>
          </w:tcPr>
          <w:p>
            <w:pPr>
              <w:spacing w:after="0"/>
            </w:pPr>
            <w:r>
              <w:rPr>
                <w:sz w:val="17"/>
                <w:szCs w:val="17"/>
              </w:rPr>
              <w:t xml:space="preserve">LOT 224 · SSP O7.2 · LOT_224_Appel_A_V5_Ultra_Pedagogique_Plan_et_Liste.html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6 (protection de la maternité) ; evidence not_found n° 12 et uncertainties n° 9</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utilise l'OProMa (état 1.7.2015) et l'OLT 1 ; les directives SECO sur la protection de la maternité ne sont pas lues.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est le texte en vigueur de l'OProMa et des directives du SECO sur la protection de la maternité (analyse de risques, travaux dangereux, certificat d'interdiction de travail, droit au salaire à 80 %), et existe-t-il une consolidation postérieure à 2015 ? Citez le texte en vigueur (Fedlex : RS, article, alinéa et lettre exacts, état de consolidation, URL) ou l'entrée Swissmedic/AIPS ou la décision officielle, avec date. Comparez avec la version citée dans le cours et signalez tout changement.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F-113  ·  priorité Haute  ·  recommandation</w:t>
            </w:r>
          </w:p>
        </w:tc>
        <w:tc>
          <w:tcPr>
            <w:tcW w:w="11200" w:type="dxa"/>
            <w:shd w:val="clear" w:color="auto" w:fill="FDEBD0"/>
            <w:vAlign w:val="top"/>
          </w:tcPr>
          <w:p>
            <w:pPr>
              <w:spacing w:after="0"/>
            </w:pPr>
            <w:r>
              <w:rPr>
                <w:sz w:val="17"/>
                <w:szCs w:val="17"/>
              </w:rPr>
              <w:t xml:space="preserve">LOT 224 · SSP O7.2 · LOT_224_Appel_A_V5_Ultra_Pedagogique_Plan_et_Liste.html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2 et point 6 (lignes directrices SIM) ; evidence uncertainties n° 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les listes SIM 2022 comme historiques et retient que SIM 2026 compte les facteurs étrangers à l'invalidité s'ils entraînent, entretiennent ou aggravent une atteinte diagnostiquée.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différences exactes présentent les lignes directrices de la Swiss Insurance Medicine 2026 par rapport à 2022 (facteurs étrangers, grossesse, chômeur, capacité ≥ 50 %, certificat), avec titre et URL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F-114  ·  priorité Haute  ·  autorisation</w:t>
            </w:r>
          </w:p>
        </w:tc>
        <w:tc>
          <w:tcPr>
            <w:tcW w:w="11200" w:type="dxa"/>
            <w:shd w:val="clear" w:color="auto" w:fill="FDEBD0"/>
            <w:vAlign w:val="top"/>
          </w:tcPr>
          <w:p>
            <w:pPr>
              <w:spacing w:after="0"/>
            </w:pPr>
            <w:r>
              <w:rPr>
                <w:sz w:val="17"/>
                <w:szCs w:val="17"/>
              </w:rPr>
              <w:t xml:space="preserve">LOT 224 · SSP O7.2 · LOT_224_Appel_A_V5_Ultra_Pedagogique_Plan_et_Liste.html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6 (droit au salaire, CO 324a) ; evidence uncertainties n° 6</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lit « 3 semaines de salaire par année de service » dans CO 324a al. 2 ; les échelles bernoise, bâloise et zurichoise ne sont pas lues.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durées de maintien du salaire prévoient les échelles bernoise, bâloise et zurichoise selon les années de service, et quelle jurisprudence du Tribunal fédéral les consacre ? Citez le texte en vigueur (Fedlex : RS, article, alinéa et lettre exacts, état de consolidation, URL) ou l'entrée Swissmedic/AIPS ou la décision officielle, avec date. Comparez avec la version citée dans le cours et signalez tout changement.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F-108  ·  priorité Moyenne  ·  recommandation</w:t>
            </w:r>
          </w:p>
        </w:tc>
        <w:tc>
          <w:tcPr>
            <w:tcW w:w="11200" w:type="dxa"/>
            <w:shd w:val="clear" w:color="auto" w:fill="EBF5FB"/>
            <w:vAlign w:val="top"/>
          </w:tcPr>
          <w:p>
            <w:pPr>
              <w:spacing w:after="0"/>
            </w:pPr>
            <w:r>
              <w:rPr>
                <w:sz w:val="17"/>
                <w:szCs w:val="17"/>
              </w:rPr>
              <w:t xml:space="preserve">LOT 224 · SSP O7.2 · LOT_224_Appel_A_V5_Ultra_Pedagogique_Plan_et_Liste.html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6 et point 11 (guides de certificat) ; prévention primaire (Suva) ; evidence not_found n° 3, 4, 5</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utilise le guide ASSM/FMH 2020 ; le guide IST/Unisanté (avril 2016), le guide FMH en ligne (ch. 7.6, 4e version) et le manuel Herzog-Zwitter/Landolt (2025) ne sont pas lus ; prévention des accidents par la Suva non sourcée.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règles de rédaction du certificat d'incapacité de travail (degré, durée, rétroactivité, incapacité ou inaptitude, certificat détaillé) fixent la version la plus récente du guide FMH, du guide ASSM/FMH et du guide Unisanté, et quelles différences présentent-elles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F-110  ·  priorité Moyenne  ·  epidemiologie</w:t>
            </w:r>
          </w:p>
        </w:tc>
        <w:tc>
          <w:tcPr>
            <w:tcW w:w="11200" w:type="dxa"/>
            <w:shd w:val="clear" w:color="auto" w:fill="EBF5FB"/>
            <w:vAlign w:val="top"/>
          </w:tcPr>
          <w:p>
            <w:pPr>
              <w:spacing w:after="0"/>
            </w:pPr>
            <w:r>
              <w:rPr>
                <w:sz w:val="17"/>
                <w:szCs w:val="17"/>
              </w:rPr>
              <w:t xml:space="preserve">LOT 224 · SSP O7.2 · LOT_224_Appel_A_V5_Ultra_Pedagogique_Plan_et_Liste.html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3 Épidémiologie (piège : chiffres 2005) ; evidence not_found n° 8</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des chiffres de 2005 qui excluent les certificats pédiatriques scolaires ; fréquence suisse des certificats scolaires, des dispenses d'éducation physique, des interdictions de travail en grossesse et de la simulation :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données suisses récentes existent sur la fréquence des certificats d'incapacité de travail (OFS, Swiss Health Observatory, assureurs), des absences scolaires pour maladie et des interdictions de travail en grossesse ? Citez la source suisse primaire la plus récente (OFS, Obsan, OFSP, registre ou société savante : titre, année des données, URL, date de consultation). Signalez toute rupture de série. À défaut de donnée suisse, donnez la donnée européenne la plus récente en l'étiquetant comme telle.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F-111  ·  priorité Moyenne  ·  autorisation</w:t>
            </w:r>
          </w:p>
        </w:tc>
        <w:tc>
          <w:tcPr>
            <w:tcW w:w="11200" w:type="dxa"/>
            <w:shd w:val="clear" w:color="auto" w:fill="EBF5FB"/>
            <w:vAlign w:val="top"/>
          </w:tcPr>
          <w:p>
            <w:pPr>
              <w:spacing w:after="0"/>
            </w:pPr>
            <w:r>
              <w:rPr>
                <w:sz w:val="17"/>
                <w:szCs w:val="17"/>
              </w:rPr>
              <w:t xml:space="preserve">LOT 224 · SSP O7.2 · LOT_224_Appel_A_V5_Ultra_Pedagogique_Plan_et_Liste.html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6 (certificats scolaires cantonaux) ; evidence not_found n° 9 et uncertainties n° 5</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seulement la règle vaudoise (RLEO art. 99 al. 2, citée en 2016) ; teneur 2026 non vérifiée.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prévoit en 2026 l'art. 99 RLEO (Vaud), et quelles règles appliquent les cantons de Neuchâtel, Genève, Berne et Zurich pour exiger un certificat médical d'absence scolaire (délai en jours) ? Citez le texte en vigueur (Fedlex : RS, article, alinéa et lettre exacts, état de consolidation, URL) ou l'entrée Swissmedic/AIPS ou la décision officielle, avec date. Comparez avec la version citée dans le cours et signalez tout changement.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F-118  ·  priorité Critique  ·  conduite</w:t>
            </w:r>
          </w:p>
        </w:tc>
        <w:tc>
          <w:tcPr>
            <w:tcW w:w="11200" w:type="dxa"/>
            <w:shd w:val="clear" w:color="auto" w:fill="FADBD8"/>
            <w:vAlign w:val="top"/>
          </w:tcPr>
          <w:p>
            <w:pPr>
              <w:spacing w:after="0"/>
            </w:pPr>
            <w:r>
              <w:rPr>
                <w:sz w:val="17"/>
                <w:szCs w:val="17"/>
              </w:rPr>
              <w:t xml:space="preserve">LOT 225 · SSP O7.3 · LOT_225_Appel_A_V5_Ultra_Pedagogique_Plan_et_Liste.html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V.C › tableau de surveillance (risque de renutrition) ; evidence not_found n° 7</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Friedli 2018 (algorithme chiffré non lu, résumé seulement) ; calendrier chiffré de la surveillance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algorithme de prévention et de traitement du syndrome de renutrition (critères de risque, apport calorique initial par kg, thiamine, phosphate, potassium, magnésium, calendrier de surveillance) fixent Friedli et al. 2018 (consensus suisse) et la ligne directrice ESPEN la plus récente ? Citez la recommandation suisse en vigueur (société savante ou autorité : titre, année, URL) qui fixe cette conduite. Comparez sa version la plus récente avec celle du cours et listez les différences.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F-116  ·  priorité Haute  ·  autorisation</w:t>
            </w:r>
          </w:p>
        </w:tc>
        <w:tc>
          <w:tcPr>
            <w:tcW w:w="11200" w:type="dxa"/>
            <w:shd w:val="clear" w:color="auto" w:fill="FDEBD0"/>
            <w:vAlign w:val="top"/>
          </w:tcPr>
          <w:p>
            <w:pPr>
              <w:spacing w:after="0"/>
            </w:pPr>
            <w:r>
              <w:rPr>
                <w:sz w:val="17"/>
                <w:szCs w:val="17"/>
              </w:rPr>
              <w:t xml:space="preserve">LOT 225 · SSP O7.3 · LOT_225_Appel_A_V5_Ultra_Pedagogique_Plan_et_Liste.html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Fenêtre « Wegovy® et Mounjaro® » et point III (conditions de remboursement) ; evidence not_found n° 8</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exige un déficit de 500 kcal/j documenté, un conseil nutritionnel et une activité physique (durée minimale préalable « donnée non trouvée ») ; les critères OPAS annexe 1 de la chirurgie bariatrique sont résumés par le CHUV.</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limitations de la Liste des spécialités s'appliquent en 2026 à Wegovy® et à Mounjaro® dans l'obésité (IMC, comorbidités, durée préalable de mesures de mode de vie, perte de poids exigée, durée de remboursement, prescripteur), et quels critères fixe l'OPAS annexe 1 pour la chirurgie bariatrique (IMC, âge, centre SMOB) ? Citez le texte en vigueur (Fedlex : RS, article, alinéa et lettre exacts, état de consolidation, URL) ou l'entrée Swissmedic/AIPS ou la décision officielle, avec date. Comparez avec la version citée dans le cours et signalez tout changement.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F-117  ·  priorité Haute  ·  recommandation</w:t>
            </w:r>
          </w:p>
        </w:tc>
        <w:tc>
          <w:tcPr>
            <w:tcW w:w="11200" w:type="dxa"/>
            <w:shd w:val="clear" w:color="auto" w:fill="FDEBD0"/>
            <w:vAlign w:val="top"/>
          </w:tcPr>
          <w:p>
            <w:pPr>
              <w:spacing w:after="0"/>
            </w:pPr>
            <w:r>
              <w:rPr>
                <w:sz w:val="17"/>
                <w:szCs w:val="17"/>
              </w:rPr>
              <w:t xml:space="preserve">LOT 225 · SSP O7.3 · LOT_225_Appel_A_V5_Ultra_Pedagogique_Plan_et_Liste.html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IV › tableau grossesse et allaitement (DX.7), fenêtre « iodurie » ; evidence not_found n° 6 et uncertainties n° 3, 4, 9</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remplace la brochure OSAV/SSN (PDF 404) par la Q&amp;R OSAV 2018 et la synthèse CFN 2015 : produits laitiers 3–4 portions, prise de poids selon l'IOM reprise par la CFN, iode 250 µg/j en allaitement ; apport en iode chiffré en grossesse et compléments :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recommandations nutritionnelles en vigueur de l'OSAV et de la Société suisse de nutrition pour la grossesse et l'allaitement (brochure actuelle, URL) fixent les portions, la prise de poids, l'apport en iode, l'acide folique, la vitamine D, le fer, la vitamine B12 et les oméga-3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F-120  ·  priorité Haute  ·  seuil</w:t>
            </w:r>
          </w:p>
        </w:tc>
        <w:tc>
          <w:tcPr>
            <w:tcW w:w="11200" w:type="dxa"/>
            <w:shd w:val="clear" w:color="auto" w:fill="FDEBD0"/>
            <w:vAlign w:val="top"/>
          </w:tcPr>
          <w:p>
            <w:pPr>
              <w:spacing w:after="0"/>
            </w:pPr>
            <w:r>
              <w:rPr>
                <w:sz w:val="17"/>
                <w:szCs w:val="17"/>
              </w:rPr>
              <w:t xml:space="preserve">LOT 225 · SSP O7.3 · LOT_225_Appel_A_V5_Ultra_Pedagogique_Plan_et_Liste.html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Fenêtre « holotranscobalamine et acide méthylmalonique » ; evidence not_found n° 10 et uncertainties n° 10</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les seuils pédiatriques du guide 2020 (holoTC &gt; 35 pmol/L ; AMM urinaire &lt; 3,6 mmol/mol) et deux schémas de B12 du nourrisson végétalien (COFA 2018 : 0,4 puis 0,8 µg/j ; guide 2020 : 2 × 1 µg ou 5 µg/j).</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seuils adultes de l'holotranscobalamine et de l'acide méthylmalonique, et quelle supplémentation en vitamine B12 de l'adulte, de la femme enceinte et du nourrisson végétaliens recommandent la CFN/OSAV ou une société suisse dans leur version la plus récente ? Donnez la valeur seuil validée, la population de validation (suisse ou germanophone/francophone si possible), la sensibilité et la spécificité, avec la source primaire (titre, année, URL). Signalez toute recommandation suisse ou européenne qui adopte ce seuil.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F-121  ·  priorité Haute  ·  dose</w:t>
            </w:r>
          </w:p>
        </w:tc>
        <w:tc>
          <w:tcPr>
            <w:tcW w:w="11200" w:type="dxa"/>
            <w:shd w:val="clear" w:color="auto" w:fill="FDEBD0"/>
            <w:vAlign w:val="top"/>
          </w:tcPr>
          <w:p>
            <w:pPr>
              <w:spacing w:after="0"/>
            </w:pPr>
            <w:r>
              <w:rPr>
                <w:sz w:val="17"/>
                <w:szCs w:val="17"/>
              </w:rPr>
              <w:t xml:space="preserve">LOT 225 · SSP O7.3 · LOT_225_Appel_A_V5_Ultra_Pedagogique_Plan_et_Liste.html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V.B › cholécalciférol (adaptation hépatique, mécanisme) ; evidence uncertainties n° 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800 UI « dès 60 ans » (CFN 2012) contre « dès 65 ans » (page OSAV seniors) ; adaptation hépatique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âge et quelle dose de supplémentation en vitamine D recommandent la CFN et l'OSAV pour le senior dans leur version la plus récente, et quelles adaptations rénale et hépatique prévoit l'IP suisse des spécialités de cholécalciférol (Vi-De 3®, Streuli®) ? Donnez la posologie selon l'information professionnelle suisse en vigueur (AIPS, swissmedicinfo.ch : spécialité ®, titulaire, date de révision, URL) : dose, voie, rythme, durée et adaptations rénale, hépatique, pédiatrique, grossesse et allaitement. Comparez avec la version citée dans le cours et signalez toute différence. À défaut d'IP suisse, citez la recommandation européenne la plus récente (titre, année,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F-122  ·  priorité Haute  ·  dose</w:t>
            </w:r>
          </w:p>
        </w:tc>
        <w:tc>
          <w:tcPr>
            <w:tcW w:w="11200" w:type="dxa"/>
            <w:shd w:val="clear" w:color="auto" w:fill="FDEBD0"/>
            <w:vAlign w:val="top"/>
          </w:tcPr>
          <w:p>
            <w:pPr>
              <w:spacing w:after="0"/>
            </w:pPr>
            <w:r>
              <w:rPr>
                <w:sz w:val="17"/>
                <w:szCs w:val="17"/>
              </w:rPr>
              <w:t xml:space="preserve">LOT 225 · SSP O7.3 · LOT_225_Appel_A_V5_Ultra_Pedagogique_Plan_et_Liste.html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V.B › vitamine K du nouveau-né (adaptation) ; evidence uncertainties n° 2</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oppose le schéma de l'IP Konakion® (naissance, J4–7, S4–6) au schéma suisse publié (H4, J4, S4 ; Laubscher 2026) et retient l'IP en premier ; adaptation rénale non précisée.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schéma de prophylaxie par vitamine K du nouveau-né (doses, âges, voie, nourrisson allaité, cholestase) recommandent Pédiatrie Suisse/SSN et l'IP Konakion® MM pédiatrique dans leurs versions en vigueur ? Donnez la posologie selon l'information professionnelle suisse en vigueur (AIPS, swissmedicinfo.ch : spécialité ®, titulaire, date de révision, URL) : dose, voie, rythme, durée et adaptations rénale, hépatique, pédiatrique, grossesse et allaitement. Comparez avec la version citée dans le cours et signalez toute différence. À défaut d'IP suisse, citez la recommandation européenne la plus récente (titre, année,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F-124  ·  priorité Haute  ·  seuil</w:t>
            </w:r>
          </w:p>
        </w:tc>
        <w:tc>
          <w:tcPr>
            <w:tcW w:w="11200" w:type="dxa"/>
            <w:shd w:val="clear" w:color="auto" w:fill="FDEBD0"/>
            <w:vAlign w:val="top"/>
          </w:tcPr>
          <w:p>
            <w:pPr>
              <w:spacing w:after="0"/>
            </w:pPr>
            <w:r>
              <w:rPr>
                <w:sz w:val="17"/>
                <w:szCs w:val="17"/>
              </w:rPr>
              <w:t xml:space="preserve">LOT 225 · SSP O7.3 · LOT_225_Appel_A_V5_Ultra_Pedagogique_Plan_et_Liste.html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Tableau comparatif DX.6 (MASLD) ; evidence not_found n° 2</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l'élastographie (LSM 15/20 kPa) et la perte de poids de 5 %, 7–10 %, ≥ 10 % (EASL) ; seuils du FIB-4 (figure EASL 2024 non lue) et prévalence suisse de la MASLD :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seuils du FIB-4 (bas, haut, âge &gt; 65 ans) et quel algorithme de dépistage de la fibrose recommande la ligne directrice EASL-EASD-EASO 2024 sur la MASLD, et quelle prévalence suisse de la MASLD est publiée ? Donnez la valeur seuil validée, la population de validation (suisse ou germanophone/francophone si possible), la sensibilité et la spécificité, avec la source primaire (titre, année, URL). Signalez toute recommandation suisse ou européenne qui adopte ce seuil.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F-115  ·  priorité Moyenne  ·  autorisation</w:t>
            </w:r>
          </w:p>
        </w:tc>
        <w:tc>
          <w:tcPr>
            <w:tcW w:w="11200" w:type="dxa"/>
            <w:shd w:val="clear" w:color="auto" w:fill="EBF5FB"/>
            <w:vAlign w:val="top"/>
          </w:tcPr>
          <w:p>
            <w:pPr>
              <w:spacing w:after="0"/>
            </w:pPr>
            <w:r>
              <w:rPr>
                <w:sz w:val="17"/>
                <w:szCs w:val="17"/>
              </w:rPr>
              <w:t xml:space="preserve">LOT 225 · SSP O7.3 · LOT_225_Appel_A_V5_Ultra_Pedagogique_Plan_et_Liste.html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Fenêtre « temps d'allaitement » (point III) ; evidence not_found n° 9</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l'OSAV, non l'article : l'OLT 1 n'a pas été lue sur Fedlex.</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article de l'OLT 1 (art. 60 ?) fixe le temps d'allaitement rémunéré pendant la première année (durées selon la journée de travail), avec son texte en vigueur ? Citez le texte en vigueur (Fedlex : RS, article, alinéa et lettre exacts, état de consolidation, URL) ou l'entrée Swissmedic/AIPS ou la décision officielle, avec date. Comparez avec la version citée dans le cours et signalez tout changement.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F-119  ·  priorité Moyenne  ·  seuil</w:t>
            </w:r>
          </w:p>
        </w:tc>
        <w:tc>
          <w:tcPr>
            <w:tcW w:w="11200" w:type="dxa"/>
            <w:shd w:val="clear" w:color="auto" w:fill="EBF5FB"/>
            <w:vAlign w:val="top"/>
          </w:tcPr>
          <w:p>
            <w:pPr>
              <w:spacing w:after="0"/>
            </w:pPr>
            <w:r>
              <w:rPr>
                <w:sz w:val="17"/>
                <w:szCs w:val="17"/>
              </w:rPr>
              <w:t xml:space="preserve">LOT 225 · SSP O7.3 · LOT_225_Appel_A_V5_Ultra_Pedagogique_Plan_et_Liste.html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Fenêtre « NRS 2002 » (point IV.A)</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les seuils 0–2 et ≥ 3, mais la composition exacte du score n'a pas été lue (résumé).</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composition exacte du NRS 2002 (pré-dépistage, état nutritionnel, gravité de la maladie, âge ≥ 70 ans) et quelle conduite recommande l'ESPEN pour chaque score ? Donnez la valeur seuil validée, la population de validation (suisse ou germanophone/francophone si possible), la sensibilité et la spécificité, avec la source primaire (titre, année, URL). Signalez toute recommandation suisse ou européenne qui adopte ce seuil.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F-123  ·  priorité Moyenne  ·  dose</w:t>
            </w:r>
          </w:p>
        </w:tc>
        <w:tc>
          <w:tcPr>
            <w:tcW w:w="11200" w:type="dxa"/>
            <w:shd w:val="clear" w:color="auto" w:fill="EBF5FB"/>
            <w:vAlign w:val="top"/>
          </w:tcPr>
          <w:p>
            <w:pPr>
              <w:spacing w:after="0"/>
            </w:pPr>
            <w:r>
              <w:rPr>
                <w:sz w:val="17"/>
                <w:szCs w:val="17"/>
              </w:rPr>
              <w:t xml:space="preserve">LOT 225 · SSP O7.3 · LOT_225_Appel_A_V5_Ultra_Pedagogique_Plan_et_Liste.html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V.B › acide folique et vitamine C/supplément (adaptations rénale et hépatique)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adaptation rénale ou hépatique de l'acide folique et adaptation hépatique du supplément à risque d'hyperoxalurie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adaptations rénale et hépatique prévoient les IP suisses des spécialités d'acide folique (0,4 mg et 5 mg) et de vitamine C citées dans le cours ? Donnez la posologie selon l'information professionnelle suisse en vigueur (AIPS, swissmedicinfo.ch : spécialité ®, titulaire, date de révision, URL) : dose, voie, rythme, durée et adaptations rénale, hépatique, pédiatrique, grossesse et allaitement. Comparez avec la version citée dans le cours et signalez toute différence. À défaut d'IP suisse, citez la recommandation européenne la plus récente (titre, année,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F-125  ·  priorité Moyenne  ·  recommandation</w:t>
            </w:r>
          </w:p>
        </w:tc>
        <w:tc>
          <w:tcPr>
            <w:tcW w:w="11200" w:type="dxa"/>
            <w:shd w:val="clear" w:color="auto" w:fill="EBF5FB"/>
            <w:vAlign w:val="top"/>
          </w:tcPr>
          <w:p>
            <w:pPr>
              <w:spacing w:after="0"/>
            </w:pPr>
            <w:r>
              <w:rPr>
                <w:sz w:val="17"/>
                <w:szCs w:val="17"/>
              </w:rPr>
              <w:t xml:space="preserve">LOT 225 · SSP O7.3 · LOT_225_Appel_A_V5_Ultra_Pedagogique_Plan_et_Liste.html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IV › recommandations cardiovasculaires (ESC 2021 prévention, ESC 2024 HTA, sodium) ; evidence not_found n° 3, 4, 12 et uncertainties n° 5</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tableau 8 de l'ESC 2021 (fibres, fruits, légumes, viande rouge) et les classes de l'ESC 2024 HTA ne sont pas lus ; sodium : ESC 2024 ≈ 2 g/j, OMS/OSAV &lt; 5 g de sel, He 2013 3 g/j ; guides GSLA 2024–2025 payants.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valeurs chiffrées d'alimentation (fibres, fruits et légumes, viande rouge, sel/sodium, alcool) et quelles classes de recommandation donnent l'ESC 2021 (prévention), l'ESC 2024 (HTA) et les guides suisses GSLA les plus récents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F-126  ·  priorité Moyenne  ·  epidemiologie</w:t>
            </w:r>
          </w:p>
        </w:tc>
        <w:tc>
          <w:tcPr>
            <w:tcW w:w="11200" w:type="dxa"/>
            <w:shd w:val="clear" w:color="auto" w:fill="EBF5FB"/>
            <w:vAlign w:val="top"/>
          </w:tcPr>
          <w:p>
            <w:pPr>
              <w:spacing w:after="0"/>
            </w:pPr>
            <w:r>
              <w:rPr>
                <w:sz w:val="17"/>
                <w:szCs w:val="17"/>
              </w:rPr>
              <w:t xml:space="preserve">LOT 225 · SSP O7.3 · LOT_225_Appel_A_V5_Ultra_Pedagogique_Plan_et_Liste.html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Point II › tableau de la situation nutritionnelle (cholestérol élevé, surpoids de l'enfant, végétalisme) ; evidence not_found n° 1, 5 et uncertainties n° 6, 7, 8</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n'a pas trouvé l'indicateur MonAM du cholestérol (URL 404) ; surpoids de l'enfant 16,7 % par relais secondaire (monitorage 2025 protégé) ; végétalisme 0,38 % (menuCH) contre 3 % (Swissveg) ; coquille probable « 2002 » pour « 2022 » dans l'Obsan.</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chiffres suisses récents publient l'Obsan/MonAM et Promotion Santé Suisse sur le cholestérol élevé, le surpoids et l'obésité de l'adulte (ESS 2022, par sexe) et de l'enfant (monitorage IMC 2025), et quelle part de végétariens et de végétaliens rapporte une source officielle (menuCH 2, OSAV) ? Citez la source suisse primaire la plus récente (OFS, Obsan, OFSP, registre ou société savante : titre, année des données, URL, date de consultation). Signalez toute rupture de série. À défaut de donnée suisse, donnez la donnée européenne la plus récente en l'étiquetant comme telle.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F-127  ·  priorité Moyenne  ·  recommandation</w:t>
            </w:r>
          </w:p>
        </w:tc>
        <w:tc>
          <w:tcPr>
            <w:tcW w:w="11200" w:type="dxa"/>
            <w:shd w:val="clear" w:color="auto" w:fill="EBF5FB"/>
            <w:vAlign w:val="top"/>
          </w:tcPr>
          <w:p>
            <w:pPr>
              <w:spacing w:after="0"/>
            </w:pPr>
            <w:r>
              <w:rPr>
                <w:sz w:val="17"/>
                <w:szCs w:val="17"/>
              </w:rPr>
              <w:t xml:space="preserve">LOT 225 · SSP O7.3 · LOT_225_Appel_A_V5_Ultra_Pedagogique_Plan_et_Liste.html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Fenêtre « Planetary Health Diet (EAT-Lancet) » ; evidence not_found n° 11</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ne cite que la position de l'OSAV dans sa FAQ ; les rapports EAT-Lancet 2019 et 2025 ne sont pas lus.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quantités de référence par groupe d'aliments propose le rapport EAT-Lancet 2025 par rapport à 2019, et quelle position adopte la stratégie suisse de nutrition ou la pyramide alimentaire 2024 de l'OSAV à leur égard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F-128  ·  priorité Moyenne  ·  conduite</w:t>
            </w:r>
          </w:p>
        </w:tc>
        <w:tc>
          <w:tcPr>
            <w:tcW w:w="11200" w:type="dxa"/>
            <w:shd w:val="clear" w:color="auto" w:fill="EBF5FB"/>
            <w:vAlign w:val="top"/>
          </w:tcPr>
          <w:p>
            <w:pPr>
              <w:spacing w:after="0"/>
            </w:pPr>
            <w:r>
              <w:rPr>
                <w:sz w:val="17"/>
                <w:szCs w:val="17"/>
              </w:rPr>
              <w:t xml:space="preserve">LOT 225 · SSP O7.3 · LOT_225_Appel_A_V5_Ultra_Pedagogique_Plan_et_Liste.html (brouillon Appel A non audité)</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Tableau comparatif DX.10 (anorexie mentale, remboursement)</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les seuils IMC &lt; 15 et perte &gt; 20 % en 6 mois et CC 426 et 434 ; remboursement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critères d'hospitalisation de l'anorexie mentale recommande une source suisse (SSPPEA, Expertise Network for Eating Disorders Switzerland) ou européenne, et quelle prise en charge LAMal s'applique au conseil diététique (OPAS art. 9b) dans les troubles alimentaires ? Citez la recommandation suisse en vigueur (société savante ou autorité : titre, année, URL) qui fixe cette conduite. Comparez sa version la plus récente avec celle du cours et listez les différences.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F-130  ·  priorité Haute  ·  dose</w:t>
            </w:r>
          </w:p>
        </w:tc>
        <w:tc>
          <w:tcPr>
            <w:tcW w:w="11200" w:type="dxa"/>
            <w:shd w:val="clear" w:color="auto" w:fill="FDEBD0"/>
            <w:vAlign w:val="top"/>
          </w:tcPr>
          <w:p>
            <w:pPr>
              <w:spacing w:after="0"/>
            </w:pPr>
            <w:r>
              <w:rPr>
                <w:sz w:val="17"/>
                <w:szCs w:val="17"/>
              </w:rPr>
              <w:t xml:space="preserve">LOT 226 · SSP O7.4 · evidence.json (LOT_226, dossier de preuves ; fichiers HTML du cours non encore produits)</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not_found n° 5 (point 11.B, sevrage tabagique)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L'IP des substituts nicotiniques (Nicotinell®, Nicorette®) n'est pas lue ; aucune spécialité de varénicline n'est trouvée dans la Liste des spécialités le 22.10.2026 ; Zyban® est présent dans le dossier.</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spécialités de sevrage tabagique sont autorisées et remboursées en Suisse en 2026 (varénicline : retrait de Champix®, génériques ; cytisine ; bupropion), et quelles posologies des substituts nicotiniques (patch, gomme, spray) prévoient leurs IP suisses ? Donnez la posologie selon l'information professionnelle suisse en vigueur (AIPS, swissmedicinfo.ch : spécialité ®, titulaire, date de révision, URL) : dose, voie, rythme, durée et adaptations rénale, hépatique, pédiatrique, grossesse et allaitement. Comparez avec la version citée dans le cours et signalez toute différence. À défaut d'IP suisse, citez la recommandation européenne la plus récente (titre, année,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F-129  ·  priorité Moyenne  ·  epidemiologie</w:t>
            </w:r>
          </w:p>
        </w:tc>
        <w:tc>
          <w:tcPr>
            <w:tcW w:w="11200" w:type="dxa"/>
            <w:shd w:val="clear" w:color="auto" w:fill="EBF5FB"/>
            <w:vAlign w:val="top"/>
          </w:tcPr>
          <w:p>
            <w:pPr>
              <w:spacing w:after="0"/>
            </w:pPr>
            <w:r>
              <w:rPr>
                <w:sz w:val="17"/>
                <w:szCs w:val="17"/>
              </w:rPr>
              <w:t xml:space="preserve">LOT 226 · SSP O7.4 · evidence.json (LOT_226, dossier de preuves ; fichiers HTML du cours non encore produits)</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not_found n° 1, 2, 3, 4, 12 et uncertainties n° 3 (point 3 Épidémiologie)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dossier utilise l'ESS 2022 (33,7 % H, 38,2 % F de maladies chroniques) ; « 2,2 millions » (OFSP) non vérifié ; multimorbidité Obsan, dépression des malades chroniques, tabagisme passif MonAM et heures d'aide informelle (OFS 2022) non trouvés ; renoncement aux soins 5,5 % (MonAM 2024) contre 2,7–3,0 % (SILC 2021) avec rupture de série.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chiffres suisses récents publient l'OFSP, l'Obsan et l'OFS sur le nombre de personnes atteintes de maladies chroniques, la multimorbidité, la dépression chez les malades chroniques, l'exposition au tabagisme passif, les heures d'aide informelle des proches aidants et le renoncement aux soins pour raisons financières ? Citez la source suisse primaire la plus récente (OFS, Obsan, OFSP, registre ou société savante : titre, année des données, URL, date de consultation). Signalez toute rupture de série. À défaut de donnée suisse, donnez la donnée européenne la plus récente en l'étiquetant comme telle.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F-131  ·  priorité Moyenne  ·  recommandation</w:t>
            </w:r>
          </w:p>
        </w:tc>
        <w:tc>
          <w:tcPr>
            <w:tcW w:w="11200" w:type="dxa"/>
            <w:shd w:val="clear" w:color="auto" w:fill="EBF5FB"/>
            <w:vAlign w:val="top"/>
          </w:tcPr>
          <w:p>
            <w:pPr>
              <w:spacing w:after="0"/>
            </w:pPr>
            <w:r>
              <w:rPr>
                <w:sz w:val="17"/>
                <w:szCs w:val="17"/>
              </w:rPr>
              <w:t xml:space="preserve">LOT 226 · SSP O7.4 · evidence.json (LOT_226, dossier de preuves ; fichiers HTML du cours non encore produits)</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not_found n° 7 et uncertainties n° 6, 7 (environnement, canicule)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dossier utilise le document cantonal DGS Vaud 2019 et le monitoring Swiss TPH (410 décès dus à la chaleur en 2025) ; la page OFSP « canicule » et la fiche « Trois règles d'or » ne sont pas lues.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recommandations de l'OFSP en cas de canicule (« Trois règles d'or », adaptation des médicaments chez la personne âgée, plans cantonaux) sont en vigueur en 2026, avec URL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F-132  ·  priorité Moyenne  ·  epidemiologie</w:t>
            </w:r>
          </w:p>
        </w:tc>
        <w:tc>
          <w:tcPr>
            <w:tcW w:w="11200" w:type="dxa"/>
            <w:shd w:val="clear" w:color="auto" w:fill="EBF5FB"/>
            <w:vAlign w:val="top"/>
          </w:tcPr>
          <w:p>
            <w:pPr>
              <w:spacing w:after="0"/>
            </w:pPr>
            <w:r>
              <w:rPr>
                <w:sz w:val="17"/>
                <w:szCs w:val="17"/>
              </w:rPr>
              <w:t xml:space="preserve">LOT 226 · SSP O7.4 · evidence.json (LOT_226, dossier de preuves ; fichiers HTML du cours non encore produits)</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not_found n° 8 et uncertainties n° 5 (pollution de l'air)</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dossier cite l'OFEV (« plus de 2000 décès évitables par an si valeurs OMS ») et la valeur légale PM2,5 de 10 µg/m³ (OPair) contre 5 µg/m³ (OMS 2021, CFHA 2023).</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Combien de décès sont attribuables à la pollution de l'air en Suisse selon la source officielle la plus récente (OFEV, ARE, Swiss TPH), et le Conseil fédéral a-t-il révisé les valeurs limites de l'OPair (PM2,5, PM10, NO2) après la recommandation CFHA 2023 ? Citez la source suisse primaire la plus récente (OFS, Obsan, OFSP, registre ou société savante : titre, année des données, URL, date de consultation). Signalez toute rupture de série. À défaut de donnée suisse, donnez la donnée européenne la plus récente en l'étiquetant comme telle.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F-133  ·  priorité Moyenne  ·  recommandation</w:t>
            </w:r>
          </w:p>
        </w:tc>
        <w:tc>
          <w:tcPr>
            <w:tcW w:w="11200" w:type="dxa"/>
            <w:shd w:val="clear" w:color="auto" w:fill="EBF5FB"/>
            <w:vAlign w:val="top"/>
          </w:tcPr>
          <w:p>
            <w:pPr>
              <w:spacing w:after="0"/>
            </w:pPr>
            <w:r>
              <w:rPr>
                <w:sz w:val="17"/>
                <w:szCs w:val="17"/>
              </w:rPr>
              <w:t xml:space="preserve">LOT 226 · SSP O7.4 · evidence.json (LOT_226, dossier de preuves ; fichiers HTML du cours non encore produits)</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not_found n° 9 et uncertainties n° 12 (transition et discernement du mineur)</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Aucune donnée ni recommandation suisse de transition pédiatrie–médecine adulte (position ESPGHAN/EASL utilisée) ; les repères d'âge de capacité de discernement (7, 12, 16 ans) sont des repères de doctrine cités par l'ASSM, non des seuils légaux.</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Existe-t-il une recommandation suisse sur la transition des adolescents atteints de maladie chronique (Pédiatrie Suisse, SSMIG, ASSM), et quels repères d'âge de capacité de discernement pour les décisions médicales retiennent l'ASSM et la jurisprudence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F-134  ·  priorité Moyenne  ·  autorisation</w:t>
            </w:r>
          </w:p>
        </w:tc>
        <w:tc>
          <w:tcPr>
            <w:tcW w:w="11200" w:type="dxa"/>
            <w:shd w:val="clear" w:color="auto" w:fill="EBF5FB"/>
            <w:vAlign w:val="top"/>
          </w:tcPr>
          <w:p>
            <w:pPr>
              <w:spacing w:after="0"/>
            </w:pPr>
            <w:r>
              <w:rPr>
                <w:sz w:val="17"/>
                <w:szCs w:val="17"/>
              </w:rPr>
              <w:t xml:space="preserve">LOT 226 · SSP O7.4 · evidence.json (LOT_226, dossier de preuves ; fichiers HTML du cours non encore produits)</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not_found n° 10 (interprétariat communautaire)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La CNE 2017 décrit un financement non assuré au niveau national ; le financement LAMal de l'interprétariat n'est pas documenté.</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L'interprétariat communautaire est-il remboursé par la LAMal ou par un tarif (TARMED/TARDOC, forfaits) en 2026, et quelles recommandations de l'OFSP ou d'INTERPRET encadrent son recours ? Citez le texte en vigueur (Fedlex : RS, article, alinéa et lettre exacts, état de consolidation, URL) ou l'entrée Swissmedic/AIPS ou la décision officielle, avec date. Comparez avec la version citée dans le cours et signalez tout changement.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F-135  ·  priorité Moyenne  ·  recommandation</w:t>
            </w:r>
          </w:p>
        </w:tc>
        <w:tc>
          <w:tcPr>
            <w:tcW w:w="11200" w:type="dxa"/>
            <w:shd w:val="clear" w:color="auto" w:fill="EBF5FB"/>
            <w:vAlign w:val="top"/>
          </w:tcPr>
          <w:p>
            <w:pPr>
              <w:spacing w:after="0"/>
            </w:pPr>
            <w:r>
              <w:rPr>
                <w:sz w:val="17"/>
                <w:szCs w:val="17"/>
              </w:rPr>
              <w:t xml:space="preserve">LOT 226 · SSP O7.4 · evidence.json (LOT_226, dossier de preuves ; fichiers HTML du cours non encore produits)</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not_found n° 11 (facteurs psychosociaux du risque cardiovasculaire)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Les lignes directrices ESC 2021 de prévention (facteurs psychosociaux) ne sont pas lues en texte intégral.</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recommandations (classe et niveau) l'ESC 2021 de prévention cardiovasculaire, ou une version plus récente, formule-t-elle sur le dépistage et la prise en charge des facteurs psychosociaux (stress, dépression, isolement)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F-001  ·  priorité Haute  ·  dose</w:t>
            </w:r>
          </w:p>
        </w:tc>
        <w:tc>
          <w:tcPr>
            <w:tcW w:w="11200" w:type="dxa"/>
            <w:shd w:val="clear" w:color="auto" w:fill="FDEBD0"/>
            <w:vAlign w:val="top"/>
          </w:tcPr>
          <w:p>
            <w:pPr>
              <w:spacing w:after="0"/>
            </w:pPr>
            <w:r>
              <w:rPr>
                <w:sz w:val="17"/>
                <w:szCs w:val="17"/>
              </w:rPr>
              <w:t xml:space="preserve">LOT 247 · SSP O7.25 · LOT_247_Appel_A_V5_Ultra_Pedagogique_Plan_et_Liste.html ; LOT_247_Appel_B_V5_Ultra_Pedagogique_Partie_1_DX.1_a_DX.2.html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11.B › tableau des moyens pharmacologiques (olaparib) ; Partie 1 › DX.1 BRCA › point 11.B</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Lynparza® 300 mg 2×/j, ClCr 31–50 mL/min : 200 mg 2×/j, ≤ 30 mL/min : non recommandé ; adaptation hépatique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l'adaptation de dose de l'olaparib (Lynparza®) en insuffisance hépatique légère, modérée et sévère selon l'IP suisse, et quelles sont les indications suisses actuelles liées à un variant germinal BRCA ? Donnez la posologie selon l'information professionnelle suisse en vigueur (AIPS, swissmedicinfo.ch : spécialité ®, titulaire, date de révision, URL) : dose, voie, rythme, durée et adaptations rénale, hépatique, pédiatrique, grossesse et allaitement. Comparez avec la version citée dans le cours et signalez toute différence. À défaut d'IP suisse, citez la recommandation européenne la plus récente (titre, année,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F-002  ·  priorité Haute  ·  dose</w:t>
            </w:r>
          </w:p>
        </w:tc>
        <w:tc>
          <w:tcPr>
            <w:tcW w:w="11200" w:type="dxa"/>
            <w:shd w:val="clear" w:color="auto" w:fill="FDEBD0"/>
            <w:vAlign w:val="top"/>
          </w:tcPr>
          <w:p>
            <w:pPr>
              <w:spacing w:after="0"/>
            </w:pPr>
            <w:r>
              <w:rPr>
                <w:sz w:val="17"/>
                <w:szCs w:val="17"/>
              </w:rPr>
              <w:t xml:space="preserve">LOT 247 · SSP O7.25 · LOT_247_Appel_A_V5_Ultra_Pedagogique_Plan_et_Liste.html ; LOT_247_Appel_B_V5_Ultra_Pedagogique_Partie_1_DX.1_a_DX.2.html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11.B › tamoxifène ; Partie 1 › DX.1 › point 11.B et point 9 (grossesse)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Tamoxifen Farmos 20 mg/j 5 ans en adjuvant ; la chimioprévention n'est pas mentionnée dans l'IP suisse (NICE : 5 ans chez la préménopausée à haut risque) ; adaptation rénale/hépatique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Le tamoxifène possède-t-il en Suisse une indication de chimioprévention chez la femme à haut risque (BRCA ou risque familial), quelle est la position suisse ou européenne (ESMO 2023 HBOC) sur cette chimioprévention, et quelles adaptations rénales et hépatiques prévoit l'IP suisse ? Donnez la posologie selon l'information professionnelle suisse en vigueur (AIPS, swissmedicinfo.ch : spécialité ®, titulaire, date de révision, URL) : dose, voie, rythme, durée et adaptations rénale, hépatique, pédiatrique, grossesse et allaitement. Comparez avec la version citée dans le cours et signalez toute différence. À défaut d'IP suisse, citez la recommandation européenne la plus récente (titre, année,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F-003  ·  priorité Haute  ·  recommandation</w:t>
            </w:r>
          </w:p>
        </w:tc>
        <w:tc>
          <w:tcPr>
            <w:tcW w:w="11200" w:type="dxa"/>
            <w:shd w:val="clear" w:color="auto" w:fill="FDEBD0"/>
            <w:vAlign w:val="top"/>
          </w:tcPr>
          <w:p>
            <w:pPr>
              <w:spacing w:after="0"/>
            </w:pPr>
            <w:r>
              <w:rPr>
                <w:sz w:val="17"/>
                <w:szCs w:val="17"/>
              </w:rPr>
              <w:t xml:space="preserve">LOT 247 · SSP O7.25 · LOT_247_Appel_A_V5_Ultra_Pedagogique_Plan_et_Liste.html ; LOT_247_Appel_B_V5_Ultra_Pedagogique_Partie_1_DX.1_a_DX.2.html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11.B › acide acétylsalicylique ; Partie 1 › DX.2 Lynch › point 11.B et 11.C</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Aspirine Cardio® 100/300 (indications suisses cardiovasculaires seulement), CAPP2 600 mg/j, EHTG au minimum 75–100 mg/j ; adaptation, durée et calendrier biologique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dose, quelle durée et quelle surveillance de l'aspirine en chimioprévention du syndrome de Lynch recommandent les sources européennes les plus récentes (EHTG/ESCP, ESMO, résultats CAPP3 s'ils sont publiés), et l'usage reste-t-il hors indication en Suisse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F-004  ·  priorité Haute  ·  dose</w:t>
            </w:r>
          </w:p>
        </w:tc>
        <w:tc>
          <w:tcPr>
            <w:tcW w:w="11200" w:type="dxa"/>
            <w:shd w:val="clear" w:color="auto" w:fill="FDEBD0"/>
            <w:vAlign w:val="top"/>
          </w:tcPr>
          <w:p>
            <w:pPr>
              <w:spacing w:after="0"/>
            </w:pPr>
            <w:r>
              <w:rPr>
                <w:sz w:val="17"/>
                <w:szCs w:val="17"/>
              </w:rPr>
              <w:t xml:space="preserve">LOT 247 · SSP O7.25 · LOT_247_Appel_A_V5_Ultra_Pedagogique_Plan_et_Liste.html ; LOT_247_Appel_B_V5_Ultra_Pedagogique_Partie_2_DX.3_a_DX.5.html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11.B › statines, ézétimibe, anti-PCSK9, inclisiran ; Partie 2 › DX.4 HF › point 11.B</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Sortis® 10–80 mg, Ezetrol® 10 mg, Repatha® 140 mg/2 sem ou 420 mg/mois, Leqvio® 284 mg J0/M3/6 mois ; adaptations rénale/hépatique « donnée non trouvée » ; posologies suisses de rosuvastatine, bempédoate et évinacumab non trouvées.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adaptations rénales et hépatiques prévoient les IP suisses de l'atorvastatine, de l'ézétimibe, de l'évolocumab et de l'inclisiran, et quelles spécialités et posologies suisses existent pour la rosuvastatine, l'acide bempédoïque (seul ou associé) et l'évinacumab dans l'hypercholestérolémie familiale hétéro- et homozygote ? Donnez la posologie selon l'information professionnelle suisse en vigueur (AIPS, swissmedicinfo.ch : spécialité ®, titulaire, date de révision, URL) : dose, voie, rythme, durée et adaptations rénale, hépatique, pédiatrique, grossesse et allaitement. Comparez avec la version citée dans le cours et signalez toute différence. À défaut d'IP suisse, citez la recommandation européenne la plus récente (titre, année,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F-005  ·  priorité Haute  ·  autorisation</w:t>
            </w:r>
          </w:p>
        </w:tc>
        <w:tc>
          <w:tcPr>
            <w:tcW w:w="11200" w:type="dxa"/>
            <w:shd w:val="clear" w:color="auto" w:fill="FDEBD0"/>
            <w:vAlign w:val="top"/>
          </w:tcPr>
          <w:p>
            <w:pPr>
              <w:spacing w:after="0"/>
            </w:pPr>
            <w:r>
              <w:rPr>
                <w:sz w:val="17"/>
                <w:szCs w:val="17"/>
              </w:rPr>
              <w:t xml:space="preserve">LOT 247 · SSP O7.25 · LOT_247_Appel_A_V5_Ultra_Pedagogique_Plan_et_Liste.html ; LOT_247_Appel_B_V5_Ultra_Pedagogique_Partie_2_DX.3_a_DX.5.html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fenêtre 2.2 (remboursement) et piège d'examen ; tableau comparatif DX.4 ; Partie 2 › fenêtre 4.1 et fenêtre exigences d'autorisation</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que le test génétique de l'HF n'était pas remboursé en 2022 [S32] ; situation 2026 et positions tarifaires de la Liste des analyses (LA) « donnée non trouvée ». OPAS art. 12d let. f est cité pour les cancers héréditaires.</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La Liste des analyses (LA, annexe 3 OPAS) en vigueur en 2026 rembourse-t-elle le test génétique de l'hypercholestérolémie familiale, et quelles positions du chapitre génétique (cancers héréditaires, HF, hémochromatose, CFTR, FMR1, HTT, pharmacogénétique DPYD/HLA-B*57:01) existent, avec leurs conditions de prescription ? Citez le texte en vigueur (Fedlex : RS, article, alinéa et lettre exacts, état de consolidation, URL) ou l'entrée Swissmedic/AIPS ou la décision officielle, avec date. Comparez avec la version citée dans le cours et signalez tout changement.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F-007  ·  priorité Haute  ·  dose</w:t>
            </w:r>
          </w:p>
        </w:tc>
        <w:tc>
          <w:tcPr>
            <w:tcW w:w="11200" w:type="dxa"/>
            <w:shd w:val="clear" w:color="auto" w:fill="FDEBD0"/>
            <w:vAlign w:val="top"/>
          </w:tcPr>
          <w:p>
            <w:pPr>
              <w:spacing w:after="0"/>
            </w:pPr>
            <w:r>
              <w:rPr>
                <w:sz w:val="17"/>
                <w:szCs w:val="17"/>
              </w:rPr>
              <w:t xml:space="preserve">LOT 247 · SSP O7.25 · LOT_247_Appel_A_V5_Ultra_Pedagogique_Plan_et_Liste.html ; LOT_247_Appel_B_V5_Ultra_Pedagogique_Partie_3_DX.6_a_DX.7.html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11.B › bêtabloquant du QT long ; Partie 3 › DX.7 › point 11.B</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Inderal® (posologie orientée HTA : 80 mg 2×/j, 160–320 mg/j ; enfant 2–3 mg/kg/j) ; spécialité suisse du nadolol et posologie de la mexilétine (QT long de type 3) non trouvées. Question pendante du HELP LOT_247 V1 n° 18.</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Le nadolol et la mexilétine sont-ils autorisés ou importables en Suisse (spécialité, voie d'obtention), et quelles posologies du propranolol, du nadolol et de la mexilétine recommande la ligne directrice ESC 2022 (arythmies ventriculaires) dans le syndrome du QT long chez l'adulte et l'enfant ? Donnez la posologie selon l'information professionnelle suisse en vigueur (AIPS, swissmedicinfo.ch : spécialité ®, titulaire, date de révision, URL) : dose, voie, rythme, durée et adaptations rénale, hépatique, pédiatrique, grossesse et allaitement. Comparez avec la version citée dans le cours et signalez toute différence. À défaut d'IP suisse, citez la recommandation européenne la plus récente (titre, année,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F-009  ·  priorité Haute  ·  dose</w:t>
            </w:r>
          </w:p>
        </w:tc>
        <w:tc>
          <w:tcPr>
            <w:tcW w:w="11200" w:type="dxa"/>
            <w:shd w:val="clear" w:color="auto" w:fill="FDEBD0"/>
            <w:vAlign w:val="top"/>
          </w:tcPr>
          <w:p>
            <w:pPr>
              <w:spacing w:after="0"/>
            </w:pPr>
            <w:r>
              <w:rPr>
                <w:sz w:val="17"/>
                <w:szCs w:val="17"/>
              </w:rPr>
              <w:t xml:space="preserve">LOT 247 · SSP O7.25 · LOT_247_Appel_A_V5_Ultra_Pedagogique_Plan_et_Liste.html ; LOT_247_Appel_B_V5_Ultra_Pedagogique_Partie_4_DX.8_a_DX.10.html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11.B › fluoropyrimidines et 11.C (DX.10) ; Partie 4 › DX.10 › points 9, 11.C, 11.D</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les réductions selon le score d'activité DPYD (1 : −50 % ; 1,5 : −25–50 % ; 0/0,5 : éviter) [S62], Xeloda®, Fluorouracil Accord® ; adaptations rénale/hépatique et calendrier biologique « donnée non trouvée » ; texte intégral SMW 2020 (DPYD Suisse) non lu.</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adaptations rénale et hépatique les IP suisses de Xeloda® et du 5-fluorouracile prévoient-elles, la Suisse impose-t-elle un génotypage ou un phénotypage DPD avant traitement (Swissmedic, recommandation suisse de pharmacogénomique SMW 2020 ou plus récente), et quel calendrier de surveillance (formule sanguine, toxicité, dosage du 5-FU) est recommandé chez le porteur ? Donnez la posologie selon l'information professionnelle suisse en vigueur (AIPS, swissmedicinfo.ch : spécialité ®, titulaire, date de révision, URL) : dose, voie, rythme, durée et adaptations rénale, hépatique, pédiatrique, grossesse et allaitement. Comparez avec la version citée dans le cours et signalez toute différence. À défaut d'IP suisse, citez la recommandation européenne la plus récente (titre, année,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F-011  ·  priorité Haute  ·  recommandation</w:t>
            </w:r>
          </w:p>
        </w:tc>
        <w:tc>
          <w:tcPr>
            <w:tcW w:w="11200" w:type="dxa"/>
            <w:shd w:val="clear" w:color="auto" w:fill="FDEBD0"/>
            <w:vAlign w:val="top"/>
          </w:tcPr>
          <w:p>
            <w:pPr>
              <w:spacing w:after="0"/>
            </w:pPr>
            <w:r>
              <w:rPr>
                <w:sz w:val="17"/>
                <w:szCs w:val="17"/>
              </w:rPr>
              <w:t xml:space="preserve">LOT 247 · SSP O7.25 · LOT_247_Appel_A_V5_Ultra_Pedagogique_Plan_et_Liste.html ; LOT_247_Appel_B_V5_Ultra_Pedagogique_Partie_1_DX.1_a_DX.2.html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11.A (chirurgie prophylactique) et 11.C (DX.1) ; Partie 1 › DX.1 › points 11.A et 11.C</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NICE CG164 (IRM annuelle 30–49 ans, mammographie annuelle 40–69 ans) faute d'avoir lu le « Schéma de surveillance » OFSP (état 01/2021) ; âges d'annexectomie et surveillance de la prostate et du pancréas chez le porteur « donnée non trouvée » ; ESMO 2023 HBOC inaccessible. Questions pendantes HELP LOT_247 V1 n° 4, 5, 6.</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est le contenu du « Schéma de surveillance » OFSP des porteuses BRCA1/2 (état 01/2021 ou plus récent) et de l'avis d'experts SSGO correspondant, quels âges d'annexectomie bilatérale prophylactique (BRCA1, BRCA2) et de mastectomie recommande ESMO 2023, et quelle surveillance de la prostate et du pancréas est recommandée chez le porteur masculin ou féminin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F-014  ·  priorité Haute  ·  recommandation</w:t>
            </w:r>
          </w:p>
        </w:tc>
        <w:tc>
          <w:tcPr>
            <w:tcW w:w="11200" w:type="dxa"/>
            <w:shd w:val="clear" w:color="auto" w:fill="FDEBD0"/>
            <w:vAlign w:val="top"/>
          </w:tcPr>
          <w:p>
            <w:pPr>
              <w:spacing w:after="0"/>
            </w:pPr>
            <w:r>
              <w:rPr>
                <w:sz w:val="17"/>
                <w:szCs w:val="17"/>
              </w:rPr>
              <w:t xml:space="preserve">LOT 247 · SSP O7.25 · LOT_247_Appel_B_V5_Ultra_Pedagogique_Partie_1_DX.1_a_DX.2.html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1 › DX.2 Lynch › points 3, 6, 7 (syndromes colorectal, gynécologique, autres localisations), 9 et fenêtre bio-mathématique 2.2</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renvoie aux recommandations EHTG/ESCP 2021 [S21] ; risques par gène et par localisation, Se/Sp du séquençage MMR, signe d'alerte gynécologique, risque colorectal de la population suisse, surveillance pendant la grossesse et imagerie de substitution : « donnée non trouvée ». Critère OPAS de coloscopie familiale cité.</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risques cumulés de cancer (côlon, endomètre, ovaire, estomac, voies urinaires) par gène (MLH1, MSH2, MSH6, PMS2), quels intervalles de coloscopie et de surveillance gynécologique par gène, et quel risque colorectal de la population suisse donnent les recommandations européennes les plus récentes (EHTG/ESCP 2021 ou mise à jour, ESMO)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F-016  ·  priorité Haute  ·  recommandation</w:t>
            </w:r>
          </w:p>
        </w:tc>
        <w:tc>
          <w:tcPr>
            <w:tcW w:w="11200" w:type="dxa"/>
            <w:shd w:val="clear" w:color="auto" w:fill="FDEBD0"/>
            <w:vAlign w:val="top"/>
          </w:tcPr>
          <w:p>
            <w:pPr>
              <w:spacing w:after="0"/>
            </w:pPr>
            <w:r>
              <w:rPr>
                <w:sz w:val="17"/>
                <w:szCs w:val="17"/>
              </w:rPr>
              <w:t xml:space="preserve">LOT 247 · SSP O7.25 · LOT_247_Appel_A_V5_Ultra_Pedagogique_Plan_et_Liste.html ; LOT_247_Appel_B_V5_Ultra_Pedagogique_Partie_2_DX.3_a_DX.5.html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tableau de la conduite prénatale et tableau comparatif DX.3 ; Partie 2 › DX.3 › points 3, 9 (gold standard), fenêtre 3.2 ; Partie 3 › DX.6 › diagnostic prénatal</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 test combiné (≈ 90 %/5 %), le TPNI (T21 99,7 %/0,04 %), le seuil OPAS ≥ 1:1000 ; risque de fausse couche des gestes invasifs, prévalence de la T21 selon l'âge maternel, fréquence suisse du TPNI (« un quart des grossesses en 2019 » de presse), taux de discordance placentaire et Se/Sp du caryotype : « donnée non trouvée ». Avis d'experts SSGO n° 52 non lu. Questions pendantes HELP LOT_247 V1 n° 7, 8, 9, 10.</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dit l'avis d'experts SSGO sur le dépistage prénatal des aneuploïdies dans sa version la plus récente (n° 52 ou suivant), quel risque de fausse couche attribuable à la choriocentèse et à l'amniocentèse retient-il, quelle prévalence de la trisomie 21 selon l'âge maternel publient EUROCAT ou une source suisse, et quel est le taux suisse de recours au TPNI et de mosaïcisme placentaire confiné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F-018  ·  priorité Haute  ·  recommandation</w:t>
            </w:r>
          </w:p>
        </w:tc>
        <w:tc>
          <w:tcPr>
            <w:tcW w:w="11200" w:type="dxa"/>
            <w:shd w:val="clear" w:color="auto" w:fill="FDEBD0"/>
            <w:vAlign w:val="top"/>
          </w:tcPr>
          <w:p>
            <w:pPr>
              <w:spacing w:after="0"/>
            </w:pPr>
            <w:r>
              <w:rPr>
                <w:sz w:val="17"/>
                <w:szCs w:val="17"/>
              </w:rPr>
              <w:t xml:space="preserve">LOT 247 · SSP O7.25 · LOT_247_Appel_A_V5_Ultra_Pedagogique_Plan_et_Liste.html ; LOT_247_Appel_B_V5_Ultra_Pedagogique_Partie_2_DX.3_a_DX.5.html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8 et tableau « ce qui distingue » ; Partie 2 › DX.4 HF › points 8, 9, 11.C, 11.D et fenêtre forme homozygote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 prévalence suisse 1:250 (&lt; 10 % diagnostiqués) [S31], le score DLCN, l'étude CATCH ; différentiel des hypercholestérolémies secondaires, Se/Sp du test génétique, intervalle du bilan cardiovasculaire, gain par classe thérapeutique et survie : « donnée non trouvée ». ESC/EAS 2019 et mise à jour 2025 non lues en texte intégral (HELP V1 n° 5, 16).</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cibles de LDL-cholestérol, quelle séquence thérapeutique, quel bilan des causes secondaires (TSH, créatinine, albuminurie, tests hépatiques) et quel suivi recommandent pour l'HF la ligne directrice ESC/EAS 2019 et sa mise à jour ciblée 2025, et la recommandation suisse de la GSLA/SSC, avec les différences entre versions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F-019  ·  priorité Haute  ·  autorisation</w:t>
            </w:r>
          </w:p>
        </w:tc>
        <w:tc>
          <w:tcPr>
            <w:tcW w:w="11200" w:type="dxa"/>
            <w:shd w:val="clear" w:color="auto" w:fill="FDEBD0"/>
            <w:vAlign w:val="top"/>
          </w:tcPr>
          <w:p>
            <w:pPr>
              <w:spacing w:after="0"/>
            </w:pPr>
            <w:r>
              <w:rPr>
                <w:sz w:val="17"/>
                <w:szCs w:val="17"/>
              </w:rPr>
              <w:t xml:space="preserve">LOT 247 · SSP O7.25 · LOT_247_Appel_A_V5_Ultra_Pedagogique_Plan_et_Liste.html ; LOT_247_Appel_B_V5_Ultra_Pedagogique_Partie_2_DX.3_a_DX.5.html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fenêtre 8.1 (droit de prescrire) et tableau comparatif DX.5 ; Partie 2 › DX.5 hémochromatose › point 6 (base légale)</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l'OAGH art. 5 al. 1 (tout médecin peut prescrire les analyses diagnostiques hors maladies rares) ; le statut de « maladie rare » de l'hémochromatose HFE reste « non tranché ». Question pendante HELP LOT_247 V1 n° 17.</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L'hémochromatose HFE (homozygotie C282Y) est-elle une « maladie rare » au sens de l'OAGH art. 5 (liste, commentaire OFSP, Orphanet suisse), de sorte que le génotypage HFE et le test présymptomatique d'un apparenté soient ou non prescriptibles par tout médecin ? Citez le texte en vigueur (Fedlex : RS, article, alinéa et lettre exacts, état de consolidation, URL) ou l'entrée Swissmedic/AIPS ou la décision officielle, avec date. Comparez avec la version citée dans le cours et signalez tout changement.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F-022  ·  priorité Haute  ·  autorisation</w:t>
            </w:r>
          </w:p>
        </w:tc>
        <w:tc>
          <w:tcPr>
            <w:tcW w:w="11200" w:type="dxa"/>
            <w:shd w:val="clear" w:color="auto" w:fill="FDEBD0"/>
            <w:vAlign w:val="top"/>
          </w:tcPr>
          <w:p>
            <w:pPr>
              <w:spacing w:after="0"/>
            </w:pPr>
            <w:r>
              <w:rPr>
                <w:sz w:val="17"/>
                <w:szCs w:val="17"/>
              </w:rPr>
              <w:t xml:space="preserve">LOT 247 · SSP O7.25 · LOT_247_Appel_B_V5_Ultra_Pedagogique_Partie_3_DX.6_a_DX.7.html ; LOT_247_Appel_B_V5_Ultra_Pedagogique_Partie_4_DX.8_a_DX.10.html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3 › fenêtre transversale 5.3 (PMA/DPI) et prévention DX.7 ; Partie 4 › fenêtre transversale DPI et diagnostic prénatal (Huntington)</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 LPMA art. 5a al. 2 (maladie grave, début probable avant 50 ans, sans thérapie efficace) ; l'évaluation du critère « thérapie efficace » pour la mucoviscidose à l'ère des modulateurs et les modalités pratiques du DPI :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Comment l'OFSP, la Commission nationale d'éthique ou la jurisprudence interprètent-ils le critère « thérapie efficace » de la LPMA art. 5a pour la mucoviscidose traitée par modulateurs de CFTR, et quelles modalités (centres autorisés, délais, rapports OFS sur le DPI) s'appliquent au DPI en Suisse ? Citez le texte en vigueur (Fedlex : RS, article, alinéa et lettre exacts, état de consolidation, URL) ou l'entrée Swissmedic/AIPS ou la décision officielle, avec date. Comparez avec la version citée dans le cours et signalez tout changement.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F-023  ·  priorité Haute  ·  recommandation</w:t>
            </w:r>
          </w:p>
        </w:tc>
        <w:tc>
          <w:tcPr>
            <w:tcW w:w="11200" w:type="dxa"/>
            <w:shd w:val="clear" w:color="auto" w:fill="FDEBD0"/>
            <w:vAlign w:val="top"/>
          </w:tcPr>
          <w:p>
            <w:pPr>
              <w:spacing w:after="0"/>
            </w:pPr>
            <w:r>
              <w:rPr>
                <w:sz w:val="17"/>
                <w:szCs w:val="17"/>
              </w:rPr>
              <w:t xml:space="preserve">LOT 247 · SSP O7.25 · LOT_247_Appel_A_V5_Ultra_Pedagogique_Plan_et_Liste.html ; LOT_247_Appel_B_V5_Ultra_Pedagogique_Partie_3_DX.6_a_DX.7.html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11.C (surveillance des apparentés CMH) ; Partie 3 › DX.7 › point 11.C</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intervalles de suivi des apparentés d'une cardiomyopathie hypertrophique selon l'ESC « donnée non trouvée » (ESC 2023 cardiomyopathies inaccessible). Question pendante HELP LOT_247 V1 n° 12.</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intervalles de suivi clinique, ECG et échocardiographique des apparentés génotype positif/phénotype négatif et des apparentés non testés d'une CMH recommande la ligne directrice ESC 2023 sur les cardiomyopathies, selon l'âge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F-024  ·  priorité Haute  ·  recommandation</w:t>
            </w:r>
          </w:p>
        </w:tc>
        <w:tc>
          <w:tcPr>
            <w:tcW w:w="11200" w:type="dxa"/>
            <w:shd w:val="clear" w:color="auto" w:fill="FDEBD0"/>
            <w:vAlign w:val="top"/>
          </w:tcPr>
          <w:p>
            <w:pPr>
              <w:spacing w:after="0"/>
            </w:pPr>
            <w:r>
              <w:rPr>
                <w:sz w:val="17"/>
                <w:szCs w:val="17"/>
              </w:rPr>
              <w:t xml:space="preserve">LOT 247 · SSP O7.25 · LOT_247_Appel_B_V5_Ultra_Pedagogique_Partie_3_DX.6_a_DX.7.html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3 › DX.7 › point 4, fenêtres syndromes 7.3 (Brugada) et 7.4 (TVPC), tableau des critères, point 8</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seulement SCN5A et l'effet de la flécaïnide [S52] ; prévalence, critères diagnostiques, test provocateur et prise en charge du syndrome de Brugada, de la TVPC et de la cardiomyopathie arythmogène, ainsi que les causes non cardiaques qui miment un événement rythmique :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critères diagnostiques, quels tests provocateurs (ajmaline ou flécaïnide, épreuve d'effort), quels gènes, quelle prévalence et quels traitements (bêtabloquant, flécaïnide, DAI, quinidine) recommande la ligne directrice ESC 2022 pour le syndrome de Brugada et la TVPC, et quels critères (Padoue/Task Force) l'ESC 2023 retient-elle pour la cardiomyopathie arythmogène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F-025  ·  priorité Haute  ·  seuil</w:t>
            </w:r>
          </w:p>
        </w:tc>
        <w:tc>
          <w:tcPr>
            <w:tcW w:w="11200" w:type="dxa"/>
            <w:shd w:val="clear" w:color="auto" w:fill="FDEBD0"/>
            <w:vAlign w:val="top"/>
          </w:tcPr>
          <w:p>
            <w:pPr>
              <w:spacing w:after="0"/>
            </w:pPr>
            <w:r>
              <w:rPr>
                <w:sz w:val="17"/>
                <w:szCs w:val="17"/>
              </w:rPr>
              <w:t xml:space="preserve">LOT 247 · SSP O7.25 · LOT_247_Appel_B_V5_Ultra_Pedagogique_Partie_3_DX.6_a_DX.7.html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3 › DX.7 › fenêtre bio-mathématique QTc (Bazett/Fridericia)</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montre qu'à 75 bpm, Bazett donne 492 ms et Fridericia 474 ms ; la formule de correction de l'ESC 2022 et les seuils masculin/féminin complets :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seuils de QTc (homme, femme, enfant) et quel score (Schwartz) l'ESC 2022 retient-elle pour diagnostiquer le syndrome du QT long, et quelle formule de correction recommande-t-elle selon la fréquence cardiaque ? Donnez la valeur seuil validée, la population de validation (suisse ou germanophone/francophone si possible), la sensibilité et la spécificité, avec la source primaire (titre, année, URL). Signalez toute recommandation suisse ou européenne qui adopte ce seuil.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F-027  ·  priorité Haute  ·  seuil</w:t>
            </w:r>
          </w:p>
        </w:tc>
        <w:tc>
          <w:tcPr>
            <w:tcW w:w="11200" w:type="dxa"/>
            <w:shd w:val="clear" w:color="auto" w:fill="FDEBD0"/>
            <w:vAlign w:val="top"/>
          </w:tcPr>
          <w:p>
            <w:pPr>
              <w:spacing w:after="0"/>
            </w:pPr>
            <w:r>
              <w:rPr>
                <w:sz w:val="17"/>
                <w:szCs w:val="17"/>
              </w:rPr>
              <w:t xml:space="preserve">LOT 247 · SSP O7.25 · LOT_247_Appel_B_V5_Ultra_Pedagogique_Partie_4_DX.8_a_DX.10.html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4 › DX.8 X fragile › tableau du risque d'expansion (mère prémutée de 56 CGG)</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probabilité d'expansion vers une mutation complète pour une prémutation maternelle de 56 CGG « non chiffrée » ; il renvoie au généticien.</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risque d'expansion vers une mutation complète selon la taille de la prémutation maternelle (55–59, 60–69, 70–79, 80–89, ≥ 90 CGG) et selon les interruptions AGG donnent les recommandations EMQN ou une source européenne de référence ? Donnez la valeur seuil validée, la population de validation (suisse ou germanophone/francophone si possible), la sensibilité et la spécificité, avec la source primaire (titre, année, URL). Signalez toute recommandation suisse ou européenne qui adopte ce seuil.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F-030  ·  priorité Haute  ·  autorisation</w:t>
            </w:r>
          </w:p>
        </w:tc>
        <w:tc>
          <w:tcPr>
            <w:tcW w:w="11200" w:type="dxa"/>
            <w:shd w:val="clear" w:color="auto" w:fill="FDEBD0"/>
            <w:vAlign w:val="top"/>
          </w:tcPr>
          <w:p>
            <w:pPr>
              <w:spacing w:after="0"/>
            </w:pPr>
            <w:r>
              <w:rPr>
                <w:sz w:val="17"/>
                <w:szCs w:val="17"/>
              </w:rPr>
              <w:t xml:space="preserve">LOT 247 · SSP O7.25 · LOT_247_Appel_B_V5_Ultra_Pedagogique_Partie_4_DX.8_a_DX.10.html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4 › fenêtre transversale assurances (LAGH, seuils 400 000 CHF et 40 000 CHF) › piège d'examen</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les seuils de 400 000 CHF (assurance vie) et 40 000 CHF (invalidité) ; la question des antécédents familiaux déclarés, non couverts par ces articles, reste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Un assureur privé peut-il, selon la LAGH (art. 43–44) et la doctrine ou la jurisprudence suisse, exiger la déclaration d'antécédents familiaux d'une maladie héréditaire ou le résultat d'un test présymptomatique d'un apparenté, et quelles sont les exceptions exactes ? Citez le texte en vigueur (Fedlex : RS, article, alinéa et lettre exacts, état de consolidation, URL) ou l'entrée Swissmedic/AIPS ou la décision officielle, avec date. Comparez avec la version citée dans le cours et signalez tout changement.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F-006  ·  priorité Moyenne  ·  dose</w:t>
            </w:r>
          </w:p>
        </w:tc>
        <w:tc>
          <w:tcPr>
            <w:tcW w:w="11200" w:type="dxa"/>
            <w:shd w:val="clear" w:color="auto" w:fill="EBF5FB"/>
            <w:vAlign w:val="top"/>
          </w:tcPr>
          <w:p>
            <w:pPr>
              <w:spacing w:after="0"/>
            </w:pPr>
            <w:r>
              <w:rPr>
                <w:sz w:val="17"/>
                <w:szCs w:val="17"/>
              </w:rPr>
              <w:t xml:space="preserve">LOT 247 · SSP O7.25 · LOT_247_Appel_A_V5_Ultra_Pedagogique_Plan_et_Liste.html ; LOT_247_Appel_B_V5_Ultra_Pedagogique_Partie_3_DX.6_a_DX.7.html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11.B › mavacamten ; Partie 3 › DX.7 › point 11.C</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Camzyos® 5 mg/j, paliers 2,5–15 mg, seuils de FEVG 55 %/50 %, métaboliseurs lents CYP2C19 ; adaptations rénale/hépatique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Quelles adaptations rénale et hépatique, quelles interactions CYP2C19/CYP3A4 et quel calendrier de surveillance échocardiographique l'IP suisse de Camzyos® prévoit-elle, et la Suisse impose-t-elle un génotypage CYP2C19 avant traitement ? Donnez la posologie selon l'information professionnelle suisse en vigueur (AIPS, swissmedicinfo.ch : spécialité ®, titulaire, date de révision, URL) : dose, voie, rythme, durée et adaptations rénale, hépatique, pédiatrique, grossesse et allaitement. Comparez avec la version citée dans le cours et signalez toute différence. À défaut d'IP suisse, citez la recommandation européenne la plus récente (titre, année,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F-008  ·  priorité Moyenne  ·  dose</w:t>
            </w:r>
          </w:p>
        </w:tc>
        <w:tc>
          <w:tcPr>
            <w:tcW w:w="11200" w:type="dxa"/>
            <w:shd w:val="clear" w:color="auto" w:fill="EBF5FB"/>
            <w:vAlign w:val="top"/>
          </w:tcPr>
          <w:p>
            <w:pPr>
              <w:spacing w:after="0"/>
            </w:pPr>
            <w:r>
              <w:rPr>
                <w:sz w:val="17"/>
                <w:szCs w:val="17"/>
              </w:rPr>
              <w:t xml:space="preserve">LOT 247 · SSP O7.25 · LOT_247_Appel_A_V5_Ultra_Pedagogique_Plan_et_Liste.html ; LOT_247_Appel_B_V5_Ultra_Pedagogique_Partie_3_DX.6_a_DX.7.html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11.B › modulateurs de CFTR ; Partie 3 › DX.6 mucoviscidose › point 11.B (fenêtre élexacaftor/tézacaftor)</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Trikafta : dès 2 ans avec ≥ 1 allèle F508del, ≥ 12 ans 2 cp 100/50/75 mg le matin + ivacaftor 150 mg le soir ; adaptations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Sous quel nom la trithérapie élexacaftor/tézacaftor/ivacaftor est-elle autorisée en Suisse (Trikafta® ou Kaftrio®), avec quelles indications, posologies pédiatriques par poids et adaptations hépatiques (Child-Pugh) et rénales, et quelle surveillance des transaminases l'IP impose-t-elle ? Donnez la posologie selon l'information professionnelle suisse en vigueur (AIPS, swissmedicinfo.ch : spécialité ®, titulaire, date de révision, URL) : dose, voie, rythme, durée et adaptations rénale, hépatique, pédiatrique, grossesse et allaitement. Comparez avec la version citée dans le cours et signalez toute différence. À défaut d'IP suisse, citez la recommandation européenne la plus récente (titre, année,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F-010  ·  priorité Moyenne  ·  dose</w:t>
            </w:r>
          </w:p>
        </w:tc>
        <w:tc>
          <w:tcPr>
            <w:tcW w:w="11200" w:type="dxa"/>
            <w:shd w:val="clear" w:color="auto" w:fill="EBF5FB"/>
            <w:vAlign w:val="top"/>
          </w:tcPr>
          <w:p>
            <w:pPr>
              <w:spacing w:after="0"/>
            </w:pPr>
            <w:r>
              <w:rPr>
                <w:sz w:val="17"/>
                <w:szCs w:val="17"/>
              </w:rPr>
              <w:t xml:space="preserve">LOT 247 · SSP O7.25 · LOT_247_Appel_A_V5_Ultra_Pedagogique_Plan_et_Liste.html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11.B › abacavir et clopidogrel</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Ziagen (HLA-B*57:01 obligatoire) et Plavix® (métaboliseurs lents CYP2C19 : charge 600 mg puis 150 mg/j à envisager, posologie non établie) ; adaptations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prévoient l'IP suisse de Plavix® et la recommandation européenne la plus récente (ESC) pour le métaboliseur lent du CYP2C19 (alternative prasugrel ou ticagrélor, dose) et quelles adaptations rénale/hépatique s'appliquent à l'abacavir ? Donnez la posologie selon l'information professionnelle suisse en vigueur (AIPS, swissmedicinfo.ch : spécialité ®, titulaire, date de révision, URL) : dose, voie, rythme, durée et adaptations rénale, hépatique, pédiatrique, grossesse et allaitement. Comparez avec la version citée dans le cours et signalez toute différence. À défaut d'IP suisse, citez la recommandation européenne la plus récente (titre, année, URL).</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F-012  ·  priorité Moyenne  ·  conduite</w:t>
            </w:r>
          </w:p>
        </w:tc>
        <w:tc>
          <w:tcPr>
            <w:tcW w:w="11200" w:type="dxa"/>
            <w:shd w:val="clear" w:color="auto" w:fill="EBF5FB"/>
            <w:vAlign w:val="top"/>
          </w:tcPr>
          <w:p>
            <w:pPr>
              <w:spacing w:after="0"/>
            </w:pPr>
            <w:r>
              <w:rPr>
                <w:sz w:val="17"/>
                <w:szCs w:val="17"/>
              </w:rPr>
              <w:t xml:space="preserve">LOT 247 · SSP O7.25 · LOT_247_Appel_B_V5_Ultra_Pedagogique_Partie_1_DX.1_a_DX.2.html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1 › DX.1 BRCA › points 9 (gold standard, alternatives grossesse et allergie) et 10</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spécificité du séquençage, test germinal en cours de grossesse, alternative à l'IRM mammaire avec gadolinium en cas d'allergie et conduite chirurgicale devant un variant de signification incertaine :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conduite recommandent les sources suisses ou européennes (ESMO 2023, ENIGMA, SSGO) devant un variant de signification incertaine BRCA, pour un test germinal pendant la grossesse, et quelle imagerie remplace l'IRM mammaire avec gadolinium en cas d'allergie ou de contre-indication ? Citez la recommandation suisse en vigueur (société savante ou autorité : titre, année, URL) qui fixe cette conduite. Comparez sa version la plus récente avec celle du cours et listez les différences.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F-013  ·  priorité Moyenne  ·  epidemiologie</w:t>
            </w:r>
          </w:p>
        </w:tc>
        <w:tc>
          <w:tcPr>
            <w:tcW w:w="11200" w:type="dxa"/>
            <w:shd w:val="clear" w:color="auto" w:fill="EBF5FB"/>
            <w:vAlign w:val="top"/>
          </w:tcPr>
          <w:p>
            <w:pPr>
              <w:spacing w:after="0"/>
            </w:pPr>
            <w:r>
              <w:rPr>
                <w:sz w:val="17"/>
                <w:szCs w:val="17"/>
              </w:rPr>
              <w:t xml:space="preserve">LOT 247 · SSP O7.25 · LOT_247_Appel_B_V5_Ultra_Pedagogique_Partie_1_DX.1_a_DX.2.html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1 › DX.1 › points 3, 7 (cancer du sein triple négatif, ovaire, pancréas) et 8 (PALB2, gènes modérés)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8,5 % de variants BRCA1 parmi les triples négatifs [S20] ; prévalence des porteurs dans la population générale, signes d'appel ovariens et risque pancréatique chiffré « donnée non trouvée ». Question pendante HELP LOT_247 V1 n° 11.</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est la prévalence des porteurs BRCA1/2 dans la population générale suisse ou européenne, quels risques cumulés (sein, ovaire, pancréas, prostate) par gène (BRCA1, BRCA2, PALB2) donnent les sources européennes récentes, et quels critères suisses de test (panel) s'appliquent aux gènes de risque modéré ? Citez la source suisse primaire la plus récente (OFS, Obsan, OFSP, registre ou société savante : titre, année des données, URL, date de consultation). Signalez toute rupture de série. À défaut de donnée suisse, donnez la donnée européenne la plus récente en l'étiquetant comme telle.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F-015  ·  priorité Moyenne  ·  autorisation</w:t>
            </w:r>
          </w:p>
        </w:tc>
        <w:tc>
          <w:tcPr>
            <w:tcW w:w="11200" w:type="dxa"/>
            <w:shd w:val="clear" w:color="auto" w:fill="EBF5FB"/>
            <w:vAlign w:val="top"/>
          </w:tcPr>
          <w:p>
            <w:pPr>
              <w:spacing w:after="0"/>
            </w:pPr>
            <w:r>
              <w:rPr>
                <w:sz w:val="17"/>
                <w:szCs w:val="17"/>
              </w:rPr>
              <w:t xml:space="preserve">LOT 247 · SSP O7.25 · LOT_247_Appel_B_V5_Ultra_Pedagogique_Partie_1_DX.1_a_DX.2.html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1 › fenêtres transversales 6.1 (informer les apparentés) et 12.1 (dépistage tumoral universel)</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statut juridique de l'immunohistochimie MMR comme analyse génétique au sens de la LAGH, confirmation germinale d'un variant tumoral par analogie avec BRCA, modalités de la lettre aux apparentés :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L'immunohistochimie MMR ou l'analyse MSI sur tumeur constitue-t-elle une analyse génétique au sens de la LAGH (art. 3) et exige-t-elle le consentement et le conseil prévus aux art. 5–6 et 21, quelle conduite fixe une source suisse ou européenne pour confirmer en germinal un variant découvert sur la tumeur, et existe-t-il un modèle suisse de lettre d'information aux apparentés ? Citez le texte en vigueur (Fedlex : RS, article, alinéa et lettre exacts, état de consolidation, URL) ou l'entrée Swissmedic/AIPS ou la décision officielle, avec date. Comparez avec la version citée dans le cours et signalez tout changement.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F-017  ·  priorité Moyenne  ·  epidemiologie</w:t>
            </w:r>
          </w:p>
        </w:tc>
        <w:tc>
          <w:tcPr>
            <w:tcW w:w="11200" w:type="dxa"/>
            <w:shd w:val="clear" w:color="auto" w:fill="EBF5FB"/>
            <w:vAlign w:val="top"/>
          </w:tcPr>
          <w:p>
            <w:pPr>
              <w:spacing w:after="0"/>
            </w:pPr>
            <w:r>
              <w:rPr>
                <w:sz w:val="17"/>
                <w:szCs w:val="17"/>
              </w:rPr>
              <w:t xml:space="preserve">LOT 247 · SSP O7.25 · LOT_247_Appel_B_V5_Ultra_Pedagogique_Partie_2_DX.3_a_DX.5.html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DX.3 › point 7 (fenêtres trisomies 18 et 13), point 8 (causes non génétiques) et point 11.D</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tableau clinique postnatal des trisomies 18 et 13, pronostic des trisomies et causes non génétiques d'une clarté nucale augmentée :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signes cliniques postnatals, quelle survie à 1 an et quelles causes non chromosomiques d'une clarté nucale augmentée (cardiopathie, syndromes géniques, infection) rapportent EUROCAT, la SSGO ou une source européenne récente ? Citez la source suisse primaire la plus récente (OFS, Obsan, OFSP, registre ou société savante : titre, année des données, URL, date de consultation). Signalez toute rupture de série. À défaut de donnée suisse, donnez la donnée européenne la plus récente en l'étiquetant comme telle.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F-020  ·  priorité Moyenne  ·  recommandation</w:t>
            </w:r>
          </w:p>
        </w:tc>
        <w:tc>
          <w:tcPr>
            <w:tcW w:w="11200" w:type="dxa"/>
            <w:shd w:val="clear" w:color="auto" w:fill="EBF5FB"/>
            <w:vAlign w:val="top"/>
          </w:tcPr>
          <w:p>
            <w:pPr>
              <w:spacing w:after="0"/>
            </w:pPr>
            <w:r>
              <w:rPr>
                <w:sz w:val="17"/>
                <w:szCs w:val="17"/>
              </w:rPr>
              <w:t xml:space="preserve">LOT 247 · SSP O7.25 · LOT_247_Appel_A_V5_Ultra_Pedagogique_Plan_et_Liste.html ; LOT_247_Appel_B_V5_Ultra_Pedagogique_Partie_2_DX.3_a_DX.5.html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8 ; Partie 2 › DX.5 › fenêtre 5.1, points 8, 9, 11.B (défériprone), 11.D</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EASL 2022 [S37] (IRM ou biopsie si autre génotype), UK Biobank et Melbourne ; condition de jeûne de la saturation de la transferrine, Se/Sp de l'IRM, différentiel de l'hyperferritinémie sans surcharge, posologie hors indication de Ferriprox® et survie :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 recommande la ligne directrice EASL 2022 (texte intégral) sur le jeûne avant la saturation de la transferrine, le différentiel de l'hyperferritinémie dysmétabolique, les cibles de ferritine des saignées, la place des chélateurs et la survie selon le stade de fibrose, et quelle est la fréquence de l'homozygotie C282Y en Suisse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F-021  ·  priorité Moyenne  ·  epidemiologie</w:t>
            </w:r>
          </w:p>
        </w:tc>
        <w:tc>
          <w:tcPr>
            <w:tcW w:w="11200" w:type="dxa"/>
            <w:shd w:val="clear" w:color="auto" w:fill="EBF5FB"/>
            <w:vAlign w:val="top"/>
          </w:tcPr>
          <w:p>
            <w:pPr>
              <w:spacing w:after="0"/>
            </w:pPr>
            <w:r>
              <w:rPr>
                <w:sz w:val="17"/>
                <w:szCs w:val="17"/>
              </w:rPr>
              <w:t xml:space="preserve">LOT 247 · SSP O7.25 · LOT_247_Appel_A_V5_Ultra_Pedagogique_Plan_et_Liste.html ; LOT_247_Appel_B_V5_Ultra_Pedagogique_Partie_3_DX.6_a_DX.7.html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fenêtre bio-mathématique 10.1 (Hardy-Weinberg) ; Partie 3 › DX.6 › points 3, 8, 9 (panels, risque résiduel), 11.D</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dérive la fréquence des porteurs CFTR de l'incidence néonatale suisse (≈ 1/3400, 2011–2021) ; fréquence mesurée des porteurs, sensibilité des panels CFTR en Suisse, prévalence de la consanguinité, survie médiane et thérapie génique : « donnée non trouvée ». Question pendante HELP LOT_247 V1 n° 14.</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fréquence des porteurs CFTR, quelle sensibilité des panels de variants utilisés en Suisse et quelle survie médiane actuelle (registre suisse ou ECFS Patient Registry) publient les sources suisses ou européennes, et existe-t-il des recommandations ECFS sur le test de porteur du conjoint ? Citez la source suisse primaire la plus récente (OFS, Obsan, OFSP, registre ou société savante : titre, année des données, URL, date de consultation). Signalez toute rupture de série. À défaut de donnée suisse, donnez la donnée européenne la plus récente en l'étiquetant comme telle.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F-026  ·  priorité Moyenne  ·  conduite</w:t>
            </w:r>
          </w:p>
        </w:tc>
        <w:tc>
          <w:tcPr>
            <w:tcW w:w="11200" w:type="dxa"/>
            <w:shd w:val="clear" w:color="auto" w:fill="EBF5FB"/>
            <w:vAlign w:val="top"/>
          </w:tcPr>
          <w:p>
            <w:pPr>
              <w:spacing w:after="0"/>
            </w:pPr>
            <w:r>
              <w:rPr>
                <w:sz w:val="17"/>
                <w:szCs w:val="17"/>
              </w:rPr>
              <w:t xml:space="preserve">LOT 247 · SSP O7.25 · LOT_247_Appel_B_V5_Ultra_Pedagogique_Partie_1_DX.1_a_DX.2.html ; LOT_247_Appel_B_V5_Ultra_Pedagogique_Partie_3_DX.6_a_DX.7.html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1 › DX.1 et DX.2 › point 9 (alternatives allergie) ; Partie 3 › DX.7 › point 9 (IRM cardiaque, 2e intention)</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conduite pour le gadolinium en cas de DFGe &lt; 30 mL/min ou d'allergie (IRM mammaire et cardiaque) et imagerie de substitution :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conduite recommandent la Société suisse de radiologie ou l'ESUR (dernière version) pour l'injection de gadolinium chez un patient au DFGe &lt; 30 mL/min et chez un patient allergique aux chélates de gadolinium (agent macrocyclique, prémédication, alternative) ? Citez la recommandation suisse en vigueur (société savante ou autorité : titre, année, URL) qui fixe cette conduite. Comparez sa version la plus récente avec celle du cours et listez les différences.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F-028  ·  priorité Moyenne  ·  recommandation</w:t>
            </w:r>
          </w:p>
        </w:tc>
        <w:tc>
          <w:tcPr>
            <w:tcW w:w="11200" w:type="dxa"/>
            <w:shd w:val="clear" w:color="auto" w:fill="EBF5FB"/>
            <w:vAlign w:val="top"/>
          </w:tcPr>
          <w:p>
            <w:pPr>
              <w:spacing w:after="0"/>
            </w:pPr>
            <w:r>
              <w:rPr>
                <w:sz w:val="17"/>
                <w:szCs w:val="17"/>
              </w:rPr>
              <w:t xml:space="preserve">LOT 247 · SSP O7.25 · LOT_247_Appel_A_V5_Ultra_Pedagogique_Plan_et_Liste.html ; LOT_247_Appel_B_V5_Ultra_Pedagogique_Partie_4_DX.8_a_DX.10.html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Tableau comparatif DX.8 ; Partie 4 › DX.8 › points 3, 7.1, 9 (gold standard, résultats normaux), 11.B, 11.C, 11.D</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 puce chromosomique en 1re intention (15–20 %) et la PCR/Southern blot [S60, S61] ; fréquence suisse, étapes après une puce normale (exome), prise en charge éducative, calendrier de suivi et âge d'apparition des traits :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algorithme étiologique d'un retard de développement ou d'une déficience intellectuelle (puce, FMR1, exome/génome) recommandent une société suisse ou européenne récente, et quel suivi (développement, comportement, femme prémutée : FXPOI, FXTAS) recommandent les sources européennes pour le syndrome de l'X fragile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F-029  ·  priorité Moyenne  ·  recommandation</w:t>
            </w:r>
          </w:p>
        </w:tc>
        <w:tc>
          <w:tcPr>
            <w:tcW w:w="11200" w:type="dxa"/>
            <w:shd w:val="clear" w:color="auto" w:fill="EBF5FB"/>
            <w:vAlign w:val="top"/>
          </w:tcPr>
          <w:p>
            <w:pPr>
              <w:spacing w:after="0"/>
            </w:pPr>
            <w:r>
              <w:rPr>
                <w:sz w:val="17"/>
                <w:szCs w:val="17"/>
              </w:rPr>
              <w:t xml:space="preserve">LOT 247 · SSP O7.25 · LOT_247_Appel_B_V5_Ultra_Pedagogique_Partie_4_DX.8_a_DX.10.html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4 › DX.9 Huntington › points 3, 5, 7.2, 7.3, 8, 9, 10, 11.C</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EMQN [S56] (≥ 40 CAG diagnostique, 36–39 pénétrance réduite, incidence 3–10/100 000 en Europe de l'Ouest) ; fréquence suisse, âge du début juvénile, spécificité, bilan si &lt; 36 CAG, facteurs modifiant l'âge de début et calendrier de surveillance : « donnée non trouvée ».</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 protocole de test présymptomatique (nombre d'entretiens, délai de réflexion, accompagnement psychologique) recommandent l'EHDN et une source suisse, quel âge définit la forme juvénile, quelle conduite après un résultat de 27–35 CAG (allèle intermédiaire) et quel suivi après un résultat positif ? Citez la recommandation suisse en vigueur (société savante ou autorité : titre, année, URL). Comparez sa version la plus récente avec celle utilisée dans le cours et listez les différences. Précisez les doses éventuelles selon l'information professionnelle suisse (AIPS).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F-031  ·  priorité Moyenne  ·  epidemiologie</w:t>
            </w:r>
          </w:p>
        </w:tc>
        <w:tc>
          <w:tcPr>
            <w:tcW w:w="11200" w:type="dxa"/>
            <w:shd w:val="clear" w:color="auto" w:fill="EBF5FB"/>
            <w:vAlign w:val="top"/>
          </w:tcPr>
          <w:p>
            <w:pPr>
              <w:spacing w:after="0"/>
            </w:pPr>
            <w:r>
              <w:rPr>
                <w:sz w:val="17"/>
                <w:szCs w:val="17"/>
              </w:rPr>
              <w:t xml:space="preserve">LOT 247 · SSP O7.25 · LOT_247_Appel_A_V5_Ultra_Pedagogique_Plan_et_Liste.html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Bloc 1 › point 3 (offre en génétique, encadré « Calcul ») et badges de fréquence des dix scénarios</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47 000 consultations génétiques facturées en 2019 (pool SASIS) et onze conseillers en génétique en 2021–2022 [S7] ; nombre de centres, de spécialistes FMH en génétique médicale et fréquence des scénarios de conseil : « non trouvé ». Questions pendantes HELP LOT_247 V1 n° 1, 2, 13.</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Combien de spécialistes FMH en génétique médicale (statistique médicale FMH la plus récente), de centres de génétique médicale et de conseillers en génétique exercent en Suisse, et existe-t-il une répartition suisse des motifs de consultation génétique (oncogénétique, prénatal, cardiogénétique, pédiatrie) ? Citez la source suisse primaire la plus récente (OFS, Obsan, OFSP, registre ou société savante : titre, année des données, URL, date de consultation). Signalez toute rupture de série. À défaut de donnée suisse, donnez la donnée européenne la plus récente en l'étiquetant comme telle.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ADBD8"/>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8B0000"/>
                <w:sz w:val="20"/>
                <w:szCs w:val="20"/>
              </w:rPr>
              <w:t xml:space="preserve">  F-033  ·  priorité Critique  ·  conduite</w:t>
            </w:r>
          </w:p>
        </w:tc>
        <w:tc>
          <w:tcPr>
            <w:tcW w:w="11200" w:type="dxa"/>
            <w:shd w:val="clear" w:color="auto" w:fill="FADBD8"/>
            <w:vAlign w:val="top"/>
          </w:tcPr>
          <w:p>
            <w:pPr>
              <w:spacing w:after="0"/>
            </w:pPr>
            <w:r>
              <w:rPr>
                <w:sz w:val="17"/>
                <w:szCs w:val="17"/>
              </w:rPr>
              <w:t xml:space="preserve">LOT 248 · SSP O7.26 · LOT_248_Appel_B_V5_Ultra_Pedagogique_Partie_3_DX.6_a_DX.7.html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3 › tableau différentiel › ligne « Sevrage alcoolique ou aux BZD » ; aussi LOT_221 evidence not_found n° 10 et LOT_222 evidence uncertainties n° 8</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LOT_248 : « aucune source européenne discriminante », colonne conduite « donnée non trouvée ». LOT_221 : aucune ligne directrice suisse du sevrage d'alcool (CIWA-Ar, ordre thiamine–glucose) ; seules les IP Seresta® et Benerva® lues. LOT_222 : conflit HUG 2017 (oxazépam 60–200 mg/j, CIWA) / IP Seresta® 2026 (15–30 mg 3–4×/j) arbitré en faveur de l'IP.</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Quelle recommandation suisse (SSAM, Infodrog, protocole hospitalier publié) ou européenne (EFNS 2010, ou plus récente) fixe la conduite du sevrage alcoolique : score CIWA-Ar et seuils, choix et dose de la benzodiazépine (oxazépam, lorazépam, diazépam), dose et voie de la thiamine (Benerva®) et ordre thiamine–glucose, et critères d'hospitalisation ? Citez la recommandation suisse en vigueur (société savante ou autorité : titre, année, URL) qui fixe cette conduite. Comparez sa version la plus récente avec celle du cours et listez les différences.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FDEBD0"/>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C0392B"/>
                <w:sz w:val="20"/>
                <w:szCs w:val="20"/>
              </w:rPr>
              <w:t xml:space="preserve">  F-032  ·  priorité Haute  ·  conduite</w:t>
            </w:r>
          </w:p>
        </w:tc>
        <w:tc>
          <w:tcPr>
            <w:tcW w:w="11200" w:type="dxa"/>
            <w:shd w:val="clear" w:color="auto" w:fill="FDEBD0"/>
            <w:vAlign w:val="top"/>
          </w:tcPr>
          <w:p>
            <w:pPr>
              <w:spacing w:after="0"/>
            </w:pPr>
            <w:r>
              <w:rPr>
                <w:sz w:val="17"/>
                <w:szCs w:val="17"/>
              </w:rPr>
              <w:t xml:space="preserve">LOT 248 · SSP O7.26 · LOT_248_Appel_B_V5_Ultra_Pedagogique_Partie_2_DX.3_a_DX.5.html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2 › DX.3–DX.5 › caustiques › point 5 (toxicocinétique) et seuils de gravité</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écrit : concentrations et volumes toxiques par agent « donnée non trouvée », sauf gorgée 30–50 mL / grande gorgée 60–90 mL chez l'adulte [S58] ; acide fluorhydrique cité comme exception.</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seuils de concentration (soude, acide chlorhydrique et sulfurique, hypochlorite, acide fluorhydrique, pastilles de lave-vaisselle) et quels volumes définissent une ingestion caustique à risque, et quel délai d'endoscopie et quelle conduite (gluconate de calcium pour l'acide fluorhydrique) recommandent Tox Info Suisse et l'ESGE/WSES ? Citez la recommandation suisse en vigueur (société savante ou autorité : titre, année, URL) qui fixe cette conduite. Comparez sa version la plus récente avec celle du cours et listez les différences. À défaut de source suisse, citez la recommandation européenne la plus récente.</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tbl>
      <w:tblPr>
        <w:tblW w:w="146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3400"/>
        <w:gridCol w:w="11200"/>
      </w:tblGrid>
      <w:tr>
        <w:trPr>
          <w:cantSplit/>
        </w:trPr>
        <w:tc>
          <w:tcPr>
            <w:tcW w:w="3400" w:type="dxa"/>
            <w:shd w:val="clear" w:color="auto" w:fill="EBF5FB"/>
            <w:vAlign w:val="top"/>
          </w:tcPr>
          <w:p>
            <w:pPr>
              <w:spacing w:after="0"/>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r>
              <w:rPr>
                <w:b/>
                <w:color w:val="1F618D"/>
                <w:sz w:val="20"/>
                <w:szCs w:val="20"/>
              </w:rPr>
              <w:t xml:space="preserve">  F-034  ·  priorité Moyenne  ·  autorisation</w:t>
            </w:r>
          </w:p>
        </w:tc>
        <w:tc>
          <w:tcPr>
            <w:tcW w:w="11200" w:type="dxa"/>
            <w:shd w:val="clear" w:color="auto" w:fill="EBF5FB"/>
            <w:vAlign w:val="top"/>
          </w:tcPr>
          <w:p>
            <w:pPr>
              <w:spacing w:after="0"/>
            </w:pPr>
            <w:r>
              <w:rPr>
                <w:sz w:val="17"/>
                <w:szCs w:val="17"/>
              </w:rPr>
              <w:t xml:space="preserve">LOT 248 · SSP O7.26 · LOT_248_Appel_B_V5_Ultra_Pedagogique_Partie_4_DX.8_a_DX.10.html</w:t>
            </w:r>
          </w:p>
        </w:tc>
      </w:tr>
      <w:tr>
        <w:trPr>
          <w:cantSplit/>
        </w:trPr>
        <w:tc>
          <w:tcPr>
            <w:tcW w:w="3400" w:type="dxa"/>
            <w:vAlign w:val="top"/>
          </w:tcPr>
          <w:p>
            <w:pPr>
              <w:spacing w:after="0"/>
            </w:pPr>
            <w:r>
              <w:rPr>
                <w:sz w:val="17"/>
                <w:szCs w:val="17"/>
              </w:rPr>
              <w:t xml:space="preserve">Emplacement</w:t>
            </w:r>
          </w:p>
        </w:tc>
        <w:tc>
          <w:tcPr>
            <w:tcW w:w="11200" w:type="dxa"/>
            <w:vAlign w:val="top"/>
          </w:tcPr>
          <w:p>
            <w:pPr>
              <w:spacing w:after="0"/>
            </w:pPr>
            <w:r>
              <w:rPr>
                <w:sz w:val="17"/>
                <w:szCs w:val="17"/>
              </w:rPr>
              <w:t xml:space="preserve">Partie 4 › fenêtre transversale « intoxication professionnelle au CO » (base légale et déclaration)</w:t>
            </w:r>
          </w:p>
        </w:tc>
      </w:tr>
      <w:tr>
        <w:trPr>
          <w:cantSplit/>
        </w:trPr>
        <w:tc>
          <w:tcPr>
            <w:tcW w:w="3400" w:type="dxa"/>
            <w:vAlign w:val="top"/>
          </w:tcPr>
          <w:p>
            <w:pPr>
              <w:spacing w:after="0"/>
            </w:pPr>
            <w:r>
              <w:rPr>
                <w:sz w:val="17"/>
                <w:szCs w:val="17"/>
              </w:rPr>
              <w:t xml:space="preserve">Contexte (cours actuel)</w:t>
            </w:r>
          </w:p>
        </w:tc>
        <w:tc>
          <w:tcPr>
            <w:tcW w:w="11200" w:type="dxa"/>
            <w:vAlign w:val="top"/>
          </w:tcPr>
          <w:p>
            <w:pPr>
              <w:spacing w:after="0"/>
            </w:pPr>
            <w:r>
              <w:rPr>
                <w:sz w:val="17"/>
                <w:szCs w:val="17"/>
              </w:rPr>
              <w:t xml:space="preserve">Le cours cite la LAA art. 9 al. 1 et l'annexe 1 OLAA en relation avec l'art. 14 OLAA [S71]. La réponse Gemini (HELP LOT_248 V1 n° 19) cite la LEp et la LAA sans articles exacts pour les délais de déclaration (question HELP V2 n° 12 restée partielle).</w:t>
            </w:r>
          </w:p>
        </w:tc>
      </w:tr>
      <w:tr>
        <w:trPr>
          <w:cantSplit/>
        </w:trPr>
        <w:tc>
          <w:tcPr>
            <w:tcW w:w="3400" w:type="dxa"/>
            <w:vAlign w:val="top"/>
          </w:tcPr>
          <w:p>
            <w:pPr>
              <w:spacing w:after="0"/>
            </w:pPr>
            <w:r>
              <w:rPr>
                <w:b/>
                <w:sz w:val="18"/>
                <w:szCs w:val="18"/>
              </w:rPr>
              <w:t xml:space="preserve">Question</w:t>
            </w:r>
          </w:p>
        </w:tc>
        <w:tc>
          <w:tcPr>
            <w:tcW w:w="11200" w:type="dxa"/>
            <w:vAlign w:val="top"/>
          </w:tcPr>
          <w:p>
            <w:pPr>
              <w:spacing w:after="0"/>
            </w:pPr>
            <w:r>
              <w:rPr>
                <w:b/>
                <w:color w:val="1A5276"/>
                <w:sz w:val="18"/>
                <w:szCs w:val="18"/>
              </w:rPr>
              <w:t xml:space="preserve">Quels articles exacts fixent l'obligation et le délai d'annonce d'une intoxication professionnelle à l'assureur-accidents (LAA art. 45 ss, OLAA) et la déclaration du botulisme (ordonnance du DFI sur la déclaration d'observations en rapport avec les maladies transmissibles, annexe et délai) ? Citez le texte en vigueur (Fedlex : RS, article, alinéa et lettre exacts, état de consolidation, URL) ou l'entrée Swissmedic/AIPS ou la décision officielle, avec date. Comparez avec la version citée dans le cours et signalez tout changement.</w:t>
            </w:r>
          </w:p>
        </w:tc>
      </w:tr>
      <w:tr>
        <w:trPr>
          <w:cantSplit/>
        </w:trPr>
        <w:tc>
          <w:tcPr>
            <w:tcW w:w="3400" w:type="dxa"/>
            <w:vAlign w:val="top"/>
          </w:tcPr>
          <w:p>
            <w:pPr>
              <w:spacing w:after="0"/>
            </w:pPr>
            <w:r>
              <w:rPr>
                <w:sz w:val="17"/>
                <w:szCs w:val="17"/>
              </w:rPr>
              <w:t xml:space="preserve">À fournir</w:t>
            </w:r>
          </w:p>
        </w:tc>
        <w:tc>
          <w:tcPr>
            <w:tcW w:w="11200" w:type="dxa"/>
            <w:vAlign w:val="top"/>
          </w:tcPr>
          <w:p>
            <w:pPr>
              <w:spacing w:after="0"/>
            </w:pPr>
            <w:r>
              <w:rPr>
                <w:sz w:val="17"/>
                <w:szCs w:val="17"/>
              </w:rPr>
              <w:t xml:space="preserve">Pour cette question, fournis : (1) la recommandation suisse en vigueur — société ou autorité, titre exact, année, URL ; (2) la version la plus récente comparée à la version citée dans le cours, avec les différences ; (3) les informations cliniques, doses, posologies, voies et adaptations (rein, foie, enfant, grossesse) selon l'information professionnelle suisse AIPS (swissmedicinfo.ch) ; (4) à défaut de source suisse, la recommandation européenne la plus récente ; (5) un extrait mot pour mot de la source et sa date de consultation.</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Recommandation suisse la plus récente (société/autorité, titre, année, URL)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Version citée dans le cours et différences avec la plus récente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Informations, doses, posologies (AIPS Swissmedic, avec n° d'autorisation)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Source européenne (seulement si aucune source suisse)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Extrait mot pour mot + date de consultation :</w:t>
            </w:r>
          </w:p>
          <w:p>
            <w:pPr>
              <w:spacing w:after="60"/>
            </w:pPr>
            <w:r>
              <w:rPr>
                <w:sz w:val="17"/>
                <w:szCs w:val="17"/>
              </w:rPr>
              <w:t xml:space="preserve"> </w:t>
            </w:r>
          </w:p>
        </w:tc>
      </w:tr>
      <w:tr>
        <w:trPr>
          <w:cantSplit/>
        </w:trPr>
        <w:tc>
          <w:tcPr>
            <w:tcW w:w="3400" w:type="dxa"/>
            <w:shd w:val="clear" w:color="auto" w:fill="EAFAF1"/>
            <w:vAlign w:val="top"/>
          </w:tcPr>
          <w:p>
            <w:pPr>
              <w:spacing w:after="0"/>
            </w:pPr>
            <w:r>
              <w:rPr>
                <w:b/>
                <w:color w:val="145A32"/>
                <w:sz w:val="17"/>
                <w:szCs w:val="17"/>
              </w:rPr>
              <w:t xml:space="preserve">Réponse Gemini</w:t>
            </w:r>
          </w:p>
        </w:tc>
        <w:tc>
          <w:tcPr>
            <w:tcW w:w="11200" w:type="dxa"/>
            <w:shd w:val="clear" w:color="auto" w:fill="FFFFFF"/>
            <w:vAlign w:val="top"/>
          </w:tcPr>
          <w:p>
            <w:pPr>
              <w:spacing w:after="0"/>
            </w:pPr>
            <w:r>
              <w:rPr>
                <w:color w:val="145A32"/>
                <w:sz w:val="17"/>
                <w:szCs w:val="17"/>
              </w:rPr>
              <w:t xml:space="preserve">Certitude (élevée / moyenne / faible) et réserves :</w:t>
            </w:r>
          </w:p>
          <w:p>
            <w:pPr>
              <w:spacing w:after="60"/>
            </w:pPr>
            <w:r>
              <w:rPr>
                <w:sz w:val="17"/>
                <w:szCs w:val="17"/>
              </w:rPr>
              <w:t xml:space="preserve"> </w:t>
            </w:r>
          </w:p>
        </w:tc>
      </w:tr>
    </w:tbl>
    <w:p>
      <w:pPr>
        <w:spacing w:after="120"/>
      </w:pPr>
    </w:p>
    <w:sectPr>
      <w:pgSz w:w="16838" w:h="11906" w:orient="landscape"/>
      <w:pgMar w:top="850" w:right="850" w:bottom="850" w:left="850" w:header="400" w:footer="400" w:gutter="0"/>
    </w:sectPr>
  </w:body>
</w:document>
</file>

<file path=word/styles.xml><?xml version="1.0" encoding="utf-8"?>
<w:styles xmlns:w="http://schemas.openxmlformats.org/wordprocessingml/2006/main">
  <w:docDefaults>
    <w:rPrDefault>
      <w:rPr>
        <w:rFonts w:ascii="Calibri" w:hAnsi="Calibri" w:eastAsia="Calibri" w:cs="Calibri"/>
        <w:sz w:val="20"/>
        <w:lang w:val="fr-CH"/>
      </w:rPr>
    </w:rPrDefault>
    <w:pPrDefault>
      <w:pPr>
        <w:spacing w:after="80" w:line="264" w:lineRule="auto"/>
      </w:pPr>
    </w:pPrDefault>
  </w:docDefaults>
  <w:style w:type="paragraph" w:default="1" w:styleId="Normal">
    <w:name w:val="Normal"/>
  </w:style>
  <w:style w:type="paragraph" w:styleId="Titre1">
    <w:name w:val="heading 1"/>
    <w:basedOn w:val="Normal"/>
    <w:pPr>
      <w:keepNext/>
      <w:spacing w:before="240" w:after="100"/>
      <w:pBdr>
        <w:bottom w:val="single" w:sz="8" w:space="2" w:color="2980B9"/>
      </w:pBdr>
      <w:outlineLvl w:val="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