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8 — Hypothermie (SSP G8)</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7</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44</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43</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16</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110</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Le LOT_8 est incomplet (Appel A et Partie 1 seulement) et repose sur des seuils périmés d'avalanche, de kaliémie et d'adrénaline.</w:t>
      </w:r>
    </w:p>
    <w:p>
      <w:pPr>
        <w:spacing w:after="40"/>
      </w:pPr>
      <w:r>
        <w:rPr>
          <w:sz w:val="17"/>
          <w:szCs w:val="17"/>
        </w:rPr>
        <w:t xml:space="preserve">Six constats critiques touchent l'arrêt de réanimation, le triage et l'orientation vers l'ECLS ; ils doivent être corrigés avant toute publication.</w:t>
      </w:r>
    </w:p>
    <w:p>
      <w:pPr>
        <w:spacing w:after="40"/>
      </w:pPr>
      <w:r>
        <w:rPr>
          <w:sz w:val="17"/>
          <w:szCs w:val="17"/>
        </w:rPr>
        <w:t xml:space="preserve">Le LOT_8 ne contient que l'Appel A et la Partie 1 ; les Parties 2 à 4 manquent.</w:t>
      </w:r>
    </w:p>
    <w:p>
      <w:pPr>
        <w:spacing w:after="40"/>
      </w:pPr>
      <w:r>
        <w:rPr>
          <w:sz w:val="17"/>
          <w:szCs w:val="17"/>
        </w:rPr>
        <w:t xml:space="preserve">Les deux fichiers respectent le format HTML mais restent très incomplets au regard du prompt V6, et la Partie 1 contient une conduite dangereuse sur l'arrêt de réanimation après avalanche.</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LOT_8_Appel_A_V6_Ultra_Pedagogique_Plan_et_Liste.html</w:t>
            </w:r>
          </w:p>
        </w:tc>
        <w:tc>
          <w:tcPr>
            <w:tcW w:w="4600" w:type="dxa"/>
            <w:vAlign w:val="top"/>
          </w:tcPr>
          <w:p>
            <w:pPr>
              <w:spacing w:after="0"/>
            </w:pPr>
            <w:r>
              <w:rPr>
                <w:sz w:val="17"/>
                <w:szCs w:val="17"/>
              </w:rPr>
              <w:t xml:space="preserve">1WCzVrAAj497uAYYdOkgRsPstjEvFEDqJ</w:t>
            </w:r>
          </w:p>
        </w:tc>
        <w:tc>
          <w:tcPr>
            <w:tcW w:w="1500" w:type="dxa"/>
            <w:vAlign w:val="top"/>
          </w:tcPr>
          <w:p>
            <w:pPr>
              <w:spacing w:after="0"/>
            </w:pPr>
            <w:r>
              <w:rPr>
                <w:sz w:val="17"/>
                <w:szCs w:val="17"/>
              </w:rPr>
              <w:t xml:space="preserve">16199</w:t>
            </w:r>
          </w:p>
        </w:tc>
        <w:tc>
          <w:tcPr>
            <w:tcW w:w="1900" w:type="dxa"/>
            <w:vAlign w:val="top"/>
          </w:tcPr>
          <w:p>
            <w:pPr>
              <w:spacing w:after="0"/>
            </w:pPr>
            <w:r>
              <w:rPr>
                <w:sz w:val="17"/>
                <w:szCs w:val="17"/>
              </w:rPr>
              <w:t xml:space="preserve">HTML</w:t>
            </w:r>
          </w:p>
        </w:tc>
      </w:tr>
      <w:tr>
        <w:trPr>
          <w:cantSplit/>
        </w:trPr>
        <w:tc>
          <w:tcPr>
            <w:tcW w:w="6400" w:type="dxa"/>
            <w:vAlign w:val="top"/>
          </w:tcPr>
          <w:p>
            <w:pPr>
              <w:spacing w:after="0"/>
            </w:pPr>
            <w:r>
              <w:rPr>
                <w:sz w:val="17"/>
                <w:szCs w:val="17"/>
              </w:rPr>
              <w:t xml:space="preserve">LOT_8_Appel_B_V6_Ultra_Pedagogique_Partie_1_DX.1_a_DX.2.html</w:t>
            </w:r>
          </w:p>
        </w:tc>
        <w:tc>
          <w:tcPr>
            <w:tcW w:w="4600" w:type="dxa"/>
            <w:vAlign w:val="top"/>
          </w:tcPr>
          <w:p>
            <w:pPr>
              <w:spacing w:after="0"/>
            </w:pPr>
            <w:r>
              <w:rPr>
                <w:sz w:val="17"/>
                <w:szCs w:val="17"/>
              </w:rPr>
              <w:t xml:space="preserve">1wDWKTD2X5UVxsYBviTWPi7rYyvpQQ61D</w:t>
            </w:r>
          </w:p>
        </w:tc>
        <w:tc>
          <w:tcPr>
            <w:tcW w:w="1500" w:type="dxa"/>
            <w:vAlign w:val="top"/>
          </w:tcPr>
          <w:p>
            <w:pPr>
              <w:spacing w:after="0"/>
            </w:pPr>
            <w:r>
              <w:rPr>
                <w:sz w:val="17"/>
                <w:szCs w:val="17"/>
              </w:rPr>
              <w:t xml:space="preserve">15270</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7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L8-L43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10 (Arbre décisionnel)</w:t>
            </w:r>
          </w:p>
        </w:tc>
        <w:tc>
          <w:tcPr>
            <w:tcW w:w="2600" w:type="dxa"/>
            <w:vAlign w:val="top"/>
          </w:tcPr>
          <w:p>
            <w:pPr>
              <w:spacing w:after="0"/>
            </w:pPr>
            <w:r>
              <w:rPr>
                <w:i/>
                <w:sz w:val="17"/>
                <w:szCs w:val="17"/>
              </w:rPr>
              <w:t xml:space="preserve">« Si la victime est extraite en asystolie après 45 minutes avec de la neige plein la bouche, le médecin stoppe la réanimation sur place. »</w:t>
            </w:r>
          </w:p>
        </w:tc>
        <w:tc>
          <w:tcPr>
            <w:tcW w:w="3000" w:type="dxa"/>
            <w:vAlign w:val="top"/>
          </w:tcPr>
          <w:p>
            <w:pPr>
              <w:spacing w:after="40"/>
            </w:pPr>
            <w:r>
              <w:rPr>
                <w:sz w:val="17"/>
                <w:szCs w:val="17"/>
              </w:rPr>
              <w:t xml:space="preserve">Selon l'ERC 2021, un enfouissement de moins de 60 minutes impose une réanimation standard (arrêt asphyxique potentiellement réversible) ; arrêter la réanimation à 45 minutes sur le seul critère des voies obstruées peut priver d'une chance de survie.</w:t>
            </w:r>
          </w:p>
          <w:p>
            <w:pPr>
              <w:spacing w:after="0"/>
            </w:pPr>
            <w:r>
              <w:rPr>
                <w:b/>
                <w:color w:val="145A32"/>
                <w:sz w:val="17"/>
                <w:szCs w:val="17"/>
              </w:rPr>
              <w:t xml:space="preserve">→ Écrire : « Si l'enfouissement dure ≤ 60 min, l'équipe applique la réanimation standard. Si l'enfouissement dépasse 60 min avec voies aériennes obstruées et asystolie, le médecin peut arrêter la réanimation ; si les voies sont libres, il organise un transfert vers un centre d'ECLS. [Sn] »</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3 › fenêtre « Système de Stadification Suisse (Swiss Staging System) &amp; Critère K+ »</w:t>
            </w:r>
          </w:p>
        </w:tc>
        <w:tc>
          <w:tcPr>
            <w:tcW w:w="2600" w:type="dxa"/>
            <w:vAlign w:val="top"/>
          </w:tcPr>
          <w:p>
            <w:pPr>
              <w:spacing w:after="0"/>
            </w:pPr>
            <w:r>
              <w:rPr>
                <w:i/>
                <w:sz w:val="17"/>
                <w:szCs w:val="17"/>
              </w:rPr>
              <w:t xml:space="preserve">« Si Avalanche + ACR : K+ &gt; 8 mmol/L = Asphyxie létale (Arrêt réanimation). »</w:t>
            </w:r>
          </w:p>
        </w:tc>
        <w:tc>
          <w:tcPr>
            <w:tcW w:w="3000" w:type="dxa"/>
            <w:vAlign w:val="top"/>
          </w:tcPr>
          <w:p>
            <w:pPr>
              <w:spacing w:after="40"/>
            </w:pPr>
            <w:r>
              <w:rPr>
                <w:sz w:val="17"/>
                <w:szCs w:val="17"/>
              </w:rPr>
              <w:t xml:space="preserve">Le seuil de 8 mmol/L appartient aux anciennes recommandations ; l'ERC 2025 et l'ICAR 2023 fondent la décision hospitalière sur le score HOPE (option « non-asphyxie » en cas de doute) et n'utilisent la kaliémie qu'à défaut de HOPE, avec le seuil de 7 mmol/L associé à une Tcc &lt; 30 °C, ce qui rend la règle du fichier fausse et susceptible d'arrêts injustifiés.</w:t>
            </w:r>
          </w:p>
          <w:p>
            <w:pPr>
              <w:spacing w:after="0"/>
            </w:pPr>
            <w:r>
              <w:rPr>
                <w:b/>
                <w:color w:val="145A32"/>
                <w:sz w:val="17"/>
                <w:szCs w:val="17"/>
              </w:rPr>
              <w:t xml:space="preserve">→ Remplacer par : « Victime d'avalanche en ACR : à l'hôpital, calculez le score HOPE (option non-asphyxie en cas de doute) ; un HOPE ≥ 10 % indique un réchauffement par ECLS. Si le HOPE ne peut pas être calculé, une kaliémie &lt; 7 mmol/L associée à une Tcc &lt; 30 °C aide à poser l'indication d'ECLS.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(figure 6, note e) ; ICAR MedCom — Pasquier M, Strapazzon G, Kottmann A, et al. On-site treatment of avalanche victims: scoping review and 2023 recommendations — Resuscitation 2023;184:109708 — https://doi.org/10.1016/j.resuscitation.2023.109708 (résumé lu sur https://boris.unibe.ch/178065,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10 (Arbre décisionnel)</w:t>
            </w:r>
          </w:p>
        </w:tc>
        <w:tc>
          <w:tcPr>
            <w:tcW w:w="2600" w:type="dxa"/>
            <w:vAlign w:val="top"/>
          </w:tcPr>
          <w:p>
            <w:pPr>
              <w:spacing w:after="0"/>
            </w:pPr>
            <w:r>
              <w:rPr>
                <w:i/>
                <w:sz w:val="17"/>
                <w:szCs w:val="17"/>
              </w:rPr>
              <w:t xml:space="preserve">« Signes vitaux PRÉSENTS = HT II/III → Hôpital cantonal/universitaire, monitoring. »</w:t>
            </w:r>
          </w:p>
        </w:tc>
        <w:tc>
          <w:tcPr>
            <w:tcW w:w="3000" w:type="dxa"/>
            <w:vAlign w:val="top"/>
          </w:tcPr>
          <w:p>
            <w:pPr>
              <w:spacing w:after="40"/>
            </w:pPr>
            <w:r>
              <w:rPr>
                <w:sz w:val="17"/>
                <w:szCs w:val="17"/>
              </w:rPr>
              <w:t xml:space="preserve">L'arbre omet les facteurs de risque d'ACR imminent (FC &lt; 45/min, PAS &lt; 90 mmHg, arythmie ventriculaire, Tcc &lt; 30 °C), qui imposent selon l'ERC 2025 un transfert direct vers un centre ECPR ; un patient HT III instable envoyé dans un hôpital sans ECLS perd l'accès au traitement salvateur.</w:t>
            </w:r>
          </w:p>
          <w:p>
            <w:pPr>
              <w:spacing w:after="0"/>
            </w:pPr>
            <w:r>
              <w:rPr>
                <w:b/>
                <w:color w:val="145A32"/>
                <w:sz w:val="17"/>
                <w:szCs w:val="17"/>
              </w:rPr>
              <w:t xml:space="preserve">→ Ajouter l'embranchement : « Signes vitaux présents ET au moins un facteur de risque (FC &lt; 45/min, PAS &lt; 90 mmHg, arythmie ventriculaire, Tcc &lt; 30 °C) → transfert direct vers un centre ECLS/ECPR ; sans facteur de risque → hôpital adapté le plus proche, isolation et réchauffement.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14 (Pièges)</w:t>
            </w:r>
          </w:p>
        </w:tc>
        <w:tc>
          <w:tcPr>
            <w:tcW w:w="2600" w:type="dxa"/>
            <w:vAlign w:val="top"/>
          </w:tcPr>
          <w:p>
            <w:pPr>
              <w:spacing w:after="0"/>
            </w:pPr>
            <w:r>
              <w:rPr>
                <w:i/>
                <w:sz w:val="17"/>
                <w:szCs w:val="17"/>
              </w:rPr>
              <w:t xml:space="preserve">« un K+ &gt; 8 mmol/L après avalanche (asphyxie) »</w:t>
            </w:r>
          </w:p>
        </w:tc>
        <w:tc>
          <w:tcPr>
            <w:tcW w:w="3000" w:type="dxa"/>
            <w:vAlign w:val="top"/>
          </w:tcPr>
          <w:p>
            <w:pPr>
              <w:spacing w:after="40"/>
            </w:pPr>
            <w:r>
              <w:rPr>
                <w:sz w:val="17"/>
                <w:szCs w:val="17"/>
              </w:rPr>
              <w:t xml:space="preserve">Le fichier présente une kaliémie &gt; 8 mmol/L comme critère d'arrêt immédiat sur place, alors que la kaliémie se mesure à l'hôpital et que les critères de non-réanimation sur le terrain sont les lésions létales, le corps entièrement gelé (thorax incompressible) et, en avalanche, l'ensevelissement &gt; 60 min avec voies aériennes obstruées sans signe de vie.</w:t>
            </w:r>
          </w:p>
          <w:p>
            <w:pPr>
              <w:spacing w:after="0"/>
            </w:pPr>
            <w:r>
              <w:rPr>
                <w:b/>
                <w:color w:val="145A32"/>
                <w:sz w:val="17"/>
                <w:szCs w:val="17"/>
              </w:rPr>
              <w:t xml:space="preserve">→ Remplacer par : « Sur place, on ne débute pas ou on arrête la RCP devant des lésions létales (décapitation, section du tronc, décomposition), un corps entièrement gelé au thorax incompressible ou, après avalanche, un ensevelissement &gt; 60 min avec nez et bouche obstrués et sans signe de vie. La kaliémie et le HOPE se décident à l'hôpital.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(figures 5, 6 et 14) ; ICAR MedCom — Pasquier M, Strapazzon G, Kottmann A, et al. On-site treatment of avalanche victims: scoping review and 2023 recommendations — Resuscitation 2023;184:109708 — https://doi.org/10.1016/j.resuscitation.2023.109708 (résumé lu sur https://boris.unibe.ch/178065,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L8-M31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fenêtre « Triage Avalanche ERC/ICAR »</w:t>
            </w:r>
          </w:p>
        </w:tc>
        <w:tc>
          <w:tcPr>
            <w:tcW w:w="2600" w:type="dxa"/>
            <w:vAlign w:val="top"/>
          </w:tcPr>
          <w:p>
            <w:pPr>
              <w:spacing w:after="0"/>
            </w:pPr>
            <w:r>
              <w:rPr>
                <w:i/>
                <w:sz w:val="17"/>
                <w:szCs w:val="17"/>
              </w:rPr>
              <w:t xml:space="preserve">« Si temps &gt; 35 min ET VAS obstruées (asystolie) → Déclarer décès. »</w:t>
            </w:r>
          </w:p>
        </w:tc>
        <w:tc>
          <w:tcPr>
            <w:tcW w:w="3000" w:type="dxa"/>
            <w:vAlign w:val="top"/>
          </w:tcPr>
          <w:p>
            <w:pPr>
              <w:spacing w:after="40"/>
            </w:pPr>
            <w:r>
              <w:rPr>
                <w:sz w:val="17"/>
                <w:szCs w:val="17"/>
              </w:rPr>
              <w:t xml:space="preserve">Le seuil de 35 min est périmé : l'ICAR 2023 et l'ERC 2025 retiennent 60 min ; avant 60 min sans signe de vie, on présume une asphyxie et on ventile immédiatement quel que soit l'état des voies aériennes, et l'on ne renonce à la RCP qu'après 60 min avec nez et bouche obstrués. La fenêtre arrête aussi la réanimation sur une kaliémie &gt; 8 mmol/L, au lieu du HOPE ou de K+ &lt; 7 mmol/L et Tcc &lt; 30 °C.</w:t>
            </w:r>
          </w:p>
          <w:p>
            <w:pPr>
              <w:spacing w:after="0"/>
            </w:pPr>
            <w:r>
              <w:rPr>
                <w:b/>
                <w:color w:val="145A32"/>
                <w:sz w:val="17"/>
                <w:szCs w:val="17"/>
              </w:rPr>
              <w:t xml:space="preserve">→ Remplacer l'algorithme par : « Ensevelissement ≤ 60 min (ou Tcc ≥ 30 °C) sans signe de vie → asphyxie présumée : 5 insufflations puis RCP standard. Ensevelissement &gt; 60 min (ou Tcc &lt; 30 °C) : voies aériennes perméables → RCP et transfert vers un centre ECLS ; nez et bouche obstrués sans signe de vie → pas de RCP. À l'hôpital : HOPE (option non-asphyxie en cas de doute) ; à défaut K+ &lt; 7 mmol/L et Tcc &lt; 30 °C → ECLS. »</w:t>
            </w:r>
          </w:p>
        </w:tc>
        <w:tc>
          <w:tcPr>
            <w:tcW w:w="1800" w:type="dxa"/>
            <w:vAlign w:val="top"/>
          </w:tcPr>
          <w:p>
            <w:pPr>
              <w:spacing w:after="0"/>
            </w:pPr>
            <w:r>
              <w:rPr>
                <w:sz w:val="17"/>
                <w:szCs w:val="17"/>
              </w:rPr>
              <w:t xml:space="preserve">ICAR MedCom — Pasquier M, Strapazzon G, Kottmann A, et al. On-site treatment of avalanche victims: scoping review and 2023 recommendations — Resuscitation 2023;184:109708 — https://doi.org/10.1016/j.resuscitation.2023.109708 (résumé lu sur https://boris.unibe.ch/178065, 22.10.2026) ; 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(figure 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L8-M32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point 10 (Arbre décisionnel)</w:t>
            </w:r>
          </w:p>
        </w:tc>
        <w:tc>
          <w:tcPr>
            <w:tcW w:w="2600" w:type="dxa"/>
            <w:vAlign w:val="top"/>
          </w:tcPr>
          <w:p>
            <w:pPr>
              <w:spacing w:after="0"/>
            </w:pPr>
            <w:r>
              <w:rPr>
                <w:i/>
                <w:sz w:val="17"/>
                <w:szCs w:val="17"/>
              </w:rPr>
              <w:t xml:space="preserve">« Si la victime est extraite en asystolie après 45 minutes avec de la neige plein la bouche, le médecin stoppe la réanimation sur place. »</w:t>
            </w:r>
          </w:p>
        </w:tc>
        <w:tc>
          <w:tcPr>
            <w:tcW w:w="3000" w:type="dxa"/>
            <w:vAlign w:val="top"/>
          </w:tcPr>
          <w:p>
            <w:pPr>
              <w:spacing w:after="40"/>
            </w:pPr>
            <w:r>
              <w:rPr>
                <w:sz w:val="17"/>
                <w:szCs w:val="17"/>
              </w:rPr>
              <w:t xml:space="preserve">À 45 minutes, l'ICAR 2023 et l'ERC 2025 présument une asphyxie et imposent des insufflations immédiates suivies d'une RCP standard, quel que soit l'état des voies aériennes ; arrêter la réanimation dans ce cas peut laisser mourir une victime récupérable.</w:t>
            </w:r>
          </w:p>
          <w:p>
            <w:pPr>
              <w:spacing w:after="0"/>
            </w:pPr>
            <w:r>
              <w:rPr>
                <w:b/>
                <w:color w:val="145A32"/>
                <w:sz w:val="17"/>
                <w:szCs w:val="17"/>
              </w:rPr>
              <w:t xml:space="preserve">→ Écrire : « Si la victime est extraite sans signe de vie avant 60 minutes, le médecin présume une asphyxie : il dégage les voies aériennes, insuffle immédiatement et poursuit une RCP standard. Il ne renonce à la RCP qu'après plus de 60 minutes d'ensevelissement, nez et bouche obstrués, sans signe de vie. »</w:t>
            </w:r>
          </w:p>
        </w:tc>
        <w:tc>
          <w:tcPr>
            <w:tcW w:w="1800" w:type="dxa"/>
            <w:vAlign w:val="top"/>
          </w:tcPr>
          <w:p>
            <w:pPr>
              <w:spacing w:after="0"/>
            </w:pPr>
            <w:r>
              <w:rPr>
                <w:sz w:val="17"/>
                <w:szCs w:val="17"/>
              </w:rPr>
              <w:t xml:space="preserve">ICAR MedCom — Pasquier M, Strapazzon G, Kottmann A, et al. On-site treatment of avalanche victims: scoping review and 2023 recommendations — Resuscitation 2023;184:109708 — https://doi.org/10.1016/j.resuscitation.2023.109708 (résumé lu sur https://boris.unibe.ch/178065, 22.10.2026) ; 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L8-M33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fenêtre « Triage Avalanche » › tableau › ligne Kaliémie</w:t>
            </w:r>
          </w:p>
        </w:tc>
        <w:tc>
          <w:tcPr>
            <w:tcW w:w="2600" w:type="dxa"/>
            <w:vAlign w:val="top"/>
          </w:tcPr>
          <w:p>
            <w:pPr>
              <w:spacing w:after="0"/>
            </w:pPr>
            <w:r>
              <w:rPr>
                <w:i/>
                <w:sz w:val="17"/>
                <w:szCs w:val="17"/>
              </w:rPr>
              <w:t xml:space="preserve">« L'hypoxie cellulaire prolongée lyse les cellules et libère le K+. La réanimation devient futile. »</w:t>
            </w:r>
          </w:p>
        </w:tc>
        <w:tc>
          <w:tcPr>
            <w:tcW w:w="3000" w:type="dxa"/>
            <w:vAlign w:val="top"/>
          </w:tcPr>
          <w:p>
            <w:pPr>
              <w:spacing w:after="40"/>
            </w:pPr>
            <w:r>
              <w:rPr>
                <w:sz w:val="17"/>
                <w:szCs w:val="17"/>
              </w:rPr>
              <w:t xml:space="preserve">Le seuil de 8 mmol/L n'est plus recommandé et la normale de 3,5–4,5 mmol/L est trop étroite ; l'ERC 2025 utilise le score HOPE et, à défaut, K+ &lt; 7 mmol/L avec Tcc &lt; 30 °C pour poser l'indication d'ECLS. Répétition au point 13 de DX.2 (« Le seuil de kaliémie supérieure à 8 mmol/L signe une mort cellulaire hypoxique irréversible ») : 2 occurrences.</w:t>
            </w:r>
          </w:p>
          <w:p>
            <w:pPr>
              <w:spacing w:after="0"/>
            </w:pPr>
            <w:r>
              <w:rPr>
                <w:b/>
                <w:color w:val="145A32"/>
                <w:sz w:val="17"/>
                <w:szCs w:val="17"/>
              </w:rPr>
              <w:t xml:space="preserve">→ Remplacer la ligne par : « Kaliémie | 3,5–5,0 mmol/L | HOPE non calculable : K+ &lt; 7 mmol/L ET Tcc &lt; 30 °C | Ces valeurs plaident pour un réchauffement par ECLS ; le HOPE reste le critère principal. » Corriger le point 13 dans le même sens.</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(figure 6, note e)</w:t>
            </w:r>
          </w:p>
        </w:tc>
      </w:tr>
    </w:tbl>
    <w:p>
      <w:pPr>
        <w:spacing w:after="120"/>
      </w:pPr>
    </w:p>
    <w:p>
      <w:pPr>
        <w:pStyle w:val="Titre1"/>
        <w:keepNext/>
      </w:pPr>
      <w:r>
        <w:rPr>
          <w:b/>
          <w:color w:val="C0392B"/>
          <w:sz w:val="26"/>
          <w:szCs w:val="26"/>
        </w:rPr>
        <w:t xml:space="preserve">Grave — 44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(absent) LOT_8_Appel_B_V6_Ultra_Pedagogique_Partie_2_DX.3_a_DX.5.html</w:t>
            </w:r>
          </w:p>
        </w:tc>
        <w:tc>
          <w:tcPr>
            <w:tcW w:w="2350" w:type="dxa"/>
            <w:vAlign w:val="top"/>
          </w:tcPr>
          <w:p>
            <w:pPr>
              <w:spacing w:after="0"/>
            </w:pPr>
            <w:r>
              <w:rPr>
                <w:sz w:val="17"/>
                <w:szCs w:val="17"/>
              </w:rPr>
              <w:t xml:space="preserve">Dossier LOT_8 › Partie 2</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La Partie 2 (DX.3 à DX.5) manque dans le lot cloné, de sorte que le coma myxœdémateux, l'intoxication à l'éthanol et l'intoxication aux opiacés ne reçoivent aucune monographie.</w:t>
            </w:r>
          </w:p>
          <w:p>
            <w:pPr>
              <w:spacing w:after="0"/>
            </w:pPr>
            <w:r>
              <w:rPr>
                <w:b/>
                <w:color w:val="145A32"/>
                <w:sz w:val="17"/>
                <w:szCs w:val="17"/>
              </w:rPr>
              <w:t xml:space="preserve">→ Rédiger, auditer et déposer LOT_8_Appel_B_V6_Ultra_Pedagogique_Partie_2_DX.3_a_DX.5.html selon le gabarit V6.</w:t>
            </w:r>
          </w:p>
        </w:tc>
        <w:tc>
          <w:tcPr>
            <w:tcW w:w="1800" w:type="dxa"/>
            <w:vAlign w:val="top"/>
          </w:tcPr>
          <w:p>
            <w:pPr>
              <w:spacing w:after="0"/>
            </w:pPr>
            <w:r>
              <w:rPr>
                <w:sz w:val="17"/>
                <w:szCs w:val="17"/>
              </w:rPr>
              <w:t xml:space="preserve">PROMPT_V6.md (prompt de base, Standard V6) § 4 et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(absent) LOT_8_Appel_B_V6_Ultra_Pedagogique_Partie_3_DX.6_a_DX.7.html</w:t>
            </w:r>
          </w:p>
        </w:tc>
        <w:tc>
          <w:tcPr>
            <w:tcW w:w="2350" w:type="dxa"/>
            <w:vAlign w:val="top"/>
          </w:tcPr>
          <w:p>
            <w:pPr>
              <w:spacing w:after="0"/>
            </w:pPr>
            <w:r>
              <w:rPr>
                <w:sz w:val="17"/>
                <w:szCs w:val="17"/>
              </w:rPr>
              <w:t xml:space="preserve">Dossier LOT_8 › Partie 3</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La Partie 3 (DX.6 à DX.7) manque, si bien que le choc septique et l'hypoglycémie sévère restent sans monographie.</w:t>
            </w:r>
          </w:p>
          <w:p>
            <w:pPr>
              <w:spacing w:after="0"/>
            </w:pPr>
            <w:r>
              <w:rPr>
                <w:b/>
                <w:color w:val="145A32"/>
                <w:sz w:val="17"/>
                <w:szCs w:val="17"/>
              </w:rPr>
              <w:t xml:space="preserve">→ Rédiger, auditer et déposer LOT_8_Appel_B_V6_Ultra_Pedagogique_Partie_3_DX.6_a_DX.7.html.</w:t>
            </w:r>
          </w:p>
        </w:tc>
        <w:tc>
          <w:tcPr>
            <w:tcW w:w="1800" w:type="dxa"/>
            <w:vAlign w:val="top"/>
          </w:tcPr>
          <w:p>
            <w:pPr>
              <w:spacing w:after="0"/>
            </w:pPr>
            <w:r>
              <w:rPr>
                <w:sz w:val="17"/>
                <w:szCs w:val="17"/>
              </w:rPr>
              <w:t xml:space="preserve">PROMPT_V6.md (prompt de base, Standard V6) §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(absent) LOT_8_Appel_B_V6_Ultra_Pedagogique_Partie_4_DX.8_a_DX.10.html</w:t>
            </w:r>
          </w:p>
        </w:tc>
        <w:tc>
          <w:tcPr>
            <w:tcW w:w="2350" w:type="dxa"/>
            <w:vAlign w:val="top"/>
          </w:tcPr>
          <w:p>
            <w:pPr>
              <w:spacing w:after="0"/>
            </w:pPr>
            <w:r>
              <w:rPr>
                <w:sz w:val="17"/>
                <w:szCs w:val="17"/>
              </w:rPr>
              <w:t xml:space="preserve">Dossier LOT_8 › Partie 4</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La Partie 4 (DX.8 à DX.10) manque, si bien que l'encéphalopathie de Wernicke, le choc neurogénique et la crise addisonienne restent sans monographie.</w:t>
            </w:r>
          </w:p>
          <w:p>
            <w:pPr>
              <w:spacing w:after="0"/>
            </w:pPr>
            <w:r>
              <w:rPr>
                <w:b/>
                <w:color w:val="145A32"/>
                <w:sz w:val="17"/>
                <w:szCs w:val="17"/>
              </w:rPr>
              <w:t xml:space="preserve">→ Rédiger, auditer et déposer LOT_8_Appel_B_V6_Ultra_Pedagogique_Partie_4_DX.8_a_DX.10.html.</w:t>
            </w:r>
          </w:p>
        </w:tc>
        <w:tc>
          <w:tcPr>
            <w:tcW w:w="1800" w:type="dxa"/>
            <w:vAlign w:val="top"/>
          </w:tcPr>
          <w:p>
            <w:pPr>
              <w:spacing w:after="0"/>
            </w:pPr>
            <w:r>
              <w:rPr>
                <w:sz w:val="17"/>
                <w:szCs w:val="17"/>
              </w:rPr>
              <w:t xml:space="preserve">PROMPT_V6.md (prompt de base, Standard V6) § 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Fichier entier (16 199 octets)</w:t>
            </w:r>
          </w:p>
        </w:tc>
        <w:tc>
          <w:tcPr>
            <w:tcW w:w="2600" w:type="dxa"/>
            <w:vAlign w:val="top"/>
          </w:tcPr>
          <w:p>
            <w:pPr>
              <w:spacing w:after="0"/>
            </w:pPr>
            <w:r>
              <w:rPr>
                <w:i/>
                <w:sz w:val="17"/>
                <w:szCs w:val="17"/>
              </w:rPr>
              <w:t xml:space="preserve">« Bloc 1 : Monographie du SSP (Symptôme d'appel en 14 points) »</w:t>
            </w:r>
          </w:p>
        </w:tc>
        <w:tc>
          <w:tcPr>
            <w:tcW w:w="3000" w:type="dxa"/>
            <w:vAlign w:val="top"/>
          </w:tcPr>
          <w:p>
            <w:pPr>
              <w:spacing w:after="40"/>
            </w:pPr>
            <w:r>
              <w:rPr>
                <w:sz w:val="17"/>
                <w:szCs w:val="17"/>
              </w:rPr>
              <w:t xml:space="preserve">L'Appel A pèse 16 Ko alors que la fourchette indicative est de 90 à 250 Ko ; cette taille trahit des points réduits à une ou deux phrases sans fenêtres ni tableaux.</w:t>
            </w:r>
          </w:p>
          <w:p>
            <w:pPr>
              <w:spacing w:after="0"/>
            </w:pPr>
            <w:r>
              <w:rPr>
                <w:b/>
                <w:color w:val="145A32"/>
                <w:sz w:val="17"/>
                <w:szCs w:val="17"/>
              </w:rPr>
              <w:t xml:space="preserve">→ Développer chaque point avec ses fenêtres &lt;details&gt; et ses tableaux d'interprétation jusqu'à atteindre la densité attendue.</w:t>
            </w:r>
          </w:p>
        </w:tc>
        <w:tc>
          <w:tcPr>
            <w:tcW w:w="1800" w:type="dxa"/>
            <w:vAlign w:val="top"/>
          </w:tcPr>
          <w:p>
            <w:pPr>
              <w:spacing w:after="0"/>
            </w:pPr>
            <w:r>
              <w:rPr>
                <w:sz w:val="17"/>
                <w:szCs w:val="17"/>
              </w:rPr>
              <w:t xml:space="preserve">PROMPT_V6.md (prompt de base, Standard V6) § 9 (taille indicative)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Fichier entier (15 270 octets)</w:t>
            </w:r>
          </w:p>
        </w:tc>
        <w:tc>
          <w:tcPr>
            <w:tcW w:w="2600" w:type="dxa"/>
            <w:vAlign w:val="top"/>
          </w:tcPr>
          <w:p>
            <w:pPr>
              <w:spacing w:after="0"/>
            </w:pPr>
            <w:r>
              <w:rPr>
                <w:i/>
                <w:sz w:val="17"/>
                <w:szCs w:val="17"/>
              </w:rPr>
              <w:t xml:space="preserve">« DX.1 — Hypothermie accidentelle (immersion/exposition) »</w:t>
            </w:r>
          </w:p>
        </w:tc>
        <w:tc>
          <w:tcPr>
            <w:tcW w:w="3000" w:type="dxa"/>
            <w:vAlign w:val="top"/>
          </w:tcPr>
          <w:p>
            <w:pPr>
              <w:spacing w:after="40"/>
            </w:pPr>
            <w:r>
              <w:rPr>
                <w:sz w:val="17"/>
                <w:szCs w:val="17"/>
              </w:rPr>
              <w:t xml:space="preserve">La Partie 1 pèse 15 Ko pour deux monographies, soit environ six fois moins que le minimum indicatif ; chaque point tient en une phrase et les rubriques 9 et 11 sont squelettiques.</w:t>
            </w:r>
          </w:p>
          <w:p>
            <w:pPr>
              <w:spacing w:after="0"/>
            </w:pPr>
            <w:r>
              <w:rPr>
                <w:b/>
                <w:color w:val="145A32"/>
                <w:sz w:val="17"/>
                <w:szCs w:val="17"/>
              </w:rPr>
              <w:t xml:space="preserve">→ Reprendre les deux monographies en développant les 14 points, les tableaux d'interprétation et les fenêtres.</w:t>
            </w:r>
          </w:p>
        </w:tc>
        <w:tc>
          <w:tcPr>
            <w:tcW w:w="1800" w:type="dxa"/>
            <w:vAlign w:val="top"/>
          </w:tcPr>
          <w:p>
            <w:pPr>
              <w:spacing w:after="0"/>
            </w:pPr>
            <w:r>
              <w:rPr>
                <w:sz w:val="17"/>
                <w:szCs w:val="17"/>
              </w:rPr>
              <w:t xml:space="preserve">PROMPT_V6.md (prompt de base, Standard V6) § 9 (taille indicative)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points 1 à 14</w:t>
            </w:r>
          </w:p>
        </w:tc>
        <w:tc>
          <w:tcPr>
            <w:tcW w:w="2600" w:type="dxa"/>
            <w:vAlign w:val="top"/>
          </w:tcPr>
          <w:p>
            <w:pPr>
              <w:spacing w:after="0"/>
            </w:pPr>
            <w:r>
              <w:rPr>
                <w:i/>
                <w:sz w:val="17"/>
                <w:szCs w:val="17"/>
              </w:rPr>
              <w:t xml:space="preserve">« Il faut éliminer en priorité les causes graves »</w:t>
            </w:r>
          </w:p>
        </w:tc>
        <w:tc>
          <w:tcPr>
            <w:tcW w:w="3000" w:type="dxa"/>
            <w:vAlign w:val="top"/>
          </w:tcPr>
          <w:p>
            <w:pPr>
              <w:spacing w:after="40"/>
            </w:pPr>
            <w:r>
              <w:rPr>
                <w:sz w:val="17"/>
                <w:szCs w:val="17"/>
              </w:rPr>
              <w:t xml:space="preserve">Le Bloc 1 ne contient qu'une seule fenêtre inline (« déséquilibre thermique ») et une fenêtre de médicaments ; les termes sémiologiques (frisson, onde J d'Osborn, mydriase, rigidité, diurèse au froid, bradypnée) n'ouvrent aucune fenêtre sourcée.</w:t>
            </w:r>
          </w:p>
          <w:p>
            <w:pPr>
              <w:spacing w:after="0"/>
            </w:pPr>
            <w:r>
              <w:rPr>
                <w:b/>
                <w:color w:val="145A32"/>
                <w:sz w:val="17"/>
                <w:szCs w:val="17"/>
              </w:rPr>
              <w:t xml:space="preserve">→ Ouvrir une fenêtre &lt;details&gt; sur chaque signe, examen, score et médicament du Bloc 1 (mécanisme, exemple chiffré, piège, [Sn]).</w:t>
            </w:r>
          </w:p>
        </w:tc>
        <w:tc>
          <w:tcPr>
            <w:tcW w:w="1800" w:type="dxa"/>
            <w:vAlign w:val="top"/>
          </w:tcPr>
          <w:p>
            <w:pPr>
              <w:spacing w:after="0"/>
            </w:pPr>
            <w:r>
              <w:rPr>
                <w:sz w:val="17"/>
                <w:szCs w:val="17"/>
              </w:rPr>
              <w:t xml:space="preserve">PROMPT_V6.md (prompt de base, Standard V6)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9 › 9.b</w:t>
            </w:r>
          </w:p>
        </w:tc>
        <w:tc>
          <w:tcPr>
            <w:tcW w:w="2600" w:type="dxa"/>
            <w:vAlign w:val="top"/>
          </w:tcPr>
          <w:p>
            <w:pPr>
              <w:spacing w:after="0"/>
            </w:pPr>
            <w:r>
              <w:rPr>
                <w:i/>
                <w:sz w:val="17"/>
                <w:szCs w:val="17"/>
              </w:rPr>
              <w:t xml:space="preserve">« ECG 12 dérivations (bradycardie sinusale, allongement PR/QRS/QT, onde J d'Osborn typique en V2-V5), Gazométrie artérielle »</w:t>
            </w:r>
          </w:p>
        </w:tc>
        <w:tc>
          <w:tcPr>
            <w:tcW w:w="3000" w:type="dxa"/>
            <w:vAlign w:val="top"/>
          </w:tcPr>
          <w:p>
            <w:pPr>
              <w:spacing w:after="40"/>
            </w:pPr>
            <w:r>
              <w:rPr>
                <w:sz w:val="17"/>
                <w:szCs w:val="17"/>
              </w:rPr>
              <w:t xml:space="preserve">Aucun examen du point 9 (ECG, gazométrie, ionogramme, glycémie, lactates, TSH, cortisol) ne reçoit le tableau d'interprétation normal | seuil | signification | conduite exigé.</w:t>
            </w:r>
          </w:p>
          <w:p>
            <w:pPr>
              <w:spacing w:after="0"/>
            </w:pPr>
            <w:r>
              <w:rPr>
                <w:b/>
                <w:color w:val="145A32"/>
                <w:sz w:val="17"/>
                <w:szCs w:val="17"/>
              </w:rPr>
              <w:t xml:space="preserve">→ Ajouter un tableau d'interprétation par examen, valeurs en unités SI suisses (ex. kaliémie 3,5–5,0 mmol/L ; lactates &lt; 2 mmol/L).</w:t>
            </w:r>
          </w:p>
        </w:tc>
        <w:tc>
          <w:tcPr>
            <w:tcW w:w="1800" w:type="dxa"/>
            <w:vAlign w:val="top"/>
          </w:tcPr>
          <w:p>
            <w:pPr>
              <w:spacing w:after="0"/>
            </w:pPr>
            <w:r>
              <w:rPr>
                <w:sz w:val="17"/>
                <w:szCs w:val="17"/>
              </w:rPr>
              <w:t xml:space="preserve">PROMPT_V6.md (prompt de base, Standard V6) § 5 point 9 et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L8-L09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liste DX.1–DX.10</w:t>
            </w:r>
          </w:p>
        </w:tc>
        <w:tc>
          <w:tcPr>
            <w:tcW w:w="2600" w:type="dxa"/>
            <w:vAlign w:val="top"/>
          </w:tcPr>
          <w:p>
            <w:pPr>
              <w:spacing w:after="0"/>
            </w:pPr>
            <w:r>
              <w:rPr>
                <w:i/>
                <w:sz w:val="17"/>
                <w:szCs w:val="17"/>
              </w:rPr>
              <w:t xml:space="preserve">« Justification des 10 DX : Le PROFILES (G8) impose de maîtriser l'hypothermie environnementale »</w:t>
            </w:r>
          </w:p>
        </w:tc>
        <w:tc>
          <w:tcPr>
            <w:tcW w:w="3000" w:type="dxa"/>
            <w:vAlign w:val="top"/>
          </w:tcPr>
          <w:p>
            <w:pPr>
              <w:spacing w:after="40"/>
            </w:pPr>
            <w:r>
              <w:rPr>
                <w:sz w:val="17"/>
                <w:szCs w:val="17"/>
              </w:rPr>
              <w:t xml:space="preserve">Le Bloc 2 n'annonce aucun critère d'ordre (fréquence suisse sourcée pondérée par la gravité) et ne contient pas l'algorithme discriminant entre les 10 DX exigé par le prompt.</w:t>
            </w:r>
          </w:p>
          <w:p>
            <w:pPr>
              <w:spacing w:after="0"/>
            </w:pPr>
            <w:r>
              <w:rPr>
                <w:b/>
                <w:color w:val="145A32"/>
                <w:sz w:val="17"/>
                <w:szCs w:val="17"/>
              </w:rPr>
              <w:t xml:space="preserve">→ Annoncer le critère d'ordre en une phrase verbale, puis ajouter un algorithme (texte structuré ou tableau) montrant quel signe ou examen fait passer d'un DX à l'autre.</w:t>
            </w:r>
          </w:p>
        </w:tc>
        <w:tc>
          <w:tcPr>
            <w:tcW w:w="1800" w:type="dxa"/>
            <w:vAlign w:val="top"/>
          </w:tcPr>
          <w:p>
            <w:pPr>
              <w:spacing w:after="0"/>
            </w:pPr>
            <w:r>
              <w:rPr>
                <w:sz w:val="17"/>
                <w:szCs w:val="17"/>
              </w:rPr>
              <w:t xml:space="preserve">PROMPT_V6.md (prompt de base, Standard 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 › B › Pharmacologiques</w:t>
            </w:r>
          </w:p>
        </w:tc>
        <w:tc>
          <w:tcPr>
            <w:tcW w:w="2600" w:type="dxa"/>
            <w:vAlign w:val="top"/>
          </w:tcPr>
          <w:p>
            <w:pPr>
              <w:spacing w:after="0"/>
            </w:pPr>
            <w:r>
              <w:rPr>
                <w:i/>
                <w:sz w:val="17"/>
                <w:szCs w:val="17"/>
              </w:rPr>
              <w:t xml:space="preserve">« Adrénaline (Adrenalin®) et Amiodarone : RETENUS si Tcc &lt; 30 °C »</w:t>
            </w:r>
          </w:p>
        </w:tc>
        <w:tc>
          <w:tcPr>
            <w:tcW w:w="3000" w:type="dxa"/>
            <w:vAlign w:val="top"/>
          </w:tcPr>
          <w:p>
            <w:pPr>
              <w:spacing w:after="40"/>
            </w:pPr>
            <w:r>
              <w:rPr>
                <w:sz w:val="17"/>
                <w:szCs w:val="17"/>
              </w:rPr>
              <w:t xml:space="preserve">La rubrique pharmacologique ne donne ni dose, ni voie, ni spécialité suisse vérifiée pour l'amiodarone, ni contre-indications, alors que les six items ①–⑥ sont obligatoires.</w:t>
            </w:r>
          </w:p>
          <w:p>
            <w:pPr>
              <w:spacing w:after="0"/>
            </w:pPr>
            <w:r>
              <w:rPr>
                <w:b/>
                <w:color w:val="145A32"/>
                <w:sz w:val="17"/>
                <w:szCs w:val="17"/>
              </w:rPr>
              <w:t xml:space="preserve">→ Pour chaque médicament : classe, DCI avec fenêtre de mécanisme, spécialité suisse ® vérifiée dans compendium.ch, dose et voie (adrénaline 1 mg IV), intervalle, contre-indications.</w:t>
            </w:r>
          </w:p>
        </w:tc>
        <w:tc>
          <w:tcPr>
            <w:tcW w:w="1800" w:type="dxa"/>
            <w:vAlign w:val="top"/>
          </w:tcPr>
          <w:p>
            <w:pPr>
              <w:spacing w:after="0"/>
            </w:pPr>
            <w:r>
              <w:rPr>
                <w:sz w:val="17"/>
                <w:szCs w:val="17"/>
              </w:rPr>
              <w:t xml:space="preserve">PROMPT_V6.md (prompt de base, Standard V6) § 5 point 11.B et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Section Sources</w:t>
            </w:r>
          </w:p>
        </w:tc>
        <w:tc>
          <w:tcPr>
            <w:tcW w:w="2600" w:type="dxa"/>
            <w:vAlign w:val="top"/>
          </w:tcPr>
          <w:p>
            <w:pPr>
              <w:spacing w:after="0"/>
            </w:pPr>
            <w:r>
              <w:rPr>
                <w:i/>
                <w:sz w:val="17"/>
                <w:szCs w:val="17"/>
              </w:rPr>
              <w:t xml:space="preserve">« [S2] Triage et réanimation de l'hypothermie accidentelle (Système Suisse &amp; Score HOPE) — Société Suisse de Médecine d'Urgence et de Sauvetage (SSMUS/SGNOR) »</w:t>
            </w:r>
          </w:p>
        </w:tc>
        <w:tc>
          <w:tcPr>
            <w:tcW w:w="3000" w:type="dxa"/>
            <w:vAlign w:val="top"/>
          </w:tcPr>
          <w:p>
            <w:pPr>
              <w:spacing w:after="40"/>
            </w:pPr>
            <w:r>
              <w:rPr>
                <w:sz w:val="17"/>
                <w:szCs w:val="17"/>
              </w:rPr>
              <w:t xml:space="preserve">Les trois sources renvoient à la page d'accueil d'un site (cprguidelines.eu, sgnor.ch, revmed.ch) sans titre de document vérifiable ; le document [S2] de la SGNOR et l'article [S3] de la RMS n'ont pu être retrouvés et semblent reconstruits.</w:t>
            </w:r>
          </w:p>
          <w:p>
            <w:pPr>
              <w:spacing w:after="0"/>
            </w:pPr>
            <w:r>
              <w:rPr>
                <w:b/>
                <w:color w:val="145A32"/>
                <w:sz w:val="17"/>
                <w:szCs w:val="17"/>
              </w:rPr>
              <w:t xml:space="preserve">→ Remplacer par des références exactes et lues : Lott C et al., ERC Guidelines 2021 (ou ERC 2025) Cardiac arrest in special circumstances, Resuscitation, avec DOI ; Musi ME et al. sur le système suisse révisé ; Pasquier M et al. sur le score HOPE ; sinon écrire « donnée non trouvée dans les sources consultées ».</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2</w:t>
            </w:r>
          </w:p>
        </w:tc>
        <w:tc>
          <w:tcPr>
            <w:tcW w:w="2600" w:type="dxa"/>
            <w:vAlign w:val="top"/>
          </w:tcPr>
          <w:p>
            <w:pPr>
              <w:spacing w:after="0"/>
            </w:pPr>
            <w:r>
              <w:rPr>
                <w:i/>
                <w:sz w:val="17"/>
                <w:szCs w:val="17"/>
              </w:rPr>
              <w:t xml:space="preserve">« avec un taux de survie global de 70% lors des arrêts cardiaques hypothermiques traités par ECLS (Registre suisse) »</w:t>
            </w:r>
          </w:p>
        </w:tc>
        <w:tc>
          <w:tcPr>
            <w:tcW w:w="3000" w:type="dxa"/>
            <w:vAlign w:val="top"/>
          </w:tcPr>
          <w:p>
            <w:pPr>
              <w:spacing w:after="40"/>
            </w:pPr>
            <w:r>
              <w:rPr>
                <w:sz w:val="17"/>
                <w:szCs w:val="17"/>
              </w:rPr>
              <w:t xml:space="preserve">Les chiffres « 200 à 300 cas » et « 70 % de survie » ne renvoient à aucun registre nommé ni à aucune publication lue ; le prompt interdit tout pourcentage non sourcé.</w:t>
            </w:r>
          </w:p>
          <w:p>
            <w:pPr>
              <w:spacing w:after="0"/>
            </w:pPr>
            <w:r>
              <w:rPr>
                <w:b/>
                <w:color w:val="145A32"/>
                <w:sz w:val="17"/>
                <w:szCs w:val="17"/>
              </w:rPr>
              <w:t xml:space="preserve">→ Remplacer par une donnée sourcée exacte (registre et publication nommés) ou écrire « donnée non trouvée dans les sources consultées ».</w:t>
            </w:r>
          </w:p>
        </w:tc>
        <w:tc>
          <w:tcPr>
            <w:tcW w:w="1800" w:type="dxa"/>
            <w:vAlign w:val="top"/>
          </w:tcPr>
          <w:p>
            <w:pPr>
              <w:spacing w:after="0"/>
            </w:pPr>
            <w:r>
              <w:rPr>
                <w:sz w:val="17"/>
                <w:szCs w:val="17"/>
              </w:rPr>
              <w:t xml:space="preserve">donnée non trouvée dans les sources consultées ; PROMPT_V6.md (prompt de base, Standard V6) § 3.1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14</w:t>
            </w:r>
          </w:p>
        </w:tc>
        <w:tc>
          <w:tcPr>
            <w:tcW w:w="2600" w:type="dxa"/>
            <w:vAlign w:val="top"/>
          </w:tcPr>
          <w:p>
            <w:pPr>
              <w:spacing w:after="0"/>
            </w:pPr>
            <w:r>
              <w:rPr>
                <w:i/>
                <w:sz w:val="17"/>
                <w:szCs w:val="17"/>
              </w:rPr>
              <w:t xml:space="preserve">« L'onde J d'Osborn est pathognomonique mais non corrélée à la sévérité. »</w:t>
            </w:r>
          </w:p>
        </w:tc>
        <w:tc>
          <w:tcPr>
            <w:tcW w:w="3000" w:type="dxa"/>
            <w:vAlign w:val="top"/>
          </w:tcPr>
          <w:p>
            <w:pPr>
              <w:spacing w:after="40"/>
            </w:pPr>
            <w:r>
              <w:rPr>
                <w:sz w:val="17"/>
                <w:szCs w:val="17"/>
              </w:rPr>
              <w:t xml:space="preserve">L'onde J d'Osborn n'est pas pathognomonique : elle s'observe aussi dans l'hypercalcémie, les lésions cérébrales et l'hémorragie sous-arachnoïdienne.</w:t>
            </w:r>
          </w:p>
          <w:p>
            <w:pPr>
              <w:spacing w:after="0"/>
            </w:pPr>
            <w:r>
              <w:rPr>
                <w:b/>
                <w:color w:val="145A32"/>
                <w:sz w:val="17"/>
                <w:szCs w:val="17"/>
              </w:rPr>
              <w:t xml:space="preserve">→ Écrire : « L'onde J d'Osborn évoque fortement l'hypothermie, mais elle n'est pas pathognomonique, car l'hypercalcémie et les lésions cérébrales la produisent aussi. »</w:t>
            </w:r>
          </w:p>
        </w:tc>
        <w:tc>
          <w:tcPr>
            <w:tcW w:w="1800" w:type="dxa"/>
            <w:vAlign w:val="top"/>
          </w:tcPr>
          <w:p>
            <w:pPr>
              <w:spacing w:after="0"/>
            </w:pPr>
            <w:r>
              <w:rPr>
                <w:sz w:val="17"/>
                <w:szCs w:val="17"/>
              </w:rPr>
              <w:t xml:space="preserve">Maruyama M et al. — Osborn waves: history and significance — Indian Pacing and Electrophysiology Journal 2004 — https://pmc.ncbi.nlm.nih.gov/articles/PMC1501063/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9 › 9.a</w:t>
            </w:r>
          </w:p>
        </w:tc>
        <w:tc>
          <w:tcPr>
            <w:tcW w:w="2600" w:type="dxa"/>
            <w:vAlign w:val="top"/>
          </w:tcPr>
          <w:p>
            <w:pPr>
              <w:spacing w:after="0"/>
            </w:pPr>
            <w:r>
              <w:rPr>
                <w:i/>
                <w:sz w:val="17"/>
                <w:szCs w:val="17"/>
              </w:rPr>
              <w:t xml:space="preserve">« avec seuils &lt; 35 °C. Sensibilité 100%. »</w:t>
            </w:r>
          </w:p>
        </w:tc>
        <w:tc>
          <w:tcPr>
            <w:tcW w:w="3000" w:type="dxa"/>
            <w:vAlign w:val="top"/>
          </w:tcPr>
          <w:p>
            <w:pPr>
              <w:spacing w:after="40"/>
            </w:pPr>
            <w:r>
              <w:rPr>
                <w:sz w:val="17"/>
                <w:szCs w:val="17"/>
              </w:rPr>
              <w:t xml:space="preserve">La sensibilité de 100 % est inventée : aucune source n'attribue une sensibilité parfaite à la thermométrie œsophagienne ou épitympanique, et l'épitympanique sous-estime la Tcc par grand froid.</w:t>
            </w:r>
          </w:p>
          <w:p>
            <w:pPr>
              <w:spacing w:after="0"/>
            </w:pPr>
            <w:r>
              <w:rPr>
                <w:b/>
                <w:color w:val="145A32"/>
                <w:sz w:val="17"/>
                <w:szCs w:val="17"/>
              </w:rPr>
              <w:t xml:space="preserve">→ Supprimer « Sensibilité 100 % » ; écrire « La thermométrie œsophagienne est la méthode de référence chez le patient intubé ; la thermométrie épitympanique la remplace chez le patient qui respire spontanément. [Sn] ».</w:t>
            </w:r>
          </w:p>
        </w:tc>
        <w:tc>
          <w:tcPr>
            <w:tcW w:w="1800" w:type="dxa"/>
            <w:vAlign w:val="top"/>
          </w:tcPr>
          <w:p>
            <w:pPr>
              <w:spacing w:after="0"/>
            </w:pPr>
            <w:r>
              <w:rPr>
                <w:sz w:val="17"/>
                <w:szCs w:val="17"/>
              </w:rPr>
              <w:t xml:space="preserve">donnée non trouvée dans les sources consultées pour toute sensibilité chiffrée ; PROMPT_V6.md (prompt de base, Standard V6)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14</w:t>
            </w:r>
          </w:p>
        </w:tc>
        <w:tc>
          <w:tcPr>
            <w:tcW w:w="2600" w:type="dxa"/>
            <w:vAlign w:val="top"/>
          </w:tcPr>
          <w:p>
            <w:pPr>
              <w:spacing w:after="0"/>
            </w:pPr>
            <w:r>
              <w:rPr>
                <w:i/>
                <w:sz w:val="17"/>
                <w:szCs w:val="17"/>
              </w:rPr>
              <w:t xml:space="preserve">« La seule cause d'arrêt de réanimation immédiate sur place est l'existence de lésions létales incompatibles avec la vie (décapitation) »</w:t>
            </w:r>
          </w:p>
        </w:tc>
        <w:tc>
          <w:tcPr>
            <w:tcW w:w="3000" w:type="dxa"/>
            <w:vAlign w:val="top"/>
          </w:tcPr>
          <w:p>
            <w:pPr>
              <w:spacing w:after="40"/>
            </w:pPr>
            <w:r>
              <w:rPr>
                <w:sz w:val="17"/>
                <w:szCs w:val="17"/>
              </w:rPr>
              <w:t xml:space="preserve">La phrase annonce « la seule cause » puis en énumère trois ; de plus, le seuil d'arrêt après avalanche dépend aussi de la durée d'enfouissement (&gt; 60 min) et de l'obstruction des voies aériennes selon l'ERC 2021.</w:t>
            </w:r>
          </w:p>
          <w:p>
            <w:pPr>
              <w:spacing w:after="0"/>
            </w:pPr>
            <w:r>
              <w:rPr>
                <w:b/>
                <w:color w:val="145A32"/>
                <w:sz w:val="17"/>
                <w:szCs w:val="17"/>
              </w:rPr>
              <w:t xml:space="preserve">→ Écrire : « Trois situations autorisent l'arrêt sur place : une lésion manifestement létale, un thorax gelé incompressible, ou, après avalanche, une asystolie avec voies aériennes obstruées et enfouissement &gt; 60 min. [Sn] »</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L8-L19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fenêtre 3.1 › encadré</w:t>
            </w:r>
          </w:p>
        </w:tc>
        <w:tc>
          <w:tcPr>
            <w:tcW w:w="2600" w:type="dxa"/>
            <w:vAlign w:val="top"/>
          </w:tcPr>
          <w:p>
            <w:pPr>
              <w:spacing w:after="0"/>
            </w:pPr>
            <w:r>
              <w:rPr>
                <w:i/>
                <w:sz w:val="17"/>
                <w:szCs w:val="17"/>
              </w:rPr>
              <w:t xml:space="preserve">« Si Avalanche + ACR : K+ &gt; 8 mmol/L = Asphyxie létale (Arrêt réanimation). »</w:t>
            </w:r>
          </w:p>
        </w:tc>
        <w:tc>
          <w:tcPr>
            <w:tcW w:w="3000" w:type="dxa"/>
            <w:vAlign w:val="top"/>
          </w:tcPr>
          <w:p>
            <w:pPr>
              <w:spacing w:after="40"/>
            </w:pPr>
            <w:r>
              <w:rPr>
                <w:sz w:val="17"/>
                <w:szCs w:val="17"/>
              </w:rPr>
              <w:t xml:space="preserve">Depuis 2021, l'ERC intègre le score HOPE dans la décision d'ECLS et ne retient plus la seule kaliémie de 8 mmol/L ; les sources suisses citent des seuils divergents (8, 7 ou 12 mmol/L) que la fenêtre ne présente pas.</w:t>
            </w:r>
          </w:p>
          <w:p>
            <w:pPr>
              <w:spacing w:after="0"/>
            </w:pPr>
            <w:r>
              <w:rPr>
                <w:b/>
                <w:color w:val="145A32"/>
                <w:sz w:val="17"/>
                <w:szCs w:val="17"/>
              </w:rPr>
              <w:t xml:space="preserve">→ Présenter la décision ECLS selon ERC 2021 (score HOPE ; à défaut kaliémie et Tcc) et ouvrir une fenêtre de divergence qui expose les seuils et leurs sources datées.</w:t>
            </w:r>
          </w:p>
        </w:tc>
        <w:tc>
          <w:tcPr>
            <w:tcW w:w="1800" w:type="dxa"/>
            <w:vAlign w:val="top"/>
          </w:tcPr>
          <w:p>
            <w:pPr>
              <w:spacing w:after="0"/>
            </w:pPr>
            <w:r>
              <w:rPr>
                <w:sz w:val="17"/>
                <w:szCs w:val="17"/>
              </w:rPr>
              <w:t xml:space="preserve">Knapp J, Höftmann D, Albrecht R, Straumann S, Pasquier M, Pietsch U — Management and outcome of patients with cardiac arrest after avalanche accidents in the Swiss Alps: a retrospective analysis — Resuscitation Plus 2025;22:100922 — https://pmc.ncbi.nlm.nih.gov/articles/PMC11951987/ — consulté le 22.10.2026 ; PROMPT_V6.md (prompt de base, Standard V6) § 3.5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L8-L22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liste › DX.5</w:t>
            </w:r>
          </w:p>
        </w:tc>
        <w:tc>
          <w:tcPr>
            <w:tcW w:w="2600" w:type="dxa"/>
            <w:vAlign w:val="top"/>
          </w:tcPr>
          <w:p>
            <w:pPr>
              <w:spacing w:after="0"/>
            </w:pPr>
            <w:r>
              <w:rPr>
                <w:i/>
                <w:sz w:val="17"/>
                <w:szCs w:val="17"/>
              </w:rPr>
              <w:t xml:space="preserve">« Dépression du centre thermorégulateur bulbaire. »</w:t>
            </w:r>
          </w:p>
        </w:tc>
        <w:tc>
          <w:tcPr>
            <w:tcW w:w="3000" w:type="dxa"/>
            <w:vAlign w:val="top"/>
          </w:tcPr>
          <w:p>
            <w:pPr>
              <w:spacing w:after="40"/>
            </w:pPr>
            <w:r>
              <w:rPr>
                <w:sz w:val="17"/>
                <w:szCs w:val="17"/>
              </w:rPr>
              <w:t xml:space="preserve">Le centre thermorégulateur siège dans l'hypothalamus et non dans le bulbe ; le tableau comparatif du même fichier écrit d'ailleurs « Dépression hypothalamique », ce qui crée une contradiction interne.</w:t>
            </w:r>
          </w:p>
          <w:p>
            <w:pPr>
              <w:spacing w:after="0"/>
            </w:pPr>
            <w:r>
              <w:rPr>
                <w:b/>
                <w:color w:val="145A32"/>
                <w:sz w:val="17"/>
                <w:szCs w:val="17"/>
              </w:rPr>
              <w:t xml:space="preserve">→ Écrire : « Les opiacés et les sédatifs dépriment le centre thermorégulateur hypothalamique et la commande respiratoire bulbaire. »</w:t>
            </w:r>
          </w:p>
        </w:tc>
        <w:tc>
          <w:tcPr>
            <w:tcW w:w="1800" w:type="dxa"/>
            <w:vAlign w:val="top"/>
          </w:tcPr>
          <w:p>
            <w:pPr>
              <w:spacing w:after="0"/>
            </w:pPr>
            <w:r>
              <w:rPr>
                <w:sz w:val="17"/>
                <w:szCs w:val="17"/>
              </w:rPr>
              <w:t xml:space="preserve">donnée non trouvée dans les sources consultées (physiologie classique de la thermorégulation ; référence à citer par le rédacteur)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L8-L33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points 5, 6, 8, 9.b, 10 et 12 (phrases nominales systématiques)</w:t>
            </w:r>
          </w:p>
        </w:tc>
        <w:tc>
          <w:tcPr>
            <w:tcW w:w="2600" w:type="dxa"/>
            <w:vAlign w:val="top"/>
          </w:tcPr>
          <w:p>
            <w:pPr>
              <w:spacing w:after="0"/>
            </w:pPr>
            <w:r>
              <w:rPr>
                <w:i/>
                <w:sz w:val="17"/>
                <w:szCs w:val="17"/>
              </w:rPr>
              <w:t xml:space="preserve">« Mesure de la température épitympanique (thermomètre basse lecture) ou œsophagienne (Gold standard intubé). »</w:t>
            </w:r>
          </w:p>
        </w:tc>
        <w:tc>
          <w:tcPr>
            <w:tcW w:w="3000" w:type="dxa"/>
            <w:vAlign w:val="top"/>
          </w:tcPr>
          <w:p>
            <w:pPr>
              <w:spacing w:after="40"/>
            </w:pPr>
            <w:r>
              <w:rPr>
                <w:sz w:val="17"/>
                <w:szCs w:val="17"/>
              </w:rPr>
              <w:t xml:space="preserve">Le Bloc 1 aligne des phrases nominales ou infinitives (« Évaluer la durée… », « Drapeaux rouges : … », « Mesure de… », « Diagnostic purement clinique… », « Prévention primaire montagnarde : DVA… ») ; le prompt les interdit absolument (au moins 8 occurrences, première au point 5).</w:t>
            </w:r>
          </w:p>
          <w:p>
            <w:pPr>
              <w:spacing w:after="0"/>
            </w:pPr>
            <w:r>
              <w:rPr>
                <w:b/>
                <w:color w:val="145A32"/>
                <w:sz w:val="17"/>
                <w:szCs w:val="17"/>
              </w:rPr>
              <w:t xml:space="preserve">→ Réécrire chaque phrase avec un verbe conjugué, par ex. « Le clinicien mesure la température épitympanique avec un thermomètre de basse lecture, ou œsophagienne chez le patient intubé. »</w:t>
            </w:r>
          </w:p>
        </w:tc>
        <w:tc>
          <w:tcPr>
            <w:tcW w:w="1800" w:type="dxa"/>
            <w:vAlign w:val="top"/>
          </w:tcPr>
          <w:p>
            <w:pPr>
              <w:spacing w:after="0"/>
            </w:pPr>
            <w:r>
              <w:rPr>
                <w:sz w:val="17"/>
                <w:szCs w:val="17"/>
              </w:rPr>
              <w:t xml:space="preserve">PROMPT_V6.md (prompt de base, Standard V6) § 6.1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L8-L34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liste DX.1–DX.10 (justifications)</w:t>
            </w:r>
          </w:p>
        </w:tc>
        <w:tc>
          <w:tcPr>
            <w:tcW w:w="2600" w:type="dxa"/>
            <w:vAlign w:val="top"/>
          </w:tcPr>
          <w:p>
            <w:pPr>
              <w:spacing w:after="0"/>
            </w:pPr>
            <w:r>
              <w:rPr>
                <w:i/>
                <w:sz w:val="17"/>
                <w:szCs w:val="17"/>
              </w:rPr>
              <w:t xml:space="preserve">« Urgence environnementale majeure. »</w:t>
            </w:r>
          </w:p>
        </w:tc>
        <w:tc>
          <w:tcPr>
            <w:tcW w:w="3000" w:type="dxa"/>
            <w:vAlign w:val="top"/>
          </w:tcPr>
          <w:p>
            <w:pPr>
              <w:spacing w:after="40"/>
            </w:pPr>
            <w:r>
              <w:rPr>
                <w:sz w:val="17"/>
                <w:szCs w:val="17"/>
              </w:rPr>
              <w:t xml:space="preserve">Les dix justifications de la liste DX sont des phrases nominales (« Urgence environnementale majeure. », « Spécificité suisse ; … ») (10 occurrences, première en DX.1).</w:t>
            </w:r>
          </w:p>
          <w:p>
            <w:pPr>
              <w:spacing w:after="0"/>
            </w:pPr>
            <w:r>
              <w:rPr>
                <w:b/>
                <w:color w:val="145A32"/>
                <w:sz w:val="17"/>
                <w:szCs w:val="17"/>
              </w:rPr>
              <w:t xml:space="preserve">→ Réécrire chaque justification en phrase verbale, par ex. « L'hypothermie accidentelle constitue l'urgence environnementale la plus fréquente du SSP. »</w:t>
            </w:r>
          </w:p>
        </w:tc>
        <w:tc>
          <w:tcPr>
            <w:tcW w:w="1800" w:type="dxa"/>
            <w:vAlign w:val="top"/>
          </w:tcPr>
          <w:p>
            <w:pPr>
              <w:spacing w:after="0"/>
            </w:pPr>
            <w:r>
              <w:rPr>
                <w:sz w:val="17"/>
                <w:szCs w:val="17"/>
              </w:rPr>
              <w:t xml:space="preserve">PROMPT_V6.md (prompt de base, Standard V6)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L8-L44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fenêtre 9.b « Triage Avalanche ERC/ICAR » › encadré</w:t>
            </w:r>
          </w:p>
        </w:tc>
        <w:tc>
          <w:tcPr>
            <w:tcW w:w="2600" w:type="dxa"/>
            <w:vAlign w:val="top"/>
          </w:tcPr>
          <w:p>
            <w:pPr>
              <w:spacing w:after="0"/>
            </w:pPr>
            <w:r>
              <w:rPr>
                <w:i/>
                <w:sz w:val="17"/>
                <w:szCs w:val="17"/>
              </w:rPr>
              <w:t xml:space="preserve">« Algorithme : Si temps &gt; 35 min ET VAS obstruées (asystolie) → Déclarer décès. »</w:t>
            </w:r>
          </w:p>
        </w:tc>
        <w:tc>
          <w:tcPr>
            <w:tcW w:w="3000" w:type="dxa"/>
            <w:vAlign w:val="top"/>
          </w:tcPr>
          <w:p>
            <w:pPr>
              <w:spacing w:after="40"/>
            </w:pPr>
            <w:r>
              <w:rPr>
                <w:sz w:val="17"/>
                <w:szCs w:val="17"/>
              </w:rPr>
              <w:t xml:space="preserve">Le seuil de 35 minutes provient des recommandations ERC 2015 ; l'algorithme ERC 2021 retient un enfouissement &gt; 60 min (ou Tcc &lt; 30 °C si la durée est inconnue). Le même seuil périmé figure au point 3 du DX.2.</w:t>
            </w:r>
          </w:p>
          <w:p>
            <w:pPr>
              <w:spacing w:after="0"/>
            </w:pPr>
            <w:r>
              <w:rPr>
                <w:b/>
                <w:color w:val="145A32"/>
                <w:sz w:val="17"/>
                <w:szCs w:val="17"/>
              </w:rPr>
              <w:t xml:space="preserve">→ Remplacer « 35 min » par « 60 min (ou Tcc &lt; 30 °C si la durée est inconnue) » dans la fenêtre et au point 3, puis dater l'algorithme (ERC 2021).</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L8-L45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9 › 9.a</w:t>
            </w:r>
          </w:p>
        </w:tc>
        <w:tc>
          <w:tcPr>
            <w:tcW w:w="2600" w:type="dxa"/>
            <w:vAlign w:val="top"/>
          </w:tcPr>
          <w:p>
            <w:pPr>
              <w:spacing w:after="0"/>
            </w:pPr>
            <w:r>
              <w:rPr>
                <w:i/>
                <w:sz w:val="17"/>
                <w:szCs w:val="17"/>
              </w:rPr>
              <w:t xml:space="preserve">« 9.a Gold standard : La kaliémie veineuse ou artérielle obtenue sur le terrain ou à l'admission détermine la viabilité cellulaire. »</w:t>
            </w:r>
          </w:p>
        </w:tc>
        <w:tc>
          <w:tcPr>
            <w:tcW w:w="3000" w:type="dxa"/>
            <w:vAlign w:val="top"/>
          </w:tcPr>
          <w:p>
            <w:pPr>
              <w:spacing w:after="40"/>
            </w:pPr>
            <w:r>
              <w:rPr>
                <w:sz w:val="17"/>
                <w:szCs w:val="17"/>
              </w:rPr>
              <w:t xml:space="preserve">La kaliémie n'est pas un examen de référence diagnostique de l'hypothermie d'avalanche ; depuis 2021 la décision d'ECLS repose sur le score HOPE, la kaliémie n'intervenant qu'à défaut.</w:t>
            </w:r>
          </w:p>
          <w:p>
            <w:pPr>
              <w:spacing w:after="0"/>
            </w:pPr>
            <w:r>
              <w:rPr>
                <w:b/>
                <w:color w:val="145A32"/>
                <w:sz w:val="17"/>
                <w:szCs w:val="17"/>
              </w:rPr>
              <w:t xml:space="preserve">→ Écrire en 9.a : « La mesure de la Tcc (œsophagienne si intubé) confirme l'hypothermie » et placer la kaliémie et le score HOPE en 9.b avec leur tableau d'interprétation.</w:t>
            </w:r>
          </w:p>
        </w:tc>
        <w:tc>
          <w:tcPr>
            <w:tcW w:w="1800" w:type="dxa"/>
            <w:vAlign w:val="top"/>
          </w:tcPr>
          <w:p>
            <w:pPr>
              <w:spacing w:after="0"/>
            </w:pPr>
            <w:r>
              <w:rPr>
                <w:sz w:val="17"/>
                <w:szCs w:val="17"/>
              </w:rPr>
              <w:t xml:space="preserve">Knapp J, Höftmann D, Albrecht R, Straumann S, Pasquier M, Pietsch U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L8-L46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11 › D</w:t>
            </w:r>
          </w:p>
        </w:tc>
        <w:tc>
          <w:tcPr>
            <w:tcW w:w="2600" w:type="dxa"/>
            <w:vAlign w:val="top"/>
          </w:tcPr>
          <w:p>
            <w:pPr>
              <w:spacing w:after="0"/>
            </w:pPr>
            <w:r>
              <w:rPr>
                <w:i/>
                <w:sz w:val="17"/>
                <w:szCs w:val="17"/>
              </w:rPr>
              <w:t xml:space="preserve">« L'association délétère d'une asystolie traumatique et d'une hypothermie greffe le pronostic d'une mortalité qui approche les 100%. »</w:t>
            </w:r>
          </w:p>
        </w:tc>
        <w:tc>
          <w:tcPr>
            <w:tcW w:w="3000" w:type="dxa"/>
            <w:vAlign w:val="top"/>
          </w:tcPr>
          <w:p>
            <w:pPr>
              <w:spacing w:after="40"/>
            </w:pPr>
            <w:r>
              <w:rPr>
                <w:sz w:val="17"/>
                <w:szCs w:val="17"/>
              </w:rPr>
              <w:t xml:space="preserve">Le verbe « greffer » est un contresens (il faut « grever ») et le chiffre « approche les 100 % » n'est pas sourcé.</w:t>
            </w:r>
          </w:p>
          <w:p>
            <w:pPr>
              <w:spacing w:after="0"/>
            </w:pPr>
            <w:r>
              <w:rPr>
                <w:b/>
                <w:color w:val="145A32"/>
                <w:sz w:val="17"/>
                <w:szCs w:val="17"/>
              </w:rPr>
              <w:t xml:space="preserve">→ Écrire : « L'asystolie traumatique associée à l'hypothermie grève lourdement le pronostic ; dans la série suisse de Knapp et al. (2025), 3 % des victimes en arrêt cardiaque ont survécu jusqu'à la sortie. [Sn] »</w:t>
            </w:r>
          </w:p>
        </w:tc>
        <w:tc>
          <w:tcPr>
            <w:tcW w:w="1800" w:type="dxa"/>
            <w:vAlign w:val="top"/>
          </w:tcPr>
          <w:p>
            <w:pPr>
              <w:spacing w:after="0"/>
            </w:pPr>
            <w:r>
              <w:rPr>
                <w:sz w:val="17"/>
                <w:szCs w:val="17"/>
              </w:rPr>
              <w:t xml:space="preserve">Knapp J, Höftmann D, Albrecht R, Straumann S, Pasquier M, Pietsch U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L8-L49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point 11 › D</w:t>
            </w:r>
          </w:p>
        </w:tc>
        <w:tc>
          <w:tcPr>
            <w:tcW w:w="2600" w:type="dxa"/>
            <w:vAlign w:val="top"/>
          </w:tcPr>
          <w:p>
            <w:pPr>
              <w:spacing w:after="0"/>
            </w:pPr>
            <w:r>
              <w:rPr>
                <w:i/>
                <w:sz w:val="17"/>
                <w:szCs w:val="17"/>
              </w:rPr>
              <w:t xml:space="preserve">« Le système d'intelligence artificielle HOPE-Score 2.0 guide aujourd'hui la futilité des réanimations complexes. »</w:t>
            </w:r>
          </w:p>
        </w:tc>
        <w:tc>
          <w:tcPr>
            <w:tcW w:w="3000" w:type="dxa"/>
            <w:vAlign w:val="top"/>
          </w:tcPr>
          <w:p>
            <w:pPr>
              <w:spacing w:after="40"/>
            </w:pPr>
            <w:r>
              <w:rPr>
                <w:sz w:val="17"/>
                <w:szCs w:val="17"/>
              </w:rPr>
              <w:t xml:space="preserve">Le score HOPE est un modèle statistique de régression, non un « système d'intelligence artificielle », et aucune « version 2.0 » n'est sourcée ; l'affirmation paraît inventée.</w:t>
            </w:r>
          </w:p>
          <w:p>
            <w:pPr>
              <w:spacing w:after="0"/>
            </w:pPr>
            <w:r>
              <w:rPr>
                <w:b/>
                <w:color w:val="145A32"/>
                <w:sz w:val="17"/>
                <w:szCs w:val="17"/>
              </w:rPr>
              <w:t xml:space="preserve">→ Écrire : « Le score HOPE (Hypothermia Outcome Prediction after ECLS) estime la probabilité de survie ; une probabilité &lt; 10 % déconseille l'ECLS. [Sn] » et supprimer « 2.0 ».</w:t>
            </w:r>
          </w:p>
        </w:tc>
        <w:tc>
          <w:tcPr>
            <w:tcW w:w="1800" w:type="dxa"/>
            <w:vAlign w:val="top"/>
          </w:tcPr>
          <w:p>
            <w:pPr>
              <w:spacing w:after="0"/>
            </w:pPr>
            <w:r>
              <w:rPr>
                <w:sz w:val="17"/>
                <w:szCs w:val="17"/>
              </w:rPr>
              <w:t xml:space="preserve">donnée non trouvée dans les sources consultées pour « HOPE-Score 2.0 » ; Knapp J, Höftmann D, Albrecht R, Straumann S, Pasquier M, Pietsch U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L8-L50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point 9 › 9.a</w:t>
            </w:r>
          </w:p>
        </w:tc>
        <w:tc>
          <w:tcPr>
            <w:tcW w:w="2600" w:type="dxa"/>
            <w:vAlign w:val="top"/>
          </w:tcPr>
          <w:p>
            <w:pPr>
              <w:spacing w:after="0"/>
            </w:pPr>
            <w:r>
              <w:rPr>
                <w:i/>
                <w:sz w:val="17"/>
                <w:szCs w:val="17"/>
              </w:rPr>
              <w:t xml:space="preserve">« évalue précisément la température du sang perfusant le cœur (Sensibilité 100%). »</w:t>
            </w:r>
          </w:p>
        </w:tc>
        <w:tc>
          <w:tcPr>
            <w:tcW w:w="3000" w:type="dxa"/>
            <w:vAlign w:val="top"/>
          </w:tcPr>
          <w:p>
            <w:pPr>
              <w:spacing w:after="40"/>
            </w:pPr>
            <w:r>
              <w:rPr>
                <w:sz w:val="17"/>
                <w:szCs w:val="17"/>
              </w:rPr>
              <w:t xml:space="preserve">La sensibilité de 100 % est inventée et reprend l'erreur de l'Appel A.</w:t>
            </w:r>
          </w:p>
          <w:p>
            <w:pPr>
              <w:spacing w:after="0"/>
            </w:pPr>
            <w:r>
              <w:rPr>
                <w:b/>
                <w:color w:val="145A32"/>
                <w:sz w:val="17"/>
                <w:szCs w:val="17"/>
              </w:rPr>
              <w:t xml:space="preserve">→ Supprimer « (Sensibilité 100 %)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L8-L55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et DX.2 › points 1 à 14</w:t>
            </w:r>
          </w:p>
        </w:tc>
        <w:tc>
          <w:tcPr>
            <w:tcW w:w="2600" w:type="dxa"/>
            <w:vAlign w:val="top"/>
          </w:tcPr>
          <w:p>
            <w:pPr>
              <w:spacing w:after="0"/>
            </w:pPr>
            <w:r>
              <w:rPr>
                <w:i/>
                <w:sz w:val="17"/>
                <w:szCs w:val="17"/>
              </w:rPr>
              <w:t xml:space="preserve">« Le myocarde froid génère des arythmies malignes (fibrillation ventriculaire) à la moindre mobilisation brutale. »</w:t>
            </w:r>
          </w:p>
        </w:tc>
        <w:tc>
          <w:tcPr>
            <w:tcW w:w="3000" w:type="dxa"/>
            <w:vAlign w:val="top"/>
          </w:tcPr>
          <w:p>
            <w:pPr>
              <w:spacing w:after="40"/>
            </w:pPr>
            <w:r>
              <w:rPr>
                <w:sz w:val="17"/>
                <w:szCs w:val="17"/>
              </w:rPr>
              <w:t xml:space="preserve">Chaque monographie ne contient qu'une seule fenêtre inline ; les signes (frisson, bradypnée, raideur, cyanose, mydriase) et les examens (ECG, POCUS, EtCO2, Trauma-Scan) n'ouvrent aucune fenêtre sourcée.</w:t>
            </w:r>
          </w:p>
          <w:p>
            <w:pPr>
              <w:spacing w:after="0"/>
            </w:pPr>
            <w:r>
              <w:rPr>
                <w:b/>
                <w:color w:val="145A32"/>
                <w:sz w:val="17"/>
                <w:szCs w:val="17"/>
              </w:rPr>
              <w:t xml:space="preserve">→ Ouvrir une fenêtre &lt;details&gt; (mécanisme, exemple chiffré, piège, [Sn]) sur chaque terme sémiologique, examen et médicament des deux monographies.</w:t>
            </w:r>
          </w:p>
        </w:tc>
        <w:tc>
          <w:tcPr>
            <w:tcW w:w="1800" w:type="dxa"/>
            <w:vAlign w:val="top"/>
          </w:tcPr>
          <w:p>
            <w:pPr>
              <w:spacing w:after="0"/>
            </w:pPr>
            <w:r>
              <w:rPr>
                <w:sz w:val="17"/>
                <w:szCs w:val="17"/>
              </w:rPr>
              <w:t xml:space="preserve">PROMPT_V6.md (prompt de base, Standard V6)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L8-L56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et DX.2 › point 9</w:t>
            </w:r>
          </w:p>
        </w:tc>
        <w:tc>
          <w:tcPr>
            <w:tcW w:w="2600" w:type="dxa"/>
            <w:vAlign w:val="top"/>
          </w:tcPr>
          <w:p>
            <w:pPr>
              <w:spacing w:after="0"/>
            </w:pPr>
            <w:r>
              <w:rPr>
                <w:i/>
                <w:sz w:val="17"/>
                <w:szCs w:val="17"/>
              </w:rPr>
              <w:t xml:space="preserve">« 9.b 1re intention : L'ECG recherche une bradycardie ou une fibrillation. »</w:t>
            </w:r>
          </w:p>
        </w:tc>
        <w:tc>
          <w:tcPr>
            <w:tcW w:w="3000" w:type="dxa"/>
            <w:vAlign w:val="top"/>
          </w:tcPr>
          <w:p>
            <w:pPr>
              <w:spacing w:after="40"/>
            </w:pPr>
            <w:r>
              <w:rPr>
                <w:sz w:val="17"/>
                <w:szCs w:val="17"/>
              </w:rPr>
              <w:t xml:space="preserve">Aucun examen des points 9 (ECG, kaliémie, thermométrie, POCUS, EtCO2, scanner) ne dispose du tableau d'interprétation obligatoire, sauf une ligne isolée par fenêtre.</w:t>
            </w:r>
          </w:p>
          <w:p>
            <w:pPr>
              <w:spacing w:after="0"/>
            </w:pPr>
            <w:r>
              <w:rPr>
                <w:b/>
                <w:color w:val="145A32"/>
                <w:sz w:val="17"/>
                <w:szCs w:val="17"/>
              </w:rPr>
              <w:t xml:space="preserve">→ Ajouter un tableau normal (SI) | seuil | signification | conduite pour chaque examen.</w:t>
            </w:r>
          </w:p>
        </w:tc>
        <w:tc>
          <w:tcPr>
            <w:tcW w:w="1800" w:type="dxa"/>
            <w:vAlign w:val="top"/>
          </w:tcPr>
          <w:p>
            <w:pPr>
              <w:spacing w:after="0"/>
            </w:pPr>
            <w:r>
              <w:rPr>
                <w:sz w:val="17"/>
                <w:szCs w:val="17"/>
              </w:rPr>
              <w:t xml:space="preserve">PROMPT_V6.md (prompt de base, Standard V6) § 5 point 9 et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L8-L57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et DX.2 › point 11 › B</w:t>
            </w:r>
          </w:p>
        </w:tc>
        <w:tc>
          <w:tcPr>
            <w:tcW w:w="2600" w:type="dxa"/>
            <w:vAlign w:val="top"/>
          </w:tcPr>
          <w:p>
            <w:pPr>
              <w:spacing w:after="0"/>
            </w:pPr>
            <w:r>
              <w:rPr>
                <w:i/>
                <w:sz w:val="17"/>
                <w:szCs w:val="17"/>
              </w:rPr>
              <w:t xml:space="preserve">« L'équipe utilise un réchauffement externe actif (Bair Hugger®) pour les stades II/III, et une ECMO veino-artérielle pour le stade IV. »</w:t>
            </w:r>
          </w:p>
        </w:tc>
        <w:tc>
          <w:tcPr>
            <w:tcW w:w="3000" w:type="dxa"/>
            <w:vAlign w:val="top"/>
          </w:tcPr>
          <w:p>
            <w:pPr>
              <w:spacing w:after="40"/>
            </w:pPr>
            <w:r>
              <w:rPr>
                <w:sz w:val="17"/>
                <w:szCs w:val="17"/>
              </w:rPr>
              <w:t xml:space="preserve">La rubrique 11.B ne distingue pas non médicamenteux et pharmacologique et ne donne, pour aucun traitement, la classe, la DCI, la spécialité suisse, la dose, la durée et les contre-indications.</w:t>
            </w:r>
          </w:p>
          <w:p>
            <w:pPr>
              <w:spacing w:after="0"/>
            </w:pPr>
            <w:r>
              <w:rPr>
                <w:b/>
                <w:color w:val="145A32"/>
                <w:sz w:val="17"/>
                <w:szCs w:val="17"/>
              </w:rPr>
              <w:t xml:space="preserve">→ Rédiger 11.B en deux sous-parties ; pour l'adrénaline et l'amiodarone, donner les items ①–⑥ selon l'information professionnelle suisse.</w:t>
            </w:r>
          </w:p>
        </w:tc>
        <w:tc>
          <w:tcPr>
            <w:tcW w:w="1800" w:type="dxa"/>
            <w:vAlign w:val="top"/>
          </w:tcPr>
          <w:p>
            <w:pPr>
              <w:spacing w:after="0"/>
            </w:pPr>
            <w:r>
              <w:rPr>
                <w:sz w:val="17"/>
                <w:szCs w:val="17"/>
              </w:rPr>
              <w:t xml:space="preserve">PROMPT_V6.md (prompt de base, Standard V6) § 5 point 11.B</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L8-L62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Section Sources</w:t>
            </w:r>
          </w:p>
        </w:tc>
        <w:tc>
          <w:tcPr>
            <w:tcW w:w="2600" w:type="dxa"/>
            <w:vAlign w:val="top"/>
          </w:tcPr>
          <w:p>
            <w:pPr>
              <w:spacing w:after="0"/>
            </w:pPr>
            <w:r>
              <w:rPr>
                <w:i/>
                <w:sz w:val="17"/>
                <w:szCs w:val="17"/>
              </w:rPr>
              <w:t xml:space="preserve">« [S2] Triage et réanimation de l'hypothermie accidentelle (Score HOPE et Algorithme ICAR) — Société Suisse de Médecine d'Urgence et de Sauvetage »</w:t>
            </w:r>
          </w:p>
        </w:tc>
        <w:tc>
          <w:tcPr>
            <w:tcW w:w="3000" w:type="dxa"/>
            <w:vAlign w:val="top"/>
          </w:tcPr>
          <w:p>
            <w:pPr>
              <w:spacing w:after="40"/>
            </w:pPr>
            <w:r>
              <w:rPr>
                <w:sz w:val="17"/>
                <w:szCs w:val="17"/>
              </w:rPr>
              <w:t xml:space="preserve">La Partie 1 ne cite que deux sources vagues (page d'accueil, document SGNOR introuvable) ; l'algorithme ICAR, le SLF et le score HOPE ne renvoient à aucune publication exacte.</w:t>
            </w:r>
          </w:p>
          <w:p>
            <w:pPr>
              <w:spacing w:after="0"/>
            </w:pPr>
            <w:r>
              <w:rPr>
                <w:b/>
                <w:color w:val="145A32"/>
                <w:sz w:val="17"/>
                <w:szCs w:val="17"/>
              </w:rPr>
              <w:t xml:space="preserve">→ Citer les publications lues avec DOI (ERC 2021 Lott et al. ; recommandations ICAR MedCom ; Pasquier et al. pour HOPE ; rapport SLF).</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 (dossier entier)</w:t>
            </w:r>
          </w:p>
        </w:tc>
        <w:tc>
          <w:tcPr>
            <w:tcW w:w="2350" w:type="dxa"/>
            <w:vAlign w:val="top"/>
          </w:tcPr>
          <w:p>
            <w:pPr>
              <w:spacing w:after="0"/>
            </w:pPr>
            <w:r>
              <w:rPr>
                <w:sz w:val="17"/>
                <w:szCs w:val="17"/>
              </w:rPr>
              <w:t xml:space="preserve">Structure du lot › Parties 2 à 4 de l'Appel B</w:t>
            </w:r>
          </w:p>
        </w:tc>
        <w:tc>
          <w:tcPr>
            <w:tcW w:w="2600" w:type="dxa"/>
            <w:vAlign w:val="top"/>
          </w:tcPr>
          <w:p>
            <w:pPr>
              <w:spacing w:after="0"/>
            </w:pPr>
            <w:r>
              <w:rPr>
                <w:i/>
                <w:sz w:val="17"/>
                <w:szCs w:val="17"/>
              </w:rPr>
              <w:t xml:space="preserve">« DX.3 Coma myxœdémateux : Défaillance thyroïdienne terminale, HT centrale sans frisson. »</w:t>
            </w:r>
          </w:p>
        </w:tc>
        <w:tc>
          <w:tcPr>
            <w:tcW w:w="3000" w:type="dxa"/>
            <w:vAlign w:val="top"/>
          </w:tcPr>
          <w:p>
            <w:pPr>
              <w:spacing w:after="40"/>
            </w:pPr>
            <w:r>
              <w:rPr>
                <w:sz w:val="17"/>
                <w:szCs w:val="17"/>
              </w:rPr>
              <w:t xml:space="preserve">Le lot ne contient que l'Appel A et la Partie 1 ; les Parties 2 (DX.3–DX.5), 3 (DX.6–DX.7) et 4 (DX.8–DX.10) manquent, si bien que huit des dix DX annoncés n'ont aucune monographie.</w:t>
            </w:r>
          </w:p>
          <w:p>
            <w:pPr>
              <w:spacing w:after="0"/>
            </w:pPr>
            <w:r>
              <w:rPr>
                <w:b/>
                <w:color w:val="145A32"/>
                <w:sz w:val="17"/>
                <w:szCs w:val="17"/>
              </w:rPr>
              <w:t xml:space="preserve">→ Rédiger, auditer et déposer en .html les fichiers LOT_8_Appel_B_V6_Ultra_Pedagogique_Partie_2_DX.3_a_DX.5.html, Partie_3_DX.6_a_DX.7.html et Partie_4_DX.8_a_DX.10.html (cadence 2-3-2-3).</w:t>
            </w:r>
          </w:p>
        </w:tc>
        <w:tc>
          <w:tcPr>
            <w:tcW w:w="1800" w:type="dxa"/>
            <w:vAlign w:val="top"/>
          </w:tcPr>
          <w:p>
            <w:pPr>
              <w:spacing w:after="0"/>
            </w:pPr>
            <w:r>
              <w:rPr>
                <w:sz w:val="17"/>
                <w:szCs w:val="17"/>
              </w:rPr>
              <w:t xml:space="preserve">PROMPT_V6 § 4 (structure d'un lot en 5 fichiers) et § 10 (anti-troncature).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et DX.2 › points 1 à 14 (ensemble)</w:t>
            </w:r>
          </w:p>
        </w:tc>
        <w:tc>
          <w:tcPr>
            <w:tcW w:w="2600" w:type="dxa"/>
            <w:vAlign w:val="top"/>
          </w:tcPr>
          <w:p>
            <w:pPr>
              <w:spacing w:after="0"/>
            </w:pPr>
            <w:r>
              <w:rPr>
                <w:i/>
                <w:sz w:val="17"/>
                <w:szCs w:val="17"/>
              </w:rPr>
              <w:t xml:space="preserve">« Le froid induit une réponse adrénergique initiale avec des frissons intenses, puis un épuisement métabolique provoque une dépression du système nerveux central »</w:t>
            </w:r>
          </w:p>
        </w:tc>
        <w:tc>
          <w:tcPr>
            <w:tcW w:w="3000" w:type="dxa"/>
            <w:vAlign w:val="top"/>
          </w:tcPr>
          <w:p>
            <w:pPr>
              <w:spacing w:after="40"/>
            </w:pPr>
            <w:r>
              <w:rPr>
                <w:sz w:val="17"/>
                <w:szCs w:val="17"/>
              </w:rPr>
              <w:t xml:space="preserve">Les deux monographies tiennent en 15 Ko au lieu de 90 à 250 Ko : chaque point se réduit à une ou deux phrases sans mécanisme détaillé, sans fenêtre par terme technique et sans tableau d'interprétation (normal SI | seuil | signification | conduite) pour l'ECG, la kaliémie, la gazométrie, les lactates ou la glycémie.</w:t>
            </w:r>
          </w:p>
          <w:p>
            <w:pPr>
              <w:spacing w:after="0"/>
            </w:pPr>
            <w:r>
              <w:rPr>
                <w:b/>
                <w:color w:val="145A32"/>
                <w:sz w:val="17"/>
                <w:szCs w:val="17"/>
              </w:rPr>
              <w:t xml:space="preserve">→ Réécrire DX.1 et DX.2 selon les 14 points complets : un tableau d'interprétation et une fenêtre explicative par examen (9.b), une sous-partie 11.B pharmacologique structurée ①–⑥, et une physiopathologie pas à pas (frisson, vasoconstriction, cœur froid, diurèse au froid).</w:t>
            </w:r>
          </w:p>
        </w:tc>
        <w:tc>
          <w:tcPr>
            <w:tcW w:w="1800" w:type="dxa"/>
            <w:vAlign w:val="top"/>
          </w:tcPr>
          <w:p>
            <w:pPr>
              <w:spacing w:after="0"/>
            </w:pPr>
            <w:r>
              <w:rPr>
                <w:sz w:val="17"/>
                <w:szCs w:val="17"/>
              </w:rPr>
              <w:t xml:space="preserve">PROMPT_V6 § 5 point 9 et § 9 (taille indicative).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9.b (examens de 1re intention)</w:t>
            </w:r>
          </w:p>
        </w:tc>
        <w:tc>
          <w:tcPr>
            <w:tcW w:w="2600" w:type="dxa"/>
            <w:vAlign w:val="top"/>
          </w:tcPr>
          <w:p>
            <w:pPr>
              <w:spacing w:after="0"/>
            </w:pPr>
            <w:r>
              <w:rPr>
                <w:i/>
                <w:sz w:val="17"/>
                <w:szCs w:val="17"/>
              </w:rPr>
              <w:t xml:space="preserve">« ECG 12 dérivations (bradycardie sinusale, allongement PR/QRS/QT, onde J d'Osborn typique en V2-V5) »</w:t>
            </w:r>
          </w:p>
        </w:tc>
        <w:tc>
          <w:tcPr>
            <w:tcW w:w="3000" w:type="dxa"/>
            <w:vAlign w:val="top"/>
          </w:tcPr>
          <w:p>
            <w:pPr>
              <w:spacing w:after="40"/>
            </w:pPr>
            <w:r>
              <w:rPr>
                <w:sz w:val="17"/>
                <w:szCs w:val="17"/>
              </w:rPr>
              <w:t xml:space="preserve">Aucun examen listé (ECG, gazométrie, ionogramme, glycémie, lactates, TSH, cortisol) ne reçoit de tableau d'interprétation chiffré en unités SI suisses ; seule la stadification dispose d'un tableau.</w:t>
            </w:r>
          </w:p>
          <w:p>
            <w:pPr>
              <w:spacing w:after="0"/>
            </w:pPr>
            <w:r>
              <w:rPr>
                <w:b/>
                <w:color w:val="145A32"/>
                <w:sz w:val="17"/>
                <w:szCs w:val="17"/>
              </w:rPr>
              <w:t xml:space="preserve">→ Ajouter pour chaque examen un tableau « valeur normale SI | seuil pathologique | signification | conduite », par exemple kaliémie 3,5–5,0 mmol/L ; HOPE ≥ 10 % → réchauffement par ECLS ; à défaut de HOPE chez une victime d'avalanche, K+ &lt; 7 mmol/L et Tcc &lt; 30 °C → ECLS.</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 Pasquier M, Hugli O, Paal P, et al. Hypothermia outcome prediction after extracorporeal life support for hypothermic cardiac arrest patients: the HOPE score — Resuscitation 2018;126:58-64 — https://doi.org/10.1016/j.resuscitation.2018.02.026 (cité par ERC 2025, réf. 158)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3 › fenêtre 3.1 › ligne « Hypothermie pure » (extrait à rechercher par mots-clés : citation non littérale)</w:t>
            </w:r>
          </w:p>
        </w:tc>
        <w:tc>
          <w:tcPr>
            <w:tcW w:w="2600" w:type="dxa"/>
            <w:vAlign w:val="top"/>
          </w:tcPr>
          <w:p>
            <w:pPr>
              <w:spacing w:after="0"/>
            </w:pPr>
            <w:r>
              <w:rPr>
                <w:i/>
                <w:sz w:val="17"/>
                <w:szCs w:val="17"/>
              </w:rPr>
              <w:t xml:space="preserve">« Si Hypothermie pure sans asphyxie + ACR : K+ &lt; 12 mmol/L = Indication à ECMO/ECLS (Score HOPE survie &gt; 10%). »</w:t>
            </w:r>
          </w:p>
        </w:tc>
        <w:tc>
          <w:tcPr>
            <w:tcW w:w="3000" w:type="dxa"/>
            <w:vAlign w:val="top"/>
          </w:tcPr>
          <w:p>
            <w:pPr>
              <w:spacing w:after="40"/>
            </w:pPr>
            <w:r>
              <w:rPr>
                <w:sz w:val="17"/>
                <w:szCs w:val="17"/>
              </w:rPr>
              <w:t xml:space="preserve">La phrase confond deux critères : le seuil de 12 mmol/L relève des recommandations antérieures à 2021 et ne figure pas dans l'ERC 2025, qui fonde le pronostic du réchauffement sur le score HOPE seul.</w:t>
            </w:r>
          </w:p>
          <w:p>
            <w:pPr>
              <w:spacing w:after="0"/>
            </w:pPr>
            <w:r>
              <w:rPr>
                <w:b/>
                <w:color w:val="145A32"/>
                <w:sz w:val="17"/>
                <w:szCs w:val="17"/>
              </w:rPr>
              <w:t xml:space="preserve">→ Remplacer par : « Hypothermie primaire en ACR : le score HOPE (âge, sexe, mécanisme asphyxique ou non, durée de RCP, kaliémie, température) estime la survie ; un HOPE ≥ 10 % indique l'ECLS. Le seuil historique de 12 mmol/L n'est plus recommandé seul.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 Pasquier M, Hugli O, Paal P, et al. Hypothermia outcome prediction after extracorporeal life support for hypothermic cardiac arrest patients: the HOPE score — Resuscitation 2018;126:58-64 — https://doi.org/10.1016/j.resuscitation.2018.02.026 (cité par ERC 2025, réf. 158)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3 › fenêtre 3.1 › tableau Swiss Staging › ligne HT IV</w:t>
            </w:r>
          </w:p>
        </w:tc>
        <w:tc>
          <w:tcPr>
            <w:tcW w:w="2600" w:type="dxa"/>
            <w:vAlign w:val="top"/>
          </w:tcPr>
          <w:p>
            <w:pPr>
              <w:spacing w:after="0"/>
            </w:pPr>
            <w:r>
              <w:rPr>
                <w:i/>
                <w:sz w:val="17"/>
                <w:szCs w:val="17"/>
              </w:rPr>
              <w:t xml:space="preserve">« &lt; 24 °C (ou &lt; 28°C si FV) »</w:t>
            </w:r>
          </w:p>
        </w:tc>
        <w:tc>
          <w:tcPr>
            <w:tcW w:w="3000" w:type="dxa"/>
            <w:vAlign w:val="top"/>
          </w:tcPr>
          <w:p>
            <w:pPr>
              <w:spacing w:after="40"/>
            </w:pPr>
            <w:r>
              <w:rPr>
                <w:sz w:val="17"/>
                <w:szCs w:val="17"/>
              </w:rPr>
              <w:t xml:space="preserve">L'ERC 2025 attribue au stade HT IV une température « variable » (risque d'arrêt croissant sous 30 °C, signes vitaux possibles sous 24 °C) ; la mention « &lt; 28 °C si FV » ne correspond à aucune source.</w:t>
            </w:r>
          </w:p>
          <w:p>
            <w:pPr>
              <w:spacing w:after="0"/>
            </w:pPr>
            <w:r>
              <w:rPr>
                <w:b/>
                <w:color w:val="145A32"/>
                <w:sz w:val="17"/>
                <w:szCs w:val="17"/>
              </w:rPr>
              <w:t xml:space="preserve">→ Écrire dans la colonne température : « Variable (risque d'ACR croissant &lt; 30 °C ; signes vitaux parfois présents &lt; 24 °C)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(tableau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3 › fenêtre 3.1 › tableau Swiss Staging › ligne HT II</w:t>
            </w:r>
          </w:p>
        </w:tc>
        <w:tc>
          <w:tcPr>
            <w:tcW w:w="2600" w:type="dxa"/>
            <w:vAlign w:val="top"/>
          </w:tcPr>
          <w:p>
            <w:pPr>
              <w:spacing w:after="0"/>
            </w:pPr>
            <w:r>
              <w:rPr>
                <w:i/>
                <w:sz w:val="17"/>
                <w:szCs w:val="17"/>
              </w:rPr>
              <w:t xml:space="preserve">« Altération conscience, SANS frisson »</w:t>
            </w:r>
          </w:p>
        </w:tc>
        <w:tc>
          <w:tcPr>
            <w:tcW w:w="3000" w:type="dxa"/>
            <w:vAlign w:val="top"/>
          </w:tcPr>
          <w:p>
            <w:pPr>
              <w:spacing w:after="40"/>
            </w:pPr>
            <w:r>
              <w:rPr>
                <w:sz w:val="17"/>
                <w:szCs w:val="17"/>
              </w:rPr>
              <w:t xml:space="preserve">Le système suisse révisé (ICAR 2021, repris par l'ERC 2025) ne fait plus du frisson un critère de stade et classe selon l'AVPU (A = GCS 15 ; V = GCS 9–14, confusion incluse ; P/U = GCS &lt; 9) ; le frisson peut être diminué ou absent au stade II, sa présence évoquant plutôt une Tcc &gt; 30 °C.</w:t>
            </w:r>
          </w:p>
          <w:p>
            <w:pPr>
              <w:spacing w:after="0"/>
            </w:pPr>
            <w:r>
              <w:rPr>
                <w:b/>
                <w:color w:val="145A32"/>
                <w:sz w:val="17"/>
                <w:szCs w:val="17"/>
              </w:rPr>
              <w:t xml:space="preserve">→ Remplacer la stadification par le système suisse révisé (AVPU → risque d'ACR et hôpital cible) et ajouter : « Le frisson ne définit plus le stade ; sa présence évoque une Tcc &gt; 30 °C. Les toxiques, l'asphyxie ou un traumatisme faussent l'estimation. »</w:t>
            </w:r>
          </w:p>
        </w:tc>
        <w:tc>
          <w:tcPr>
            <w:tcW w:w="1800" w:type="dxa"/>
            <w:vAlign w:val="top"/>
          </w:tcPr>
          <w:p>
            <w:pPr>
              <w:spacing w:after="0"/>
            </w:pPr>
            <w:r>
              <w:rPr>
                <w:sz w:val="17"/>
                <w:szCs w:val="17"/>
              </w:rPr>
              <w:t xml:space="preserve">ICAR MedCom — Musi ME, Sheets A, Zafren K, et al. Clinical staging of accidental hypothermia: the Revised Swiss System — Resuscitation 2021;162:182-7 — https://doi.org/10.1016/j.resuscitation.2021.02.038 ; repris dans ERC 2025, tableau 5 et figure 12 ; 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11.B › fenêtre « Médicaments de réanimation »</w:t>
            </w:r>
          </w:p>
        </w:tc>
        <w:tc>
          <w:tcPr>
            <w:tcW w:w="2600" w:type="dxa"/>
            <w:vAlign w:val="top"/>
          </w:tcPr>
          <w:p>
            <w:pPr>
              <w:spacing w:after="0"/>
            </w:pPr>
            <w:r>
              <w:rPr>
                <w:i/>
                <w:sz w:val="17"/>
                <w:szCs w:val="17"/>
              </w:rPr>
              <w:t xml:space="preserve">« Adrénaline (Adrenalin®) et Amiodarone : RETENUS si Tcc &lt; 30 °C car inefficaces et toxiques. »</w:t>
            </w:r>
          </w:p>
        </w:tc>
        <w:tc>
          <w:tcPr>
            <w:tcW w:w="3000" w:type="dxa"/>
            <w:vAlign w:val="top"/>
          </w:tcPr>
          <w:p>
            <w:pPr>
              <w:spacing w:after="40"/>
            </w:pPr>
            <w:r>
              <w:rPr>
                <w:sz w:val="17"/>
                <w:szCs w:val="17"/>
              </w:rPr>
              <w:t xml:space="preserve">Cette règle reprend l'ERC 2021 ; l'ERC 2025 recommande sous 30 °C une dose unique de 1 mg d'adrénaline IV pour faciliter la RACS (sauf ECPR imminente) et une dose de charge d'amiodarone de 300 mg en rythme choquable, les doses suivantes étant différées au-delà de 30 °C.</w:t>
            </w:r>
          </w:p>
          <w:p>
            <w:pPr>
              <w:spacing w:after="0"/>
            </w:pPr>
            <w:r>
              <w:rPr>
                <w:b/>
                <w:color w:val="145A32"/>
                <w:sz w:val="17"/>
                <w:szCs w:val="17"/>
              </w:rPr>
              <w:t xml:space="preserve">→ Remplacer par : « Sous 30 °C : adrénaline 1 mg IV une seule fois, sauf ECPR imminente ; amiodarone 300 mg IV en dose de charge si le rythme est choquable, doses suivantes différées jusqu'à Tcc &gt; 30 °C. Entre 30 et 35 °C : adrénaline 1 mg toutes les 6 à 10 min. Au-delà de 35 °C : protocole standard. Ni calcium ni bicarbonate.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 Resuscitation Council UK, Special circumstances guidelines 2025, https://www.resus.org.uk/professional-library/2025-resuscitation-guidelines/special-circumstances-guidelines,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13 (Points clés à retenir)</w:t>
            </w:r>
          </w:p>
        </w:tc>
        <w:tc>
          <w:tcPr>
            <w:tcW w:w="2600" w:type="dxa"/>
            <w:vAlign w:val="top"/>
          </w:tcPr>
          <w:p>
            <w:pPr>
              <w:spacing w:after="0"/>
            </w:pPr>
            <w:r>
              <w:rPr>
                <w:i/>
                <w:sz w:val="17"/>
                <w:szCs w:val="17"/>
              </w:rPr>
              <w:t xml:space="preserve">« L'adrénaline est proscrite sous 30 °C. »</w:t>
            </w:r>
          </w:p>
        </w:tc>
        <w:tc>
          <w:tcPr>
            <w:tcW w:w="3000" w:type="dxa"/>
            <w:vAlign w:val="top"/>
          </w:tcPr>
          <w:p>
            <w:pPr>
              <w:spacing w:after="40"/>
            </w:pPr>
            <w:r>
              <w:rPr>
                <w:sz w:val="17"/>
                <w:szCs w:val="17"/>
              </w:rPr>
              <w:t xml:space="preserve">L'ERC 2025 ne proscrit plus l'adrénaline sous 30 °C : il prévoit une dose unique de 1 mg sauf ECPR imminente.</w:t>
            </w:r>
          </w:p>
          <w:p>
            <w:pPr>
              <w:spacing w:after="0"/>
            </w:pPr>
            <w:r>
              <w:rPr>
                <w:b/>
                <w:color w:val="145A32"/>
                <w:sz w:val="17"/>
                <w:szCs w:val="17"/>
              </w:rPr>
              <w:t xml:space="preserve">→ Écrire : « Sous 30 °C, l'adrénaline s'accumule ; on n'en donne qu'une dose unique de 1 mg IV, sauf si l'ECPR débute immédiatement.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 point 11.B (Moyens et méthodes)</w:t>
            </w:r>
          </w:p>
        </w:tc>
        <w:tc>
          <w:tcPr>
            <w:tcW w:w="2600" w:type="dxa"/>
            <w:vAlign w:val="top"/>
          </w:tcPr>
          <w:p>
            <w:pPr>
              <w:spacing w:after="0"/>
            </w:pPr>
            <w:r>
              <w:rPr>
                <w:i/>
                <w:sz w:val="17"/>
                <w:szCs w:val="17"/>
              </w:rPr>
              <w:t xml:space="preserve">« On n'administre strictement aucune adrénaline sous la barre des 30 °C. »</w:t>
            </w:r>
          </w:p>
        </w:tc>
        <w:tc>
          <w:tcPr>
            <w:tcW w:w="3000" w:type="dxa"/>
            <w:vAlign w:val="top"/>
          </w:tcPr>
          <w:p>
            <w:pPr>
              <w:spacing w:after="40"/>
            </w:pPr>
            <w:r>
              <w:rPr>
                <w:sz w:val="17"/>
                <w:szCs w:val="17"/>
              </w:rPr>
              <w:t xml:space="preserve">Cette interdiction absolue contredit l'ERC 2025, qui autorise une dose unique de 1 mg d'adrénaline sous 30 °C hors ECPR imminente ; la sous-partie pharmacologique ne contient par ailleurs ni DCI structurée, ni spécialité, ni dose.</w:t>
            </w:r>
          </w:p>
          <w:p>
            <w:pPr>
              <w:spacing w:after="0"/>
            </w:pPr>
            <w:r>
              <w:rPr>
                <w:b/>
                <w:color w:val="145A32"/>
                <w:sz w:val="17"/>
                <w:szCs w:val="17"/>
              </w:rPr>
              <w:t xml:space="preserve">→ Écrire : « Sous 30 °C, l'équipe donne une dose unique d'adrénaline 1 mg IV, sauf ECPR imminente ; elle allonge l'intervalle à 6–10 min entre 30 et 35 °C. » Puis structurer adrénaline et amiodarone selon ①–⑥.</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10 (Arbre décisionnel) › branche ACR</w:t>
            </w:r>
          </w:p>
        </w:tc>
        <w:tc>
          <w:tcPr>
            <w:tcW w:w="2600" w:type="dxa"/>
            <w:vAlign w:val="top"/>
          </w:tcPr>
          <w:p>
            <w:pPr>
              <w:spacing w:after="0"/>
            </w:pPr>
            <w:r>
              <w:rPr>
                <w:i/>
                <w:sz w:val="17"/>
                <w:szCs w:val="17"/>
              </w:rPr>
              <w:t xml:space="preserve">« transfert direct centre universitaire sous ECLS si K+ compatible (Score HOPE &gt; 10%) »</w:t>
            </w:r>
          </w:p>
        </w:tc>
        <w:tc>
          <w:tcPr>
            <w:tcW w:w="3000" w:type="dxa"/>
            <w:vAlign w:val="top"/>
          </w:tcPr>
          <w:p>
            <w:pPr>
              <w:spacing w:after="40"/>
            </w:pPr>
            <w:r>
              <w:rPr>
                <w:sz w:val="17"/>
                <w:szCs w:val="17"/>
              </w:rPr>
              <w:t xml:space="preserve">La phrase subordonne le transfert préhospitalier à la kaliémie, alors que l'ERC 2025 recommande le transfert direct de tout ACR hypothermique vers un centre ECLS (si atteignable en 6 h), le score HOPE servant au pronostic hospitalier ; les autres indications d'ECLS (patient qui se dégrade, ETCO2 &lt; 1,3 kPa, PAS ≤ 60 mmHg) et le fait qu'une asystolie non témoignée ne contre-indique pas l'ECLS manquent.</w:t>
            </w:r>
          </w:p>
          <w:p>
            <w:pPr>
              <w:spacing w:after="0"/>
            </w:pPr>
            <w:r>
              <w:rPr>
                <w:b/>
                <w:color w:val="145A32"/>
                <w:sz w:val="17"/>
                <w:szCs w:val="17"/>
              </w:rPr>
              <w:t xml:space="preserve">→ Écrire : « ACR hypothermique → RCP continue (mécanique si transport long), transfert direct vers un centre ECLS atteignable en 6 h ; à l'hôpital, HOPE ≥ 10 % → VA-ECMO. Si aucun centre ECLS n'est atteignable en 6 h, réchauffement non extracorporel. » Ajouter une fenêtre sur les indications d'ECLS.</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2 (Épidémiologie)</w:t>
            </w:r>
          </w:p>
        </w:tc>
        <w:tc>
          <w:tcPr>
            <w:tcW w:w="2600" w:type="dxa"/>
            <w:vAlign w:val="top"/>
          </w:tcPr>
          <w:p>
            <w:pPr>
              <w:spacing w:after="0"/>
            </w:pPr>
            <w:r>
              <w:rPr>
                <w:i/>
                <w:sz w:val="17"/>
                <w:szCs w:val="17"/>
              </w:rPr>
              <w:t xml:space="preserve">« environ 200 à 300 cas d'hypothermie accidentelle sévère par an »</w:t>
            </w:r>
          </w:p>
        </w:tc>
        <w:tc>
          <w:tcPr>
            <w:tcW w:w="3000" w:type="dxa"/>
            <w:vAlign w:val="top"/>
          </w:tcPr>
          <w:p>
            <w:pPr>
              <w:spacing w:after="40"/>
            </w:pPr>
            <w:r>
              <w:rPr>
                <w:sz w:val="17"/>
                <w:szCs w:val="17"/>
              </w:rPr>
              <w:t xml:space="preserve">Les chiffres de 200 à 300 cas annuels et de 70 % de survie sous ECLS sont attribués à un « Registre suisse » non identifié ; aucune source lue ne les confirme et les pourcentages non sourcés sont interdits.</w:t>
            </w:r>
          </w:p>
          <w:p>
            <w:pPr>
              <w:spacing w:after="0"/>
            </w:pPr>
            <w:r>
              <w:rPr>
                <w:b/>
                <w:color w:val="145A32"/>
                <w:sz w:val="17"/>
                <w:szCs w:val="17"/>
              </w:rPr>
              <w:t xml:space="preserve">→ Supprimer les deux chiffres ou les remplacer par des données sourcées (OFS, International Hypothermia Registry, études suisses publiées) ; à défaut écrire « donnée non trouvée dans les sources consultées » et saisir le dossier HELP.</w:t>
            </w:r>
          </w:p>
        </w:tc>
        <w:tc>
          <w:tcPr>
            <w:tcW w:w="1800" w:type="dxa"/>
            <w:vAlign w:val="top"/>
          </w:tcPr>
          <w:p>
            <w:pPr>
              <w:spacing w:after="0"/>
            </w:pPr>
            <w:r>
              <w:rPr>
                <w:sz w:val="17"/>
                <w:szCs w:val="17"/>
              </w:rPr>
              <w:t xml:space="preserve">Donnée non trouvée dans les sources consultées (ERC 2025 ; recherche OFS non concluante) ; PROMPT_V6 § 3.1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14 (Pièges)</w:t>
            </w:r>
          </w:p>
        </w:tc>
        <w:tc>
          <w:tcPr>
            <w:tcW w:w="2600" w:type="dxa"/>
            <w:vAlign w:val="top"/>
          </w:tcPr>
          <w:p>
            <w:pPr>
              <w:spacing w:after="0"/>
            </w:pPr>
            <w:r>
              <w:rPr>
                <w:i/>
                <w:sz w:val="17"/>
                <w:szCs w:val="17"/>
              </w:rPr>
              <w:t xml:space="preserve">« L'onde J d'Osborn est pathognomonique mais non corrélée à la sévérité. »</w:t>
            </w:r>
          </w:p>
        </w:tc>
        <w:tc>
          <w:tcPr>
            <w:tcW w:w="3000" w:type="dxa"/>
            <w:vAlign w:val="top"/>
          </w:tcPr>
          <w:p>
            <w:pPr>
              <w:spacing w:after="40"/>
            </w:pPr>
            <w:r>
              <w:rPr>
                <w:sz w:val="17"/>
                <w:szCs w:val="17"/>
              </w:rPr>
              <w:t xml:space="preserve">L'onde d'Osborn n'est pas pathognomonique : elle survient aussi dans l'hypercalcémie, les lésions cérébrales et l'hémorragie sous-arachnoïdienne.</w:t>
            </w:r>
          </w:p>
          <w:p>
            <w:pPr>
              <w:spacing w:after="0"/>
            </w:pPr>
            <w:r>
              <w:rPr>
                <w:b/>
                <w:color w:val="145A32"/>
                <w:sz w:val="17"/>
                <w:szCs w:val="17"/>
              </w:rPr>
              <w:t xml:space="preserve">→ Écrire : « L'onde J d'Osborn évoque l'hypothermie mais n'est pas pathognomonique : l'hypercalcémie, un traumatisme cérébral ou une hémorragie sous-arachnoïdienne la produisent aussi. »</w:t>
            </w:r>
          </w:p>
        </w:tc>
        <w:tc>
          <w:tcPr>
            <w:tcW w:w="1800" w:type="dxa"/>
            <w:vAlign w:val="top"/>
          </w:tcPr>
          <w:p>
            <w:pPr>
              <w:spacing w:after="0"/>
            </w:pPr>
            <w:r>
              <w:rPr>
                <w:sz w:val="17"/>
                <w:szCs w:val="17"/>
              </w:rPr>
              <w:t xml:space="preserve">Osborn Waves: History and Significance — Indian Pacing Electrophysiol J 2004 — https://www.ncbi.nlm.nih.gov/pmc/articles/PMC1501063/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Sources › [S1] à [S3]</w:t>
            </w:r>
          </w:p>
        </w:tc>
        <w:tc>
          <w:tcPr>
            <w:tcW w:w="2600" w:type="dxa"/>
            <w:vAlign w:val="top"/>
          </w:tcPr>
          <w:p>
            <w:pPr>
              <w:spacing w:after="0"/>
            </w:pPr>
            <w:r>
              <w:rPr>
                <w:i/>
                <w:sz w:val="17"/>
                <w:szCs w:val="17"/>
              </w:rPr>
              <w:t xml:space="preserve">« Triage et réanimation de l'hypothermie accidentelle (Système Suisse &amp; Score HOPE) — Société Suisse de Médecine d'Urgence et de Sauvetage (SSMUS/SGNOR) — 2023 »</w:t>
            </w:r>
          </w:p>
        </w:tc>
        <w:tc>
          <w:tcPr>
            <w:tcW w:w="3000" w:type="dxa"/>
            <w:vAlign w:val="top"/>
          </w:tcPr>
          <w:p>
            <w:pPr>
              <w:spacing w:after="40"/>
            </w:pPr>
            <w:r>
              <w:rPr>
                <w:sz w:val="17"/>
                <w:szCs w:val="17"/>
              </w:rPr>
              <w:t xml:space="preserve">Les références renvoient à des pages d'accueil (cprguidelines.eu, sgnor.ch, revmed.ch) sans document identifiable ; le document SGNOR 2023 et l'article RMS 2022 n'ont pas été trouvés, et « ERC 2021 (Mise à jour 2025) » confond deux recommandations distinctes. Répétition dans la Partie 1 (S1, S2).</w:t>
            </w:r>
          </w:p>
          <w:p>
            <w:pPr>
              <w:spacing w:after="0"/>
            </w:pPr>
            <w:r>
              <w:rPr>
                <w:b/>
                <w:color w:val="145A32"/>
                <w:sz w:val="17"/>
                <w:szCs w:val="17"/>
              </w:rPr>
              <w:t xml:space="preserve">→ Remplacer par des sources primaires lues : ERC 2025 Special Circumstances (DOI 10.1016/j.resuscitation.2025.110753) ; Musi 2021 (système suisse révisé) ; Pasquier 2018 (HOPE) ; Pasquier 2023 (ICAR avalanche) ; SLF pour l'épidémiologie des avalanches ; chaque entrée avec titre, année, URL exacte et date.</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 ICAR MedCom — Musi ME, Sheets A, Zafren K, et al. Clinical staging of accidental hypothermia: the Revised Swiss System — Resuscitation 2021;162:182-7 — https://doi.org/10.1016/j.resuscitation.2021.02.038 ; repris dans ERC 2025, tableau 5 et figure 12 ; Pasquier M, Hugli O, Paal P, et al. Hypothermia outcome prediction after extracorporeal life support for hypothermic cardiac arrest patients: the HOPE score — Resuscitation 2018;126:58-64 — https://doi.org/10.1016/j.resuscitation.2018.02.026 (cité par ERC 2025, réf. 158) ; ICAR MedCom — Pasquier M, Strapazzon G, Kottmann A, et al. On-site treatment of avalanche victims: scoping review and 2023 recommendations — Resuscitation 2023;184:109708 — https://doi.org/10.1016/j.resuscitation.2023.109708 (résumé lu sur https://boris.unibe.ch/178065,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liste DX.1–DX.10</w:t>
            </w:r>
          </w:p>
        </w:tc>
        <w:tc>
          <w:tcPr>
            <w:tcW w:w="2600" w:type="dxa"/>
            <w:vAlign w:val="top"/>
          </w:tcPr>
          <w:p>
            <w:pPr>
              <w:spacing w:after="0"/>
            </w:pPr>
            <w:r>
              <w:rPr>
                <w:i/>
                <w:sz w:val="17"/>
                <w:szCs w:val="17"/>
              </w:rPr>
              <w:t xml:space="preserve">« DX.2 Hypothermie d'avalanche : Spécificité suisse ; l'asphyxie précède l'hypothermie, pronostic distinct. »</w:t>
            </w:r>
          </w:p>
        </w:tc>
        <w:tc>
          <w:tcPr>
            <w:tcW w:w="3000" w:type="dxa"/>
            <w:vAlign w:val="top"/>
          </w:tcPr>
          <w:p>
            <w:pPr>
              <w:spacing w:after="40"/>
            </w:pPr>
            <w:r>
              <w:rPr>
                <w:sz w:val="17"/>
                <w:szCs w:val="17"/>
              </w:rPr>
              <w:t xml:space="preserve">DX.2 est une sous-forme de DX.1 et ne constitue pas un diagnostic différentiel distinct, tandis que des causes graves manquent : hypothermie secondaire du sujet âgé multimorbide à domicile (en hausse selon l'ERC 2025), hypothermie traumatique, noyade, hypopituitarisme et lésions hypothalamiques (AVC, tumeur), brûlures étendues ou dermatoses, malnutrition sévère.</w:t>
            </w:r>
          </w:p>
          <w:p>
            <w:pPr>
              <w:spacing w:after="0"/>
            </w:pPr>
            <w:r>
              <w:rPr>
                <w:b/>
                <w:color w:val="145A32"/>
                <w:sz w:val="17"/>
                <w:szCs w:val="17"/>
              </w:rPr>
              <w:t xml:space="preserve">→ Fusionner avalanche et immersion dans DX.1 (fenêtres dédiées) et libérer un rang pour l'hypothermie secondaire du sujet âgé ou l'hypothermie traumatique ; ajouter un tableau « ne pas manquer » ; annoncer et sourcer le critère d'ordre des DX.</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(section Prevention from cardiac arrest : hypothermie primaire et secondaire)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L8-M25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DX.3 › conduite immédiate</w:t>
            </w:r>
          </w:p>
        </w:tc>
        <w:tc>
          <w:tcPr>
            <w:tcW w:w="2600" w:type="dxa"/>
            <w:vAlign w:val="top"/>
          </w:tcPr>
          <w:p>
            <w:pPr>
              <w:spacing w:after="0"/>
            </w:pPr>
            <w:r>
              <w:rPr>
                <w:i/>
                <w:sz w:val="17"/>
                <w:szCs w:val="17"/>
              </w:rPr>
              <w:t xml:space="preserve">« Lévothyroxine (Euthyrox®) IV + Hydrocortisone »</w:t>
            </w:r>
          </w:p>
        </w:tc>
        <w:tc>
          <w:tcPr>
            <w:tcW w:w="3000" w:type="dxa"/>
            <w:vAlign w:val="top"/>
          </w:tcPr>
          <w:p>
            <w:pPr>
              <w:spacing w:after="40"/>
            </w:pPr>
            <w:r>
              <w:rPr>
                <w:sz w:val="17"/>
                <w:szCs w:val="17"/>
              </w:rPr>
              <w:t xml:space="preserve">Euthyrox® est une spécialité suisse en comprimés oraux ; aucune lévothyroxine IV autorisée en Suisse n'a été trouvée, et aucune dose n'est donnée.</w:t>
            </w:r>
          </w:p>
          <w:p>
            <w:pPr>
              <w:spacing w:after="0"/>
            </w:pPr>
            <w:r>
              <w:rPr>
                <w:b/>
                <w:color w:val="145A32"/>
                <w:sz w:val="17"/>
                <w:szCs w:val="17"/>
              </w:rPr>
              <w:t xml:space="preserve">→ Écrire : « Lévothyroxine IV (aucune spécialité IV trouvée dans les sources suisses consultées : importation à vérifier, par exemple L-Thyroxin SERB® 200 µg/mL en Allemagne, dose de charge 200–500 µg IV le premier jour selon son information professionnelle) précédée d'hydrocortisone IV. »</w:t>
            </w:r>
          </w:p>
        </w:tc>
        <w:tc>
          <w:tcPr>
            <w:tcW w:w="1800" w:type="dxa"/>
            <w:vAlign w:val="top"/>
          </w:tcPr>
          <w:p>
            <w:pPr>
              <w:spacing w:after="0"/>
            </w:pPr>
            <w:r>
              <w:rPr>
                <w:sz w:val="17"/>
                <w:szCs w:val="17"/>
              </w:rPr>
              <w:t xml:space="preserve">fachinfo.de, L-Thyroxin SERB 200 Mikrogramm/ml, https://www.fachinfo.de/fi/detail/025782/l-thyroxin-serb-200-mikrogramm-ml-injektions-infusionsloesung, lu le 22.10.2026 ; spécialité IV suisse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L8-M34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point 9.a (Gold standard)</w:t>
            </w:r>
          </w:p>
        </w:tc>
        <w:tc>
          <w:tcPr>
            <w:tcW w:w="2600" w:type="dxa"/>
            <w:vAlign w:val="top"/>
          </w:tcPr>
          <w:p>
            <w:pPr>
              <w:spacing w:after="0"/>
            </w:pPr>
            <w:r>
              <w:rPr>
                <w:i/>
                <w:sz w:val="17"/>
                <w:szCs w:val="17"/>
              </w:rPr>
              <w:t xml:space="preserve">« La kaliémie veineuse ou artérielle obtenue sur le terrain ou à l'admission détermine la viabilité cellulaire. »</w:t>
            </w:r>
          </w:p>
        </w:tc>
        <w:tc>
          <w:tcPr>
            <w:tcW w:w="3000" w:type="dxa"/>
            <w:vAlign w:val="top"/>
          </w:tcPr>
          <w:p>
            <w:pPr>
              <w:spacing w:after="40"/>
            </w:pPr>
            <w:r>
              <w:rPr>
                <w:sz w:val="17"/>
                <w:szCs w:val="17"/>
              </w:rPr>
              <w:t xml:space="preserve">La kaliémie n'est pas le gold standard : l'ERC 2025 fonde le pronostic hospitalier sur le score HOPE et la décision de terrain sur la durée d'ensevelissement, la perméabilité des voies aériennes et la Tcc.</w:t>
            </w:r>
          </w:p>
          <w:p>
            <w:pPr>
              <w:spacing w:after="0"/>
            </w:pPr>
            <w:r>
              <w:rPr>
                <w:b/>
                <w:color w:val="145A32"/>
                <w:sz w:val="17"/>
                <w:szCs w:val="17"/>
              </w:rPr>
              <w:t xml:space="preserve">→ Écrire : « Le score HOPE constitue la référence pronostique hospitalière ; la kaliémie n'intervient seule qu'à défaut de HOPE (K+ &lt; 7 mmol/L et Tcc &lt; 30 °C). Sur le terrain, la décision repose sur la durée d'ensevelissement, les voies aériennes et la Tcc.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 Pasquier M, Hugli O, Paal P, et al. Hypothermia outcome prediction after extracorporeal life support for hypothermic cardiac arrest patients: the HOPE score — Resuscitation 2018;126:58-64 — https://doi.org/10.1016/j.resuscitation.2018.02.026 (cité par ERC 2025, réf. 158)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L8-M38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 point 11.D (Pronostic)</w:t>
            </w:r>
          </w:p>
        </w:tc>
        <w:tc>
          <w:tcPr>
            <w:tcW w:w="2600" w:type="dxa"/>
            <w:vAlign w:val="top"/>
          </w:tcPr>
          <w:p>
            <w:pPr>
              <w:spacing w:after="0"/>
            </w:pPr>
            <w:r>
              <w:rPr>
                <w:i/>
                <w:sz w:val="17"/>
                <w:szCs w:val="17"/>
              </w:rPr>
              <w:t xml:space="preserve">« Le système d'intelligence artificielle HOPE-Score 2.0 guide aujourd'hui la futilité des réanimations complexes. »</w:t>
            </w:r>
          </w:p>
        </w:tc>
        <w:tc>
          <w:tcPr>
            <w:tcW w:w="3000" w:type="dxa"/>
            <w:vAlign w:val="top"/>
          </w:tcPr>
          <w:p>
            <w:pPr>
              <w:spacing w:after="40"/>
            </w:pPr>
            <w:r>
              <w:rPr>
                <w:sz w:val="17"/>
                <w:szCs w:val="17"/>
              </w:rPr>
              <w:t xml:space="preserve">Le score HOPE est un modèle de régression multivariable publié en 2018 et validé en 2019 ; aucun « HOPE-Score 2.0 » fondé sur l'intelligence artificielle n'a été trouvé, et le score sert à estimer la survie avant ECLS et non la futilité. Même affirmation dans l'Appel A, point 11.D (« application HOPE-Score 2.0 ») : 2 occurrences.</w:t>
            </w:r>
          </w:p>
          <w:p>
            <w:pPr>
              <w:spacing w:after="0"/>
            </w:pPr>
            <w:r>
              <w:rPr>
                <w:b/>
                <w:color w:val="145A32"/>
                <w:sz w:val="17"/>
                <w:szCs w:val="17"/>
              </w:rPr>
              <w:t xml:space="preserve">→ Écrire : « Le score HOPE (Pasquier 2018, validé en 2019) estime la probabilité de survie après réchauffement par ECLS ; un HOPE ≥ 10 % justifie l'ECLS. » Supprimer toute mention de « HOPE-Score 2.0 ».</w:t>
            </w:r>
          </w:p>
        </w:tc>
        <w:tc>
          <w:tcPr>
            <w:tcW w:w="1800" w:type="dxa"/>
            <w:vAlign w:val="top"/>
          </w:tcPr>
          <w:p>
            <w:pPr>
              <w:spacing w:after="0"/>
            </w:pPr>
            <w:r>
              <w:rPr>
                <w:sz w:val="17"/>
                <w:szCs w:val="17"/>
              </w:rPr>
              <w:t xml:space="preserve">Pasquier M, Hugli O, Paal P, et al. Hypothermia outcome prediction after extracorporeal life support for hypothermic cardiac arrest patients: the HOPE score — Resuscitation 2018;126:58-64 — https://doi.org/10.1016/j.resuscitation.2018.02.026 (cité par ERC 2025, réf. 158) ; Pasquier M, et al. External validation of the HOPE score, Resuscitation 2019;139:321-8, https://doi.org/10.1016/j.resuscitation.2019.03.017</w:t>
            </w:r>
          </w:p>
        </w:tc>
      </w:tr>
    </w:tbl>
    <w:p>
      <w:pPr>
        <w:spacing w:after="120"/>
      </w:pPr>
    </w:p>
    <w:p>
      <w:pPr>
        <w:pStyle w:val="Titre1"/>
        <w:keepNext/>
      </w:pPr>
      <w:r>
        <w:rPr>
          <w:b/>
          <w:color w:val="B9770E"/>
          <w:sz w:val="26"/>
          <w:szCs w:val="26"/>
        </w:rPr>
        <w:t xml:space="preserve">Moyen — 43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L8-L10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liste DX.1–DX.10</w:t>
            </w:r>
          </w:p>
        </w:tc>
        <w:tc>
          <w:tcPr>
            <w:tcW w:w="2600" w:type="dxa"/>
            <w:vAlign w:val="top"/>
          </w:tcPr>
          <w:p>
            <w:pPr>
              <w:spacing w:after="0"/>
            </w:pPr>
            <w:r>
              <w:rPr>
                <w:i/>
                <w:sz w:val="17"/>
                <w:szCs w:val="17"/>
              </w:rPr>
              <w:t xml:space="preserve">« DX.1 Hypothermie accidentelle (immersion/exposition) : Urgence environnementale majeure. »</w:t>
            </w:r>
          </w:p>
        </w:tc>
        <w:tc>
          <w:tcPr>
            <w:tcW w:w="3000" w:type="dxa"/>
            <w:vAlign w:val="top"/>
          </w:tcPr>
          <w:p>
            <w:pPr>
              <w:spacing w:after="40"/>
            </w:pPr>
            <w:r>
              <w:rPr>
                <w:sz w:val="17"/>
                <w:szCs w:val="17"/>
              </w:rPr>
              <w:t xml:space="preserve">Les dix DX ne portent ni pourcentage sourcé ni mention « Ne rang — fréquence non quantifiée (Suisse) », alors que le badge est obligatoire.</w:t>
            </w:r>
          </w:p>
          <w:p>
            <w:pPr>
              <w:spacing w:after="0"/>
            </w:pPr>
            <w:r>
              <w:rPr>
                <w:b/>
                <w:color w:val="145A32"/>
                <w:sz w:val="17"/>
                <w:szCs w:val="17"/>
              </w:rPr>
              <w:t xml:space="preserve">→ Ajouter à chaque DX un badge sourcé ou la mention « 1er rang — fréquence non quantifiée (Suisse) », etc.</w:t>
            </w:r>
          </w:p>
        </w:tc>
        <w:tc>
          <w:tcPr>
            <w:tcW w:w="1800" w:type="dxa"/>
            <w:vAlign w:val="top"/>
          </w:tcPr>
          <w:p>
            <w:pPr>
              <w:spacing w:after="0"/>
            </w:pPr>
            <w:r>
              <w:rPr>
                <w:sz w:val="17"/>
                <w:szCs w:val="17"/>
              </w:rPr>
              <w:t xml:space="preserve">PROMPT_V6.md (prompt de base, Standard 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L8-L11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9 › 9.c</w:t>
            </w:r>
          </w:p>
        </w:tc>
        <w:tc>
          <w:tcPr>
            <w:tcW w:w="2600" w:type="dxa"/>
            <w:vAlign w:val="top"/>
          </w:tcPr>
          <w:p>
            <w:pPr>
              <w:spacing w:after="0"/>
            </w:pPr>
            <w:r>
              <w:rPr>
                <w:i/>
                <w:sz w:val="17"/>
                <w:szCs w:val="17"/>
              </w:rPr>
              <w:t xml:space="preserve">« 9.c Alternatives : TDM corps entier (Trauma-scan) si suspicion de polytraumatisme »</w:t>
            </w:r>
          </w:p>
        </w:tc>
        <w:tc>
          <w:tcPr>
            <w:tcW w:w="3000" w:type="dxa"/>
            <w:vAlign w:val="top"/>
          </w:tcPr>
          <w:p>
            <w:pPr>
              <w:spacing w:after="40"/>
            </w:pPr>
            <w:r>
              <w:rPr>
                <w:sz w:val="17"/>
                <w:szCs w:val="17"/>
              </w:rPr>
              <w:t xml:space="preserve">Le point 9.c ne traite pas les situations alternatives prescrites (grossesse, enfant, DFGe &lt; 30 mL/min, allergie aux produits de contraste iodés, pacemaker) et confond alternative et examen de 2e intention.</w:t>
            </w:r>
          </w:p>
          <w:p>
            <w:pPr>
              <w:spacing w:after="0"/>
            </w:pPr>
            <w:r>
              <w:rPr>
                <w:b/>
                <w:color w:val="145A32"/>
                <w:sz w:val="17"/>
                <w:szCs w:val="17"/>
              </w:rPr>
              <w:t xml:space="preserve">→ Réécrire 9.c avec les alternatives pertinentes (ex. enfant : thermométrie œsophagienne si intubé ; grossesse : échographie au lieu du scanner selon la situation) et déplacer le scanner en 9.d.</w:t>
            </w:r>
          </w:p>
        </w:tc>
        <w:tc>
          <w:tcPr>
            <w:tcW w:w="1800" w:type="dxa"/>
            <w:vAlign w:val="top"/>
          </w:tcPr>
          <w:p>
            <w:pPr>
              <w:spacing w:after="0"/>
            </w:pPr>
            <w:r>
              <w:rPr>
                <w:sz w:val="17"/>
                <w:szCs w:val="17"/>
              </w:rPr>
              <w:t xml:space="preserve">PROMPT_V6.md (prompt de base, Standard V6) § 5 point 9.c</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L8-L14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 › titre</w:t>
            </w:r>
          </w:p>
        </w:tc>
        <w:tc>
          <w:tcPr>
            <w:tcW w:w="2600" w:type="dxa"/>
            <w:vAlign w:val="top"/>
          </w:tcPr>
          <w:p>
            <w:pPr>
              <w:spacing w:after="0"/>
            </w:pPr>
            <w:r>
              <w:rPr>
                <w:i/>
                <w:sz w:val="17"/>
                <w:szCs w:val="17"/>
              </w:rPr>
              <w:t xml:space="preserve">« Prise en charge selon les recommandations suisses (ERC 2021 / SGNOR). »</w:t>
            </w:r>
          </w:p>
        </w:tc>
        <w:tc>
          <w:tcPr>
            <w:tcW w:w="3000" w:type="dxa"/>
            <w:vAlign w:val="top"/>
          </w:tcPr>
          <w:p>
            <w:pPr>
              <w:spacing w:after="40"/>
            </w:pPr>
            <w:r>
              <w:rPr>
                <w:sz w:val="17"/>
                <w:szCs w:val="17"/>
              </w:rPr>
              <w:t xml:space="preserve">Le titre et [S1] mélangent « ERC 2021 (Mise à jour 2025) » alors que l'ERC a publié des lignes directrices complètes en 2025 ; la version effectivement appliquée n'est pas identifiable.</w:t>
            </w:r>
          </w:p>
          <w:p>
            <w:pPr>
              <w:spacing w:after="0"/>
            </w:pPr>
            <w:r>
              <w:rPr>
                <w:b/>
                <w:color w:val="145A32"/>
                <w:sz w:val="17"/>
                <w:szCs w:val="17"/>
              </w:rPr>
              <w:t xml:space="preserve">→ Citer une seule version datée (ERC 2025 si elle a été lue, sinon ERC 2021) et présenter toute divergence dans une fenêtre.</w:t>
            </w:r>
          </w:p>
        </w:tc>
        <w:tc>
          <w:tcPr>
            <w:tcW w:w="1800" w:type="dxa"/>
            <w:vAlign w:val="top"/>
          </w:tcPr>
          <w:p>
            <w:pPr>
              <w:spacing w:after="0"/>
            </w:pPr>
            <w:r>
              <w:rPr>
                <w:sz w:val="17"/>
                <w:szCs w:val="17"/>
              </w:rPr>
              <w:t xml:space="preserve">PROMPT_V6.md (prompt de base, Standard V6) § 3.5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fenêtre 3.1 › tableau › ligne HT IV</w:t>
            </w:r>
          </w:p>
        </w:tc>
        <w:tc>
          <w:tcPr>
            <w:tcW w:w="2600" w:type="dxa"/>
            <w:vAlign w:val="top"/>
          </w:tcPr>
          <w:p>
            <w:pPr>
              <w:spacing w:after="0"/>
            </w:pPr>
            <w:r>
              <w:rPr>
                <w:i/>
                <w:sz w:val="17"/>
                <w:szCs w:val="17"/>
              </w:rPr>
              <w:t xml:space="preserve">« &lt; 24 °C (ou &lt; 28°C si FV) »</w:t>
            </w:r>
          </w:p>
        </w:tc>
        <w:tc>
          <w:tcPr>
            <w:tcW w:w="3000" w:type="dxa"/>
            <w:vAlign w:val="top"/>
          </w:tcPr>
          <w:p>
            <w:pPr>
              <w:spacing w:after="40"/>
            </w:pPr>
            <w:r>
              <w:rPr>
                <w:sz w:val="17"/>
                <w:szCs w:val="17"/>
              </w:rPr>
              <w:t xml:space="preserve">La mention « ou &lt; 28 °C si FV » ne figure pas dans le système de stadification suisse ; le stade HT IV se définit par l'absence de signes vitaux, et la température n'est qu'indicative.</w:t>
            </w:r>
          </w:p>
          <w:p>
            <w:pPr>
              <w:spacing w:after="0"/>
            </w:pPr>
            <w:r>
              <w:rPr>
                <w:b/>
                <w:color w:val="145A32"/>
                <w:sz w:val="17"/>
                <w:szCs w:val="17"/>
              </w:rPr>
              <w:t xml:space="preserve">→ Supprimer la parenthèse et écrire « &lt; 24 °C (indicatif) ; absence de signes vitaux ».</w:t>
            </w:r>
          </w:p>
        </w:tc>
        <w:tc>
          <w:tcPr>
            <w:tcW w:w="1800" w:type="dxa"/>
            <w:vAlign w:val="top"/>
          </w:tcPr>
          <w:p>
            <w:pPr>
              <w:spacing w:after="0"/>
            </w:pPr>
            <w:r>
              <w:rPr>
                <w:sz w:val="17"/>
                <w:szCs w:val="17"/>
              </w:rPr>
              <w:t xml:space="preserve">donnée non trouvée dans les sources consultées pour la parenthèse ; 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 › fenêtre « déséquilibre thermique »</w:t>
            </w:r>
          </w:p>
        </w:tc>
        <w:tc>
          <w:tcPr>
            <w:tcW w:w="2600" w:type="dxa"/>
            <w:vAlign w:val="top"/>
          </w:tcPr>
          <w:p>
            <w:pPr>
              <w:spacing w:after="0"/>
            </w:pPr>
            <w:r>
              <w:rPr>
                <w:i/>
                <w:sz w:val="17"/>
                <w:szCs w:val="17"/>
              </w:rPr>
              <w:t xml:space="preserve">« baisse de 6% du métabolisme basal par degré »</w:t>
            </w:r>
          </w:p>
        </w:tc>
        <w:tc>
          <w:tcPr>
            <w:tcW w:w="3000" w:type="dxa"/>
            <w:vAlign w:val="top"/>
          </w:tcPr>
          <w:p>
            <w:pPr>
              <w:spacing w:after="40"/>
            </w:pPr>
            <w:r>
              <w:rPr>
                <w:sz w:val="17"/>
                <w:szCs w:val="17"/>
              </w:rPr>
              <w:t xml:space="preserve">Le chiffre de 6 % par degré n'est pas rattaché à une source lue ; il concerne surtout le métabolisme cérébral, non le métabolisme basal global.</w:t>
            </w:r>
          </w:p>
          <w:p>
            <w:pPr>
              <w:spacing w:after="0"/>
            </w:pPr>
            <w:r>
              <w:rPr>
                <w:b/>
                <w:color w:val="145A32"/>
                <w:sz w:val="17"/>
                <w:szCs w:val="17"/>
              </w:rPr>
              <w:t xml:space="preserve">→ Sourcer le chiffre et préciser l'organe concerné, ou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DX.4</w:t>
            </w:r>
          </w:p>
        </w:tc>
        <w:tc>
          <w:tcPr>
            <w:tcW w:w="2600" w:type="dxa"/>
            <w:vAlign w:val="top"/>
          </w:tcPr>
          <w:p>
            <w:pPr>
              <w:spacing w:after="0"/>
            </w:pPr>
            <w:r>
              <w:rPr>
                <w:i/>
                <w:sz w:val="17"/>
                <w:szCs w:val="17"/>
              </w:rPr>
              <w:t xml:space="preserve">« Haleine fétide, HT, coma agité »</w:t>
            </w:r>
          </w:p>
        </w:tc>
        <w:tc>
          <w:tcPr>
            <w:tcW w:w="3000" w:type="dxa"/>
            <w:vAlign w:val="top"/>
          </w:tcPr>
          <w:p>
            <w:pPr>
              <w:spacing w:after="40"/>
            </w:pPr>
            <w:r>
              <w:rPr>
                <w:sz w:val="17"/>
                <w:szCs w:val="17"/>
              </w:rPr>
              <w:t xml:space="preserve">L'intoxication éthylique donne une haleine à odeur d'alcool et non « fétide » ; « coma agité » est contradictoire, car le coma exclut l'agitation.</w:t>
            </w:r>
          </w:p>
          <w:p>
            <w:pPr>
              <w:spacing w:after="0"/>
            </w:pPr>
            <w:r>
              <w:rPr>
                <w:b/>
                <w:color w:val="145A32"/>
                <w:sz w:val="17"/>
                <w:szCs w:val="17"/>
              </w:rPr>
              <w:t xml:space="preserve">→ Écrire « Odeur d'alcool, hypothermie, agitation puis coma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liste › DX.4</w:t>
            </w:r>
          </w:p>
        </w:tc>
        <w:tc>
          <w:tcPr>
            <w:tcW w:w="2600" w:type="dxa"/>
            <w:vAlign w:val="top"/>
          </w:tcPr>
          <w:p>
            <w:pPr>
              <w:spacing w:after="0"/>
            </w:pPr>
            <w:r>
              <w:rPr>
                <w:i/>
                <w:sz w:val="17"/>
                <w:szCs w:val="17"/>
              </w:rPr>
              <w:t xml:space="preserve">« Première cause de HT urbaine par vasodilatation périphérique. »</w:t>
            </w:r>
          </w:p>
        </w:tc>
        <w:tc>
          <w:tcPr>
            <w:tcW w:w="3000" w:type="dxa"/>
            <w:vAlign w:val="top"/>
          </w:tcPr>
          <w:p>
            <w:pPr>
              <w:spacing w:after="40"/>
            </w:pPr>
            <w:r>
              <w:rPr>
                <w:sz w:val="17"/>
                <w:szCs w:val="17"/>
              </w:rPr>
              <w:t xml:space="preserve">Le rang de « première cause » n'est pas sourcé.</w:t>
            </w:r>
          </w:p>
          <w:p>
            <w:pPr>
              <w:spacing w:after="0"/>
            </w:pPr>
            <w:r>
              <w:rPr>
                <w:b/>
                <w:color w:val="145A32"/>
                <w:sz w:val="17"/>
                <w:szCs w:val="17"/>
              </w:rPr>
              <w:t xml:space="preserve">→ Sourcer le rang ou écrire « 4e rang — fréquence non quantifiée (Suisse) ».</w:t>
            </w:r>
          </w:p>
        </w:tc>
        <w:tc>
          <w:tcPr>
            <w:tcW w:w="1800" w:type="dxa"/>
            <w:vAlign w:val="top"/>
          </w:tcPr>
          <w:p>
            <w:pPr>
              <w:spacing w:after="0"/>
            </w:pPr>
            <w:r>
              <w:rPr>
                <w:sz w:val="17"/>
                <w:szCs w:val="17"/>
              </w:rPr>
              <w:t xml:space="preserve">donnée non trouvée dans les sources consultées ; PROMPT_V6.md (prompt de base, Standard 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DX.3</w:t>
            </w:r>
          </w:p>
        </w:tc>
        <w:tc>
          <w:tcPr>
            <w:tcW w:w="2600" w:type="dxa"/>
            <w:vAlign w:val="top"/>
          </w:tcPr>
          <w:p>
            <w:pPr>
              <w:spacing w:after="0"/>
            </w:pPr>
            <w:r>
              <w:rPr>
                <w:i/>
                <w:sz w:val="17"/>
                <w:szCs w:val="17"/>
              </w:rPr>
              <w:t xml:space="preserve">« Lévothyroxine (Euthyrox®) IV + Hydrocortisone »</w:t>
            </w:r>
          </w:p>
        </w:tc>
        <w:tc>
          <w:tcPr>
            <w:tcW w:w="3000" w:type="dxa"/>
            <w:vAlign w:val="top"/>
          </w:tcPr>
          <w:p>
            <w:pPr>
              <w:spacing w:after="40"/>
            </w:pPr>
            <w:r>
              <w:rPr>
                <w:sz w:val="17"/>
                <w:szCs w:val="17"/>
              </w:rPr>
              <w:t xml:space="preserve">Euthyrox® est une forme orale en Suisse ; la forme intraveineuse de lévothyroxine n'a pas été vérifiée dans l'information professionnelle suisse et peut relever de l'importation.</w:t>
            </w:r>
          </w:p>
          <w:p>
            <w:pPr>
              <w:spacing w:after="0"/>
            </w:pPr>
            <w:r>
              <w:rPr>
                <w:b/>
                <w:color w:val="145A32"/>
                <w:sz w:val="17"/>
                <w:szCs w:val="17"/>
              </w:rPr>
              <w:t xml:space="preserve">→ Vérifier dans compendium.ch la disponibilité d'une lévothyroxine IV ; sinon signaler « non autorisée en Suisse — importation » et donner la spécialité exacte.</w:t>
            </w:r>
          </w:p>
        </w:tc>
        <w:tc>
          <w:tcPr>
            <w:tcW w:w="1800" w:type="dxa"/>
            <w:vAlign w:val="top"/>
          </w:tcPr>
          <w:p>
            <w:pPr>
              <w:spacing w:after="0"/>
            </w:pPr>
            <w:r>
              <w:rPr>
                <w:sz w:val="17"/>
                <w:szCs w:val="17"/>
              </w:rPr>
              <w:t xml:space="preserve">donnée non trouvée dans les sources consultées ; PROMPT_V6.md (prompt de base, Standard V6)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DX.8</w:t>
            </w:r>
          </w:p>
        </w:tc>
        <w:tc>
          <w:tcPr>
            <w:tcW w:w="2600" w:type="dxa"/>
            <w:vAlign w:val="top"/>
          </w:tcPr>
          <w:p>
            <w:pPr>
              <w:spacing w:after="0"/>
            </w:pPr>
            <w:r>
              <w:rPr>
                <w:i/>
                <w:sz w:val="17"/>
                <w:szCs w:val="17"/>
              </w:rPr>
              <w:t xml:space="preserve">« Thiamine (Benerva®) IV forte dose »</w:t>
            </w:r>
          </w:p>
        </w:tc>
        <w:tc>
          <w:tcPr>
            <w:tcW w:w="3000" w:type="dxa"/>
            <w:vAlign w:val="top"/>
          </w:tcPr>
          <w:p>
            <w:pPr>
              <w:spacing w:after="40"/>
            </w:pPr>
            <w:r>
              <w:rPr>
                <w:sz w:val="17"/>
                <w:szCs w:val="17"/>
              </w:rPr>
              <w:t xml:space="preserve">La forme injectable de Benerva® et la dose (« forte dose ») ne sont ni vérifiées ni chiffrées ; un terme vague remplace la posologie.</w:t>
            </w:r>
          </w:p>
          <w:p>
            <w:pPr>
              <w:spacing w:after="0"/>
            </w:pPr>
            <w:r>
              <w:rPr>
                <w:b/>
                <w:color w:val="145A32"/>
                <w:sz w:val="17"/>
                <w:szCs w:val="17"/>
              </w:rPr>
              <w:t xml:space="preserve">→ Vérifier la spécialité injectable dans compendium.ch et chiffrer la posologie selon l'information professionnelle (ex. dose, voie, rythme, durée).</w:t>
            </w:r>
          </w:p>
        </w:tc>
        <w:tc>
          <w:tcPr>
            <w:tcW w:w="1800" w:type="dxa"/>
            <w:vAlign w:val="top"/>
          </w:tcPr>
          <w:p>
            <w:pPr>
              <w:spacing w:after="0"/>
            </w:pPr>
            <w:r>
              <w:rPr>
                <w:sz w:val="17"/>
                <w:szCs w:val="17"/>
              </w:rPr>
              <w:t xml:space="preserve">donnée non trouvée dans les sources consultées ; PROMPT_V6.md (prompt de base, Standard V6) § 3.3 et § 6.7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L8-L28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DX.7</w:t>
            </w:r>
          </w:p>
        </w:tc>
        <w:tc>
          <w:tcPr>
            <w:tcW w:w="2600" w:type="dxa"/>
            <w:vAlign w:val="top"/>
          </w:tcPr>
          <w:p>
            <w:pPr>
              <w:spacing w:after="0"/>
            </w:pPr>
            <w:r>
              <w:rPr>
                <w:i/>
                <w:sz w:val="17"/>
                <w:szCs w:val="17"/>
              </w:rPr>
              <w:t xml:space="preserve">« Glucose 40% IV (G40) »</w:t>
            </w:r>
          </w:p>
        </w:tc>
        <w:tc>
          <w:tcPr>
            <w:tcW w:w="3000" w:type="dxa"/>
            <w:vAlign w:val="top"/>
          </w:tcPr>
          <w:p>
            <w:pPr>
              <w:spacing w:after="40"/>
            </w:pPr>
            <w:r>
              <w:rPr>
                <w:sz w:val="17"/>
                <w:szCs w:val="17"/>
              </w:rPr>
              <w:t xml:space="preserve">La concentration, la dose et la spécialité suisse ne sont pas vérifiées ; « G40 » est une abréviation non développée.</w:t>
            </w:r>
          </w:p>
          <w:p>
            <w:pPr>
              <w:spacing w:after="0"/>
            </w:pPr>
            <w:r>
              <w:rPr>
                <w:b/>
                <w:color w:val="145A32"/>
                <w:sz w:val="17"/>
                <w:szCs w:val="17"/>
              </w:rPr>
              <w:t xml:space="preserve">→ Indiquer la solution et la dose vérifiées (ex. glucose 20 % ou 50 % selon la spécialité suisse disponible, en grammes) et supprimer « G40 ».</w:t>
            </w:r>
          </w:p>
        </w:tc>
        <w:tc>
          <w:tcPr>
            <w:tcW w:w="1800" w:type="dxa"/>
            <w:vAlign w:val="top"/>
          </w:tcPr>
          <w:p>
            <w:pPr>
              <w:spacing w:after="0"/>
            </w:pPr>
            <w:r>
              <w:rPr>
                <w:sz w:val="17"/>
                <w:szCs w:val="17"/>
              </w:rPr>
              <w:t xml:space="preserve">donnée non trouvée dans les sources consultées ; PROMPT_V6.md (prompt de base, Standard V6)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L8-L30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4</w:t>
            </w:r>
          </w:p>
        </w:tc>
        <w:tc>
          <w:tcPr>
            <w:tcW w:w="2600" w:type="dxa"/>
            <w:vAlign w:val="top"/>
          </w:tcPr>
          <w:p>
            <w:pPr>
              <w:spacing w:after="0"/>
            </w:pPr>
            <w:r>
              <w:rPr>
                <w:i/>
                <w:sz w:val="17"/>
                <w:szCs w:val="17"/>
              </w:rPr>
              <w:t xml:space="preserve">« sepsis sévère (hypothermie au lieu de fièvre, de mauvais pronostic) »</w:t>
            </w:r>
          </w:p>
        </w:tc>
        <w:tc>
          <w:tcPr>
            <w:tcW w:w="3000" w:type="dxa"/>
            <w:vAlign w:val="top"/>
          </w:tcPr>
          <w:p>
            <w:pPr>
              <w:spacing w:after="40"/>
            </w:pPr>
            <w:r>
              <w:rPr>
                <w:sz w:val="17"/>
                <w:szCs w:val="17"/>
              </w:rPr>
              <w:t xml:space="preserve">Le terme « sepsis sévère » est obsolète depuis la définition Sepsis-3 (2016), reprise en Europe ; il reparaît dans le titre du DX.6.</w:t>
            </w:r>
          </w:p>
          <w:p>
            <w:pPr>
              <w:spacing w:after="0"/>
            </w:pPr>
            <w:r>
              <w:rPr>
                <w:b/>
                <w:color w:val="145A32"/>
                <w:sz w:val="17"/>
                <w:szCs w:val="17"/>
              </w:rPr>
              <w:t xml:space="preserve">→ Remplacer « sepsis sévère » par « sepsis » ou « choc septique » selon la définition Sepsis-3 (2 occurrences, première au point 4).</w:t>
            </w:r>
          </w:p>
        </w:tc>
        <w:tc>
          <w:tcPr>
            <w:tcW w:w="1800" w:type="dxa"/>
            <w:vAlign w:val="top"/>
          </w:tcPr>
          <w:p>
            <w:pPr>
              <w:spacing w:after="0"/>
            </w:pPr>
            <w:r>
              <w:rPr>
                <w:sz w:val="17"/>
                <w:szCs w:val="17"/>
              </w:rPr>
              <w:t xml:space="preserve">donnée non trouvée dans les sources consultées (texte Sepsis-3 non relu dans cet audit)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L8-L31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7 › 7.2</w:t>
            </w:r>
          </w:p>
        </w:tc>
        <w:tc>
          <w:tcPr>
            <w:tcW w:w="2600" w:type="dxa"/>
            <w:vAlign w:val="top"/>
          </w:tcPr>
          <w:p>
            <w:pPr>
              <w:spacing w:after="0"/>
            </w:pPr>
            <w:r>
              <w:rPr>
                <w:i/>
                <w:sz w:val="17"/>
                <w:szCs w:val="17"/>
              </w:rPr>
              <w:t xml:space="preserve">« vasodilatation de sauvetage lors du réchauffement entraînant un choc hypovolémique absolu (drop core temperature) »</w:t>
            </w:r>
          </w:p>
        </w:tc>
        <w:tc>
          <w:tcPr>
            <w:tcW w:w="3000" w:type="dxa"/>
            <w:vAlign w:val="top"/>
          </w:tcPr>
          <w:p>
            <w:pPr>
              <w:spacing w:after="40"/>
            </w:pPr>
            <w:r>
              <w:rPr>
                <w:sz w:val="17"/>
                <w:szCs w:val="17"/>
              </w:rPr>
              <w:t xml:space="preserve">Le point confond le collapsus de sauvetage (« rescue collapse ») et le collapsus de réchauffement ; « choc hypovolémique absolu » est impropre, car l'hypovolémie est relative ; « drop core temperature » est un anglicisme pour l'« afterdrop ».</w:t>
            </w:r>
          </w:p>
          <w:p>
            <w:pPr>
              <w:spacing w:after="0"/>
            </w:pPr>
            <w:r>
              <w:rPr>
                <w:b/>
                <w:color w:val="145A32"/>
                <w:sz w:val="17"/>
                <w:szCs w:val="17"/>
              </w:rPr>
              <w:t xml:space="preserve">→ Distinguer 7.2 Collapsus de sauvetage (mobilisation → FV) et 7.3 Collapsus de réchauffement (vasodilatation → hypovolémie relative, chute secondaire de la Tcc dite « afterdrop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L8-L32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 › D</w:t>
            </w:r>
          </w:p>
        </w:tc>
        <w:tc>
          <w:tcPr>
            <w:tcW w:w="2600" w:type="dxa"/>
            <w:vAlign w:val="top"/>
          </w:tcPr>
          <w:p>
            <w:pPr>
              <w:spacing w:after="0"/>
            </w:pPr>
            <w:r>
              <w:rPr>
                <w:i/>
                <w:sz w:val="17"/>
                <w:szCs w:val="17"/>
              </w:rPr>
              <w:t xml:space="preserve">« Validation clinique extensive de l'application HOPE-Score 2.0. »</w:t>
            </w:r>
          </w:p>
        </w:tc>
        <w:tc>
          <w:tcPr>
            <w:tcW w:w="3000" w:type="dxa"/>
            <w:vAlign w:val="top"/>
          </w:tcPr>
          <w:p>
            <w:pPr>
              <w:spacing w:after="40"/>
            </w:pPr>
            <w:r>
              <w:rPr>
                <w:sz w:val="17"/>
                <w:szCs w:val="17"/>
              </w:rPr>
              <w:t xml:space="preserve">La rubrique « recherche 2026 » cite un « HOPE-Score 2.0 » sans essai ni publication ; le prompt exige le stade exact de la recherche avec numéro NCT.</w:t>
            </w:r>
          </w:p>
          <w:p>
            <w:pPr>
              <w:spacing w:after="0"/>
            </w:pPr>
            <w:r>
              <w:rPr>
                <w:b/>
                <w:color w:val="145A32"/>
                <w:sz w:val="17"/>
                <w:szCs w:val="17"/>
              </w:rPr>
              <w:t xml:space="preserve">→ Citer une publication ou un essai identifié (numéro NCT) ou écrire « donnée non trouvée dans les sources consultées ».</w:t>
            </w:r>
          </w:p>
        </w:tc>
        <w:tc>
          <w:tcPr>
            <w:tcW w:w="1800" w:type="dxa"/>
            <w:vAlign w:val="top"/>
          </w:tcPr>
          <w:p>
            <w:pPr>
              <w:spacing w:after="0"/>
            </w:pPr>
            <w:r>
              <w:rPr>
                <w:sz w:val="17"/>
                <w:szCs w:val="17"/>
              </w:rPr>
              <w:t xml:space="preserve">donnée non trouvée dans les sources consultées ; PROMPT_V6.md (prompt de base, Standard V6) § 5 point 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L8-L35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10</w:t>
            </w:r>
          </w:p>
        </w:tc>
        <w:tc>
          <w:tcPr>
            <w:tcW w:w="2600" w:type="dxa"/>
            <w:vAlign w:val="top"/>
          </w:tcPr>
          <w:p>
            <w:pPr>
              <w:spacing w:after="0"/>
            </w:pPr>
            <w:r>
              <w:rPr>
                <w:i/>
                <w:sz w:val="17"/>
                <w:szCs w:val="17"/>
              </w:rPr>
              <w:t xml:space="preserve">« Patient hypothermique → Conscient et frissonne ? OUI = HT I → Hôpital de proximité, réchauffement externe. »</w:t>
            </w:r>
          </w:p>
        </w:tc>
        <w:tc>
          <w:tcPr>
            <w:tcW w:w="3000" w:type="dxa"/>
            <w:vAlign w:val="top"/>
          </w:tcPr>
          <w:p>
            <w:pPr>
              <w:spacing w:after="40"/>
            </w:pPr>
            <w:r>
              <w:rPr>
                <w:sz w:val="17"/>
                <w:szCs w:val="17"/>
              </w:rPr>
              <w:t xml:space="preserve">L'arbre décisionnel s'écrit en flèches et fragments télégraphiques au lieu de texte structuré ou de tableau à embranchements.</w:t>
            </w:r>
          </w:p>
          <w:p>
            <w:pPr>
              <w:spacing w:after="0"/>
            </w:pPr>
            <w:r>
              <w:rPr>
                <w:b/>
                <w:color w:val="145A32"/>
                <w:sz w:val="17"/>
                <w:szCs w:val="17"/>
              </w:rPr>
              <w:t xml:space="preserve">→ Transformer l'arbre en tableau « Embranchement | Signe ou résultat | Décision » rédigé en phrases verbales.</w:t>
            </w:r>
          </w:p>
        </w:tc>
        <w:tc>
          <w:tcPr>
            <w:tcW w:w="1800" w:type="dxa"/>
            <w:vAlign w:val="top"/>
          </w:tcPr>
          <w:p>
            <w:pPr>
              <w:spacing w:after="0"/>
            </w:pPr>
            <w:r>
              <w:rPr>
                <w:sz w:val="17"/>
                <w:szCs w:val="17"/>
              </w:rPr>
              <w:t xml:space="preserve">PROMPT_V6.md (prompt de base, Standard V6) § 5 point 10 et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L8-L36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Fichier entier (abréviations)</w:t>
            </w:r>
          </w:p>
        </w:tc>
        <w:tc>
          <w:tcPr>
            <w:tcW w:w="2600" w:type="dxa"/>
            <w:vAlign w:val="top"/>
          </w:tcPr>
          <w:p>
            <w:pPr>
              <w:spacing w:after="0"/>
            </w:pPr>
            <w:r>
              <w:rPr>
                <w:i/>
                <w:sz w:val="17"/>
                <w:szCs w:val="17"/>
              </w:rPr>
              <w:t xml:space="preserve">« ACR = HT IV → RCP continue, massage cardiaque mécanique (LUCAS) »</w:t>
            </w:r>
          </w:p>
        </w:tc>
        <w:tc>
          <w:tcPr>
            <w:tcW w:w="3000" w:type="dxa"/>
            <w:vAlign w:val="top"/>
          </w:tcPr>
          <w:p>
            <w:pPr>
              <w:spacing w:after="40"/>
            </w:pPr>
            <w:r>
              <w:rPr>
                <w:sz w:val="17"/>
                <w:szCs w:val="17"/>
              </w:rPr>
              <w:t xml:space="preserve">Plusieurs abréviations ne sont jamais développées ou le sont trop tard : HT, RCP, ECMO, ECLS (développée seulement au point 11), GCS, TSH, T4L, VAS, ATB, HOPE, LUCAS, SGNOR.</w:t>
            </w:r>
          </w:p>
          <w:p>
            <w:pPr>
              <w:spacing w:after="0"/>
            </w:pPr>
            <w:r>
              <w:rPr>
                <w:b/>
                <w:color w:val="145A32"/>
                <w:sz w:val="17"/>
                <w:szCs w:val="17"/>
              </w:rPr>
              <w:t xml:space="preserve">→ Développer chaque abréviation à sa première apparition, par ex. « réanimation cardiopulmonaire (RCP) », « oxygénation extracorporelle par membrane (ECMO) ».</w:t>
            </w:r>
          </w:p>
        </w:tc>
        <w:tc>
          <w:tcPr>
            <w:tcW w:w="1800" w:type="dxa"/>
            <w:vAlign w:val="top"/>
          </w:tcPr>
          <w:p>
            <w:pPr>
              <w:spacing w:after="0"/>
            </w:pPr>
            <w:r>
              <w:rPr>
                <w:sz w:val="17"/>
                <w:szCs w:val="17"/>
              </w:rPr>
              <w:t xml:space="preserve">PROMPT_V6.md (prompt de base, Standard V6) § 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L8-L42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13</w:t>
            </w:r>
          </w:p>
        </w:tc>
        <w:tc>
          <w:tcPr>
            <w:tcW w:w="2600" w:type="dxa"/>
            <w:vAlign w:val="top"/>
          </w:tcPr>
          <w:p>
            <w:pPr>
              <w:spacing w:after="0"/>
            </w:pPr>
            <w:r>
              <w:rPr>
                <w:i/>
                <w:sz w:val="17"/>
                <w:szCs w:val="17"/>
              </w:rPr>
              <w:t xml:space="preserve">« L'adrénaline est proscrite sous 30 °C. »</w:t>
            </w:r>
          </w:p>
        </w:tc>
        <w:tc>
          <w:tcPr>
            <w:tcW w:w="3000" w:type="dxa"/>
            <w:vAlign w:val="top"/>
          </w:tcPr>
          <w:p>
            <w:pPr>
              <w:spacing w:after="40"/>
            </w:pPr>
            <w:r>
              <w:rPr>
                <w:sz w:val="17"/>
                <w:szCs w:val="17"/>
              </w:rPr>
              <w:t xml:space="preserve">La formulation absolue simplifie la recommandation : l'ERC 2021 suspend l'adrénaline sous 30 °C puis double l'intervalle entre 30 et 35 °C, ce que le point 13 ne rappelle pas.</w:t>
            </w:r>
          </w:p>
          <w:p>
            <w:pPr>
              <w:spacing w:after="0"/>
            </w:pPr>
            <w:r>
              <w:rPr>
                <w:b/>
                <w:color w:val="145A32"/>
                <w:sz w:val="17"/>
                <w:szCs w:val="17"/>
              </w:rPr>
              <w:t xml:space="preserve">→ Écrire : « L'équipe suspend l'adrénaline sous 30 °C et double l'intervalle d'administration entre 30 et 35 °C. »</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L8-L47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7 › 7.2</w:t>
            </w:r>
          </w:p>
        </w:tc>
        <w:tc>
          <w:tcPr>
            <w:tcW w:w="2600" w:type="dxa"/>
            <w:vAlign w:val="top"/>
          </w:tcPr>
          <w:p>
            <w:pPr>
              <w:spacing w:after="0"/>
            </w:pPr>
            <w:r>
              <w:rPr>
                <w:i/>
                <w:sz w:val="17"/>
                <w:szCs w:val="17"/>
              </w:rPr>
              <w:t xml:space="preserve">« Environ un tiers des victimes souffrent de traumatismes majeurs »</w:t>
            </w:r>
          </w:p>
        </w:tc>
        <w:tc>
          <w:tcPr>
            <w:tcW w:w="3000" w:type="dxa"/>
            <w:vAlign w:val="top"/>
          </w:tcPr>
          <w:p>
            <w:pPr>
              <w:spacing w:after="40"/>
            </w:pPr>
            <w:r>
              <w:rPr>
                <w:sz w:val="17"/>
                <w:szCs w:val="17"/>
              </w:rPr>
              <w:t xml:space="preserve">La proportion d'un tiers n'est pas sourcée ; la série suisse de Knapp et al. rapporte 15 % de décès sur place par traumatisme non survivable.</w:t>
            </w:r>
          </w:p>
          <w:p>
            <w:pPr>
              <w:spacing w:after="0"/>
            </w:pPr>
            <w:r>
              <w:rPr>
                <w:b/>
                <w:color w:val="145A32"/>
                <w:sz w:val="17"/>
                <w:szCs w:val="17"/>
              </w:rPr>
              <w:t xml:space="preserve">→ Citer la donnée sourcée (« 22 victimes sur 147 (15 %) sont décédées sur place d'un traumatisme non survivable [Sn] ») ou écrire « donnée non trouvée dans les sources consultées ».</w:t>
            </w:r>
          </w:p>
        </w:tc>
        <w:tc>
          <w:tcPr>
            <w:tcW w:w="1800" w:type="dxa"/>
            <w:vAlign w:val="top"/>
          </w:tcPr>
          <w:p>
            <w:pPr>
              <w:spacing w:after="0"/>
            </w:pPr>
            <w:r>
              <w:rPr>
                <w:sz w:val="17"/>
                <w:szCs w:val="17"/>
              </w:rPr>
              <w:t xml:space="preserve">Knapp J, Höftmann D, Albrecht R, Straumann S, Pasquier M, Pietsch U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L8-L51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point 10</w:t>
            </w:r>
          </w:p>
        </w:tc>
        <w:tc>
          <w:tcPr>
            <w:tcW w:w="2600" w:type="dxa"/>
            <w:vAlign w:val="top"/>
          </w:tcPr>
          <w:p>
            <w:pPr>
              <w:spacing w:after="0"/>
            </w:pPr>
            <w:r>
              <w:rPr>
                <w:i/>
                <w:sz w:val="17"/>
                <w:szCs w:val="17"/>
              </w:rPr>
              <w:t xml:space="preserve">« Si le patient présente un arrêt cardiorespiratoire avec Tcc &lt; 32 °C »</w:t>
            </w:r>
          </w:p>
        </w:tc>
        <w:tc>
          <w:tcPr>
            <w:tcW w:w="3000" w:type="dxa"/>
            <w:vAlign w:val="top"/>
          </w:tcPr>
          <w:p>
            <w:pPr>
              <w:spacing w:after="40"/>
            </w:pPr>
            <w:r>
              <w:rPr>
                <w:sz w:val="17"/>
                <w:szCs w:val="17"/>
              </w:rPr>
              <w:t xml:space="preserve">Le seuil de 32 °C diffère de celui de l'Appel A (30 °C pour l'adrénaline, HT IV &lt; 24 °C) sans justification ; la règle d'orientation vers l'ECLS repose sur le score HOPE selon l'ERC 2021.</w:t>
            </w:r>
          </w:p>
          <w:p>
            <w:pPr>
              <w:spacing w:after="0"/>
            </w:pPr>
            <w:r>
              <w:rPr>
                <w:b/>
                <w:color w:val="145A32"/>
                <w:sz w:val="17"/>
                <w:szCs w:val="17"/>
              </w:rPr>
              <w:t xml:space="preserve">→ Harmoniser le seuil avec la source citée et mentionner le score HOPE dans l'arbre décisionnel.</w:t>
            </w:r>
          </w:p>
        </w:tc>
        <w:tc>
          <w:tcPr>
            <w:tcW w:w="1800" w:type="dxa"/>
            <w:vAlign w:val="top"/>
          </w:tcPr>
          <w:p>
            <w:pPr>
              <w:spacing w:after="0"/>
            </w:pPr>
            <w:r>
              <w:rPr>
                <w:sz w:val="17"/>
                <w:szCs w:val="17"/>
              </w:rPr>
              <w:t xml:space="preserve">Lott C et al. — European Resuscitation Council Guidelines 2021: Cardiac arrest in special circumstances — Resuscitation 2021;161:152-219 — doi:10.1016/j.resuscitation.2021.02.011 (texte primaire non accessible, HTTP 403) ; critères repris par Knapp J, Pasquier M, Pietsch U et al.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L8-L52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fenêtre 9.b « Gazométrie et Correction Thermique » › tableau</w:t>
            </w:r>
          </w:p>
        </w:tc>
        <w:tc>
          <w:tcPr>
            <w:tcW w:w="2600" w:type="dxa"/>
            <w:vAlign w:val="top"/>
          </w:tcPr>
          <w:p>
            <w:pPr>
              <w:spacing w:after="0"/>
            </w:pPr>
            <w:r>
              <w:rPr>
                <w:i/>
                <w:sz w:val="17"/>
                <w:szCs w:val="17"/>
              </w:rPr>
              <w:t xml:space="preserve">« Onde J d'Osborn (ECG) »</w:t>
            </w:r>
          </w:p>
        </w:tc>
        <w:tc>
          <w:tcPr>
            <w:tcW w:w="3000" w:type="dxa"/>
            <w:vAlign w:val="top"/>
          </w:tcPr>
          <w:p>
            <w:pPr>
              <w:spacing w:after="40"/>
            </w:pPr>
            <w:r>
              <w:rPr>
                <w:sz w:val="17"/>
                <w:szCs w:val="17"/>
              </w:rPr>
              <w:t xml:space="preserve">La fenêtre annonce la gazométrie mais son seul tableau porte sur l'onde J ; le pH, la PaO2 et la PaCO2 n'ont ni valeurs normales SI ni seuils.</w:t>
            </w:r>
          </w:p>
          <w:p>
            <w:pPr>
              <w:spacing w:after="0"/>
            </w:pPr>
            <w:r>
              <w:rPr>
                <w:b/>
                <w:color w:val="145A32"/>
                <w:sz w:val="17"/>
                <w:szCs w:val="17"/>
              </w:rPr>
              <w:t xml:space="preserve">→ Ajouter les lignes pH (7,35–7,45), PaCO2 (4,7–6,0 kPa), PaO2 (&gt; 10,7 kPa) avec la lecture alpha-stat, et déplacer l'onde J dans une fenêtre ECG.</w:t>
            </w:r>
          </w:p>
        </w:tc>
        <w:tc>
          <w:tcPr>
            <w:tcW w:w="1800" w:type="dxa"/>
            <w:vAlign w:val="top"/>
          </w:tcPr>
          <w:p>
            <w:pPr>
              <w:spacing w:after="0"/>
            </w:pPr>
            <w:r>
              <w:rPr>
                <w:sz w:val="17"/>
                <w:szCs w:val="17"/>
              </w:rPr>
              <w:t xml:space="preserve">PROMPT_V6.md (prompt de base, Standard V6) § 7 (fenêtres bio-mathématiques)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L8-L54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point 11 › C</w:t>
            </w:r>
          </w:p>
        </w:tc>
        <w:tc>
          <w:tcPr>
            <w:tcW w:w="2600" w:type="dxa"/>
            <w:vAlign w:val="top"/>
          </w:tcPr>
          <w:p>
            <w:pPr>
              <w:spacing w:after="0"/>
            </w:pPr>
            <w:r>
              <w:rPr>
                <w:i/>
                <w:sz w:val="17"/>
                <w:szCs w:val="17"/>
              </w:rPr>
              <w:t xml:space="preserve">« Les soignants surveillent la kaliémie horaire pour détecter un rebond hypokaliémique dangereux lors de la reperfusion tissulaire. »</w:t>
            </w:r>
          </w:p>
        </w:tc>
        <w:tc>
          <w:tcPr>
            <w:tcW w:w="3000" w:type="dxa"/>
            <w:vAlign w:val="top"/>
          </w:tcPr>
          <w:p>
            <w:pPr>
              <w:spacing w:after="40"/>
            </w:pPr>
            <w:r>
              <w:rPr>
                <w:sz w:val="17"/>
                <w:szCs w:val="17"/>
              </w:rPr>
              <w:t xml:space="preserve">Le mécanisme est inexact : le réchauffement et la reperfusion exposent surtout à l'hyperkaliémie et aux variations bidirectionnelles du potassium ; la fréquence « horaire » n'est pas sourcée.</w:t>
            </w:r>
          </w:p>
          <w:p>
            <w:pPr>
              <w:spacing w:after="0"/>
            </w:pPr>
            <w:r>
              <w:rPr>
                <w:b/>
                <w:color w:val="145A32"/>
                <w:sz w:val="17"/>
                <w:szCs w:val="17"/>
              </w:rPr>
              <w:t xml:space="preserve">→ Écrire « Les soignants contrôlent la kaliémie à intervalles rapprochés, car le réchauffement peut la faire varier dans les deux sens [Sn] », ou sourcer l'hypokaliémie.</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L8-L58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et DX.2 › point 8</w:t>
            </w:r>
          </w:p>
        </w:tc>
        <w:tc>
          <w:tcPr>
            <w:tcW w:w="2600" w:type="dxa"/>
            <w:vAlign w:val="top"/>
          </w:tcPr>
          <w:p>
            <w:pPr>
              <w:spacing w:after="0"/>
            </w:pPr>
            <w:r>
              <w:rPr>
                <w:i/>
                <w:sz w:val="17"/>
                <w:szCs w:val="17"/>
              </w:rPr>
              <w:t xml:space="preserve">« La mesure confirmée d'une Tcc inférieure à 35 °C établit le diagnostic de certitude. »</w:t>
            </w:r>
          </w:p>
        </w:tc>
        <w:tc>
          <w:tcPr>
            <w:tcW w:w="3000" w:type="dxa"/>
            <w:vAlign w:val="top"/>
          </w:tcPr>
          <w:p>
            <w:pPr>
              <w:spacing w:after="40"/>
            </w:pPr>
            <w:r>
              <w:rPr>
                <w:sz w:val="17"/>
                <w:szCs w:val="17"/>
              </w:rPr>
              <w:t xml:space="preserve">Le point 8 ne présente aucun critère formel de société savante (stades, seuils, année) en tableau ou liste structurée.</w:t>
            </w:r>
          </w:p>
          <w:p>
            <w:pPr>
              <w:spacing w:after="0"/>
            </w:pPr>
            <w:r>
              <w:rPr>
                <w:b/>
                <w:color w:val="145A32"/>
                <w:sz w:val="17"/>
                <w:szCs w:val="17"/>
              </w:rPr>
              <w:t xml:space="preserve">→ Insérer le tableau du système de stadification suisse révisé avec la société et l'année.</w:t>
            </w:r>
          </w:p>
        </w:tc>
        <w:tc>
          <w:tcPr>
            <w:tcW w:w="1800" w:type="dxa"/>
            <w:vAlign w:val="top"/>
          </w:tcPr>
          <w:p>
            <w:pPr>
              <w:spacing w:after="0"/>
            </w:pPr>
            <w:r>
              <w:rPr>
                <w:sz w:val="17"/>
                <w:szCs w:val="17"/>
              </w:rPr>
              <w:t xml:space="preserve">PROMPT_V6.md (prompt de base, Standard V6) § 5 point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L8-L59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en-tête (badge)</w:t>
            </w:r>
          </w:p>
        </w:tc>
        <w:tc>
          <w:tcPr>
            <w:tcW w:w="2600" w:type="dxa"/>
            <w:vAlign w:val="top"/>
          </w:tcPr>
          <w:p>
            <w:pPr>
              <w:spacing w:after="0"/>
            </w:pPr>
            <w:r>
              <w:rPr>
                <w:i/>
                <w:sz w:val="17"/>
                <w:szCs w:val="17"/>
              </w:rPr>
              <w:t xml:space="preserve">« Fréquence élevée [S1] »</w:t>
            </w:r>
          </w:p>
        </w:tc>
        <w:tc>
          <w:tcPr>
            <w:tcW w:w="3000" w:type="dxa"/>
            <w:vAlign w:val="top"/>
          </w:tcPr>
          <w:p>
            <w:pPr>
              <w:spacing w:after="40"/>
            </w:pPr>
            <w:r>
              <w:rPr>
                <w:sz w:val="17"/>
                <w:szCs w:val="17"/>
              </w:rPr>
              <w:t xml:space="preserve">Les badges « Fréquence élevée » et « Spécificité montagnarde » ne sont ni un pourcentage sourcé ni la mention de rang prescrite.</w:t>
            </w:r>
          </w:p>
          <w:p>
            <w:pPr>
              <w:spacing w:after="0"/>
            </w:pPr>
            <w:r>
              <w:rPr>
                <w:b/>
                <w:color w:val="145A32"/>
                <w:sz w:val="17"/>
                <w:szCs w:val="17"/>
              </w:rPr>
              <w:t xml:space="preserve">→ Remplacer par « 1er rang — fréquence non quantifiée (Suisse) » et « 2e rang — fréquence non quantifiée (Suisse) », ou par un pourcentage sourcé.</w:t>
            </w:r>
          </w:p>
        </w:tc>
        <w:tc>
          <w:tcPr>
            <w:tcW w:w="1800" w:type="dxa"/>
            <w:vAlign w:val="top"/>
          </w:tcPr>
          <w:p>
            <w:pPr>
              <w:spacing w:after="0"/>
            </w:pPr>
            <w:r>
              <w:rPr>
                <w:sz w:val="17"/>
                <w:szCs w:val="17"/>
              </w:rPr>
              <w:t xml:space="preserve">PROMPT_V6.md (prompt de base, Standard 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L8-L60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et DX.2 › fenêtres 9.b (position)</w:t>
            </w:r>
          </w:p>
        </w:tc>
        <w:tc>
          <w:tcPr>
            <w:tcW w:w="2600" w:type="dxa"/>
            <w:vAlign w:val="top"/>
          </w:tcPr>
          <w:p>
            <w:pPr>
              <w:spacing w:after="0"/>
            </w:pPr>
            <w:r>
              <w:rPr>
                <w:i/>
                <w:sz w:val="17"/>
                <w:szCs w:val="17"/>
              </w:rPr>
              <w:t xml:space="preserve">« Fenêtre Interactive Bio-Mathématique 9.b : Gazométrie et Correction Thermique »</w:t>
            </w:r>
          </w:p>
        </w:tc>
        <w:tc>
          <w:tcPr>
            <w:tcW w:w="3000" w:type="dxa"/>
            <w:vAlign w:val="top"/>
          </w:tcPr>
          <w:p>
            <w:pPr>
              <w:spacing w:after="40"/>
            </w:pPr>
            <w:r>
              <w:rPr>
                <w:sz w:val="17"/>
                <w:szCs w:val="17"/>
              </w:rPr>
              <w:t xml:space="preserve">Les fenêtres 9.b sont placées avant le point 9, entre les points 8 et 9, ce qui rompt l'ordre du plan.</w:t>
            </w:r>
          </w:p>
          <w:p>
            <w:pPr>
              <w:spacing w:after="0"/>
            </w:pPr>
            <w:r>
              <w:rPr>
                <w:b/>
                <w:color w:val="145A32"/>
                <w:sz w:val="17"/>
                <w:szCs w:val="17"/>
              </w:rPr>
              <w:t xml:space="preserve">→ Déplacer chaque fenêtre 9.b immédiatement après la sous-rubrique 9.b correspondante.</w:t>
            </w:r>
          </w:p>
        </w:tc>
        <w:tc>
          <w:tcPr>
            <w:tcW w:w="1800" w:type="dxa"/>
            <w:vAlign w:val="top"/>
          </w:tcPr>
          <w:p>
            <w:pPr>
              <w:spacing w:after="0"/>
            </w:pPr>
            <w:r>
              <w:rPr>
                <w:sz w:val="17"/>
                <w:szCs w:val="17"/>
              </w:rPr>
              <w:t xml:space="preserve">PROMPT_V6.md (prompt de base, Standard V6) § 5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L8-L61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et DX.2 › point 12</w:t>
            </w:r>
          </w:p>
        </w:tc>
        <w:tc>
          <w:tcPr>
            <w:tcW w:w="2600" w:type="dxa"/>
            <w:vAlign w:val="top"/>
          </w:tcPr>
          <w:p>
            <w:pPr>
              <w:spacing w:after="0"/>
            </w:pPr>
            <w:r>
              <w:rPr>
                <w:i/>
                <w:sz w:val="17"/>
                <w:szCs w:val="17"/>
              </w:rPr>
              <w:t xml:space="preserve">« Le port de vêtements isolants multicouches protège efficacement contre la perte thermique par convection et conduction. »</w:t>
            </w:r>
          </w:p>
        </w:tc>
        <w:tc>
          <w:tcPr>
            <w:tcW w:w="3000" w:type="dxa"/>
            <w:vAlign w:val="top"/>
          </w:tcPr>
          <w:p>
            <w:pPr>
              <w:spacing w:after="40"/>
            </w:pPr>
            <w:r>
              <w:rPr>
                <w:sz w:val="17"/>
                <w:szCs w:val="17"/>
              </w:rPr>
              <w:t xml:space="preserve">Le point 12 ne distingue pas les préventions primaire, secondaire et tertiaire et ne cite aucune recommandation suisse ; il tient en une phrase.</w:t>
            </w:r>
          </w:p>
          <w:p>
            <w:pPr>
              <w:spacing w:after="0"/>
            </w:pPr>
            <w:r>
              <w:rPr>
                <w:b/>
                <w:color w:val="145A32"/>
                <w:sz w:val="17"/>
                <w:szCs w:val="17"/>
              </w:rPr>
              <w:t xml:space="preserve">→ Structurer 12 en primaire (équipement, information SLF), secondaire (alerte précoce, DVA) et tertiaire (rééducation, suivi des engelures) avec sources suisses.</w:t>
            </w:r>
          </w:p>
        </w:tc>
        <w:tc>
          <w:tcPr>
            <w:tcW w:w="1800" w:type="dxa"/>
            <w:vAlign w:val="top"/>
          </w:tcPr>
          <w:p>
            <w:pPr>
              <w:spacing w:after="0"/>
            </w:pPr>
            <w:r>
              <w:rPr>
                <w:sz w:val="17"/>
                <w:szCs w:val="17"/>
              </w:rPr>
              <w:t xml:space="preserve">PROMPT_V6.md (prompt de base, Standard V6) § 5 point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L8-L63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point 7 › 7.1</w:t>
            </w:r>
          </w:p>
        </w:tc>
        <w:tc>
          <w:tcPr>
            <w:tcW w:w="2600" w:type="dxa"/>
            <w:vAlign w:val="top"/>
          </w:tcPr>
          <w:p>
            <w:pPr>
              <w:spacing w:after="0"/>
            </w:pPr>
            <w:r>
              <w:rPr>
                <w:i/>
                <w:sz w:val="17"/>
                <w:szCs w:val="17"/>
              </w:rPr>
              <w:t xml:space="preserve">« 7.1 Syndrome d'épuisement hypothermique : Le patient présente une conscience altérée »</w:t>
            </w:r>
          </w:p>
        </w:tc>
        <w:tc>
          <w:tcPr>
            <w:tcW w:w="3000" w:type="dxa"/>
            <w:vAlign w:val="top"/>
          </w:tcPr>
          <w:p>
            <w:pPr>
              <w:spacing w:after="40"/>
            </w:pPr>
            <w:r>
              <w:rPr>
                <w:sz w:val="17"/>
                <w:szCs w:val="17"/>
              </w:rPr>
              <w:t xml:space="preserve">Les titres des syndromes 7.1 et 7.2 n'ouvrent pas la fenêtre qui relie chaque signe à son mécanisme, alors que le prompt l'exige (4 syndromes, premier en DX.1).</w:t>
            </w:r>
          </w:p>
          <w:p>
            <w:pPr>
              <w:spacing w:after="0"/>
            </w:pPr>
            <w:r>
              <w:rPr>
                <w:b/>
                <w:color w:val="145A32"/>
                <w:sz w:val="17"/>
                <w:szCs w:val="17"/>
              </w:rPr>
              <w:t xml:space="preserve">→ Transformer chaque titre de syndrome en &lt;summary&gt; d'une fenêtre « signe → mécanisme ».</w:t>
            </w:r>
          </w:p>
        </w:tc>
        <w:tc>
          <w:tcPr>
            <w:tcW w:w="1800" w:type="dxa"/>
            <w:vAlign w:val="top"/>
          </w:tcPr>
          <w:p>
            <w:pPr>
              <w:spacing w:after="0"/>
            </w:pPr>
            <w:r>
              <w:rPr>
                <w:sz w:val="17"/>
                <w:szCs w:val="17"/>
              </w:rPr>
              <w:t xml:space="preserve">PROMPT_V6.md (prompt de base, Standard V6) § 5 point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L8-L66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Fichier entier (abréviations)</w:t>
            </w:r>
          </w:p>
        </w:tc>
        <w:tc>
          <w:tcPr>
            <w:tcW w:w="2600" w:type="dxa"/>
            <w:vAlign w:val="top"/>
          </w:tcPr>
          <w:p>
            <w:pPr>
              <w:spacing w:after="0"/>
            </w:pPr>
            <w:r>
              <w:rPr>
                <w:i/>
                <w:sz w:val="17"/>
                <w:szCs w:val="17"/>
              </w:rPr>
              <w:t xml:space="preserve">« Le monitorage de l'EtCO2 aide à pronostiquer l'efficacité de la réanimation cardiopulmonaire. »</w:t>
            </w:r>
          </w:p>
        </w:tc>
        <w:tc>
          <w:tcPr>
            <w:tcW w:w="3000" w:type="dxa"/>
            <w:vAlign w:val="top"/>
          </w:tcPr>
          <w:p>
            <w:pPr>
              <w:spacing w:after="40"/>
            </w:pPr>
            <w:r>
              <w:rPr>
                <w:sz w:val="17"/>
                <w:szCs w:val="17"/>
              </w:rPr>
              <w:t xml:space="preserve">Plusieurs abréviations ne sont jamais développées : RCP, ECLS, ECMO, ACR, VAS, POCUS, EtCO2, ICAR, HOPE, LUCAS, DVA, SSMUS/SGNOR.</w:t>
            </w:r>
          </w:p>
          <w:p>
            <w:pPr>
              <w:spacing w:after="0"/>
            </w:pPr>
            <w:r>
              <w:rPr>
                <w:b/>
                <w:color w:val="145A32"/>
                <w:sz w:val="17"/>
                <w:szCs w:val="17"/>
              </w:rPr>
              <w:t xml:space="preserve">→ Développer chaque abréviation à sa première apparition dans le fichier.</w:t>
            </w:r>
          </w:p>
        </w:tc>
        <w:tc>
          <w:tcPr>
            <w:tcW w:w="1800" w:type="dxa"/>
            <w:vAlign w:val="top"/>
          </w:tcPr>
          <w:p>
            <w:pPr>
              <w:spacing w:after="0"/>
            </w:pPr>
            <w:r>
              <w:rPr>
                <w:sz w:val="17"/>
                <w:szCs w:val="17"/>
              </w:rPr>
              <w:t xml:space="preserve">PROMPT_V6.md (prompt de base, Standard V6) § 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11.B › fenêtre « Médicaments de réanimation » › spécialités et doses</w:t>
            </w:r>
          </w:p>
        </w:tc>
        <w:tc>
          <w:tcPr>
            <w:tcW w:w="2600" w:type="dxa"/>
            <w:vAlign w:val="top"/>
          </w:tcPr>
          <w:p>
            <w:pPr>
              <w:spacing w:after="0"/>
            </w:pPr>
            <w:r>
              <w:rPr>
                <w:i/>
                <w:sz w:val="17"/>
                <w:szCs w:val="17"/>
              </w:rPr>
              <w:t xml:space="preserve">« Adrénaline (Adrenalin®) et Amiodarone »</w:t>
            </w:r>
          </w:p>
        </w:tc>
        <w:tc>
          <w:tcPr>
            <w:tcW w:w="3000" w:type="dxa"/>
            <w:vAlign w:val="top"/>
          </w:tcPr>
          <w:p>
            <w:pPr>
              <w:spacing w:after="40"/>
            </w:pPr>
            <w:r>
              <w:rPr>
                <w:sz w:val="17"/>
                <w:szCs w:val="17"/>
              </w:rPr>
              <w:t xml:space="preserve">« Adrenalin® » n'est pas le nom d'une spécialité suisse vérifiée, et l'amiodarone n'a ni spécialité, ni dose, ni voie ; les points ③ et ④ du plan 11.B manquent.</w:t>
            </w:r>
          </w:p>
          <w:p>
            <w:pPr>
              <w:spacing w:after="0"/>
            </w:pPr>
            <w:r>
              <w:rPr>
                <w:b/>
                <w:color w:val="145A32"/>
                <w:sz w:val="17"/>
                <w:szCs w:val="17"/>
              </w:rPr>
              <w:t xml:space="preserve">→ Indiquer la spécialité suisse vérifiée dans l'AIPS (par exemple Adrenalin Sintetica® 1 mg/mL, ampoules de 1 mL ; amiodarone : spécialité à vérifier dans compendium.ch) avec la dose, la voie IV/IO et le rythme.</w:t>
            </w:r>
          </w:p>
        </w:tc>
        <w:tc>
          <w:tcPr>
            <w:tcW w:w="1800" w:type="dxa"/>
            <w:vAlign w:val="top"/>
          </w:tcPr>
          <w:p>
            <w:pPr>
              <w:spacing w:after="0"/>
            </w:pPr>
            <w:r>
              <w:rPr>
                <w:sz w:val="17"/>
                <w:szCs w:val="17"/>
              </w:rPr>
              <w:t xml:space="preserve">ch.oddb.org, Adrenalin Sintetica, Swissmedic n° 56551 (Sintetica SA), https://ch.oddb.org/en/gcc/fachinfo/reg/56551/chapter/packages, lu le 22.10.2026 ; 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11.D (Pronostic)</w:t>
            </w:r>
          </w:p>
        </w:tc>
        <w:tc>
          <w:tcPr>
            <w:tcW w:w="2600" w:type="dxa"/>
            <w:vAlign w:val="top"/>
          </w:tcPr>
          <w:p>
            <w:pPr>
              <w:spacing w:after="0"/>
            </w:pPr>
            <w:r>
              <w:rPr>
                <w:i/>
                <w:sz w:val="17"/>
                <w:szCs w:val="17"/>
              </w:rPr>
              <w:t xml:space="preserve">« On ne déclare pas le décès avant un réchauffement &gt; 32 °C, sauf si asystolie persistante + K+ &gt; 8-12 mmol/L ou gel corporel total »</w:t>
            </w:r>
          </w:p>
        </w:tc>
        <w:tc>
          <w:tcPr>
            <w:tcW w:w="3000" w:type="dxa"/>
            <w:vAlign w:val="top"/>
          </w:tcPr>
          <w:p>
            <w:pPr>
              <w:spacing w:after="40"/>
            </w:pPr>
            <w:r>
              <w:rPr>
                <w:sz w:val="17"/>
                <w:szCs w:val="17"/>
              </w:rPr>
              <w:t xml:space="preserve">La fourchette « 8-12 mmol/L » et le seuil de 32 °C ne figurent pas dans l'ERC 2025 consulté, qui fonde le pronostic sur le score HOPE ; la phrase mélange des seuils de différentes époques.</w:t>
            </w:r>
          </w:p>
          <w:p>
            <w:pPr>
              <w:spacing w:after="0"/>
            </w:pPr>
            <w:r>
              <w:rPr>
                <w:b/>
                <w:color w:val="145A32"/>
                <w:sz w:val="17"/>
                <w:szCs w:val="17"/>
              </w:rPr>
              <w:t xml:space="preserve">→ Écrire : « La décision d'arrêt après réchauffement se fonde sur le score HOPE et l'évolution sous ECLS ; le seuil de température d'arrêt : donnée non trouvée dans les sources consultées.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 Pasquier M, Hugli O, Paal P, et al. Hypothermia outcome prediction after extracorporeal life support for hypothermic cardiac arrest patients: the HOPE score — Resuscitation 2018;126:58-64 — https://doi.org/10.1016/j.resuscitation.2018.02.026 (cité par ERC 2025, réf. 158)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9.a (Gold standard)</w:t>
            </w:r>
          </w:p>
        </w:tc>
        <w:tc>
          <w:tcPr>
            <w:tcW w:w="2600" w:type="dxa"/>
            <w:vAlign w:val="top"/>
          </w:tcPr>
          <w:p>
            <w:pPr>
              <w:spacing w:after="0"/>
            </w:pPr>
            <w:r>
              <w:rPr>
                <w:i/>
                <w:sz w:val="17"/>
                <w:szCs w:val="17"/>
              </w:rPr>
              <w:t xml:space="preserve">« Sensibilité 100%. »</w:t>
            </w:r>
          </w:p>
        </w:tc>
        <w:tc>
          <w:tcPr>
            <w:tcW w:w="3000" w:type="dxa"/>
            <w:vAlign w:val="top"/>
          </w:tcPr>
          <w:p>
            <w:pPr>
              <w:spacing w:after="40"/>
            </w:pPr>
            <w:r>
              <w:rPr>
                <w:sz w:val="17"/>
                <w:szCs w:val="17"/>
              </w:rPr>
              <w:t xml:space="preserve">La sensibilité de 100 % n'est pas sourcée ; l'ERC 2025 définit le gold standard comme la mesure par thermomètre basse lecture, tympanique chez le patient en ventilation spontanée et œsophagienne chez le patient intubé ou porteur d'un dispositif supraglottique. Répétition identique dans la Partie 1 (DX.1, point 9.a) : 2 occurrences.</w:t>
            </w:r>
          </w:p>
          <w:p>
            <w:pPr>
              <w:spacing w:after="0"/>
            </w:pPr>
            <w:r>
              <w:rPr>
                <w:b/>
                <w:color w:val="145A32"/>
                <w:sz w:val="17"/>
                <w:szCs w:val="17"/>
              </w:rPr>
              <w:t xml:space="preserve">→ Supprimer « Sensibilité 100% » et écrire : « Le gold standard est la Tcc mesurée par thermomètre basse lecture : tympanique en ventilation spontanée, œsophagienne (tiers inférieur) si le patient est intubé ou porte un dispositif supraglottique.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7.2 (Syndrome de « Rescue collapse »)</w:t>
            </w:r>
          </w:p>
        </w:tc>
        <w:tc>
          <w:tcPr>
            <w:tcW w:w="2600" w:type="dxa"/>
            <w:vAlign w:val="top"/>
          </w:tcPr>
          <w:p>
            <w:pPr>
              <w:spacing w:after="0"/>
            </w:pPr>
            <w:r>
              <w:rPr>
                <w:i/>
                <w:sz w:val="17"/>
                <w:szCs w:val="17"/>
              </w:rPr>
              <w:t xml:space="preserve">« vasodilatation de sauvetage lors du réchauffement entraînant un choc hypovolémique absolu (drop core temperature) »</w:t>
            </w:r>
          </w:p>
        </w:tc>
        <w:tc>
          <w:tcPr>
            <w:tcW w:w="3000" w:type="dxa"/>
            <w:vAlign w:val="top"/>
          </w:tcPr>
          <w:p>
            <w:pPr>
              <w:spacing w:after="40"/>
            </w:pPr>
            <w:r>
              <w:rPr>
                <w:sz w:val="17"/>
                <w:szCs w:val="17"/>
              </w:rPr>
              <w:t xml:space="preserve">Le texte confond le collapsus de sauvetage avec l'« afterdrop » et qualifie le choc d'« hypovolémique absolu » sans source ; le mécanisme n'est pas sourcé.</w:t>
            </w:r>
          </w:p>
          <w:p>
            <w:pPr>
              <w:spacing w:after="0"/>
            </w:pPr>
            <w:r>
              <w:rPr>
                <w:b/>
                <w:color w:val="145A32"/>
                <w:sz w:val="17"/>
                <w:szCs w:val="17"/>
              </w:rPr>
              <w:t xml:space="preserve">→ Distinguer : collapsus de sauvetage (arythmie ou hypotension lors de la mobilisation) et afterdrop (poursuite de la baisse de la Tcc après le sauvetage), chacun avec un mécanisme sourcé ; sinon « donnée non trouvée dans les sources consultées ».</w:t>
            </w:r>
          </w:p>
        </w:tc>
        <w:tc>
          <w:tcPr>
            <w:tcW w:w="1800" w:type="dxa"/>
            <w:vAlign w:val="top"/>
          </w:tcPr>
          <w:p>
            <w:pPr>
              <w:spacing w:after="0"/>
            </w:pPr>
            <w:r>
              <w:rPr>
                <w:sz w:val="17"/>
                <w:szCs w:val="17"/>
              </w:rPr>
              <w:t xml:space="preserve">Donnée non trouvée dans les sources consultées (ERC 2025 ne décrit pas ce mécanisme).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11.A (But)</w:t>
            </w:r>
          </w:p>
        </w:tc>
        <w:tc>
          <w:tcPr>
            <w:tcW w:w="2600" w:type="dxa"/>
            <w:vAlign w:val="top"/>
          </w:tcPr>
          <w:p>
            <w:pPr>
              <w:spacing w:after="0"/>
            </w:pPr>
            <w:r>
              <w:rPr>
                <w:i/>
                <w:sz w:val="17"/>
                <w:szCs w:val="17"/>
              </w:rPr>
              <w:t xml:space="preserve">« Augmenter la Tcc de 1 à 2 °C par heure »</w:t>
            </w:r>
          </w:p>
        </w:tc>
        <w:tc>
          <w:tcPr>
            <w:tcW w:w="3000" w:type="dxa"/>
            <w:vAlign w:val="top"/>
          </w:tcPr>
          <w:p>
            <w:pPr>
              <w:spacing w:after="40"/>
            </w:pPr>
            <w:r>
              <w:rPr>
                <w:sz w:val="17"/>
                <w:szCs w:val="17"/>
              </w:rPr>
              <w:t xml:space="preserve">L'objectif chiffré de 1 à 2 °C par heure n'est pas sourcé ; l'ERC 2025 précise les moyens (isolation, coussins chauffants, air pulsé, liquides IV à 38–42 °C) mais pas cette cible.</w:t>
            </w:r>
          </w:p>
          <w:p>
            <w:pPr>
              <w:spacing w:after="0"/>
            </w:pPr>
            <w:r>
              <w:rPr>
                <w:b/>
                <w:color w:val="145A32"/>
                <w:sz w:val="17"/>
                <w:szCs w:val="17"/>
              </w:rPr>
              <w:t xml:space="preserve">→ Sourcer la vitesse cible ou la supprimer ; préciser la température des perfusions : « liquides IV réchauffés à 38–42 °C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(figure 5, note 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11.C (Surveillance)</w:t>
            </w:r>
          </w:p>
        </w:tc>
        <w:tc>
          <w:tcPr>
            <w:tcW w:w="2600" w:type="dxa"/>
            <w:vAlign w:val="top"/>
          </w:tcPr>
          <w:p>
            <w:pPr>
              <w:spacing w:after="0"/>
            </w:pPr>
            <w:r>
              <w:rPr>
                <w:i/>
                <w:sz w:val="17"/>
                <w:szCs w:val="17"/>
              </w:rPr>
              <w:t xml:space="preserve">« K+ horaire (risque de rebond hypokaliémique lors du réchauffement tissulaire) »</w:t>
            </w:r>
          </w:p>
        </w:tc>
        <w:tc>
          <w:tcPr>
            <w:tcW w:w="3000" w:type="dxa"/>
            <w:vAlign w:val="top"/>
          </w:tcPr>
          <w:p>
            <w:pPr>
              <w:spacing w:after="40"/>
            </w:pPr>
            <w:r>
              <w:rPr>
                <w:sz w:val="17"/>
                <w:szCs w:val="17"/>
              </w:rPr>
              <w:t xml:space="preserve">Le sens et le calendrier de la variation de la kaliémie au réchauffement ne sont pas sourcés. Même affirmation dans la Partie 1 (DX.1, point 11.C) : 2 occurrences.</w:t>
            </w:r>
          </w:p>
          <w:p>
            <w:pPr>
              <w:spacing w:after="0"/>
            </w:pPr>
            <w:r>
              <w:rPr>
                <w:b/>
                <w:color w:val="145A32"/>
                <w:sz w:val="17"/>
                <w:szCs w:val="17"/>
              </w:rPr>
              <w:t xml:space="preserve">→ Sourcer la variation de la kaliémie au réchauffement et le rythme de contrôle, ou écrire « donnée non trouvée dans les sources consultées » et saisir le dossier HELP.</w:t>
            </w:r>
          </w:p>
        </w:tc>
        <w:tc>
          <w:tcPr>
            <w:tcW w:w="1800" w:type="dxa"/>
            <w:vAlign w:val="top"/>
          </w:tcPr>
          <w:p>
            <w:pPr>
              <w:spacing w:after="0"/>
            </w:pPr>
            <w:r>
              <w:rPr>
                <w:sz w:val="17"/>
                <w:szCs w:val="17"/>
              </w:rPr>
              <w:t xml:space="preserve">Donnée non trouvée dans les sources consultées (ERC 2025).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justification des 10 DX</w:t>
            </w:r>
          </w:p>
        </w:tc>
        <w:tc>
          <w:tcPr>
            <w:tcW w:w="2600" w:type="dxa"/>
            <w:vAlign w:val="top"/>
          </w:tcPr>
          <w:p>
            <w:pPr>
              <w:spacing w:after="0"/>
            </w:pPr>
            <w:r>
              <w:rPr>
                <w:i/>
                <w:sz w:val="17"/>
                <w:szCs w:val="17"/>
              </w:rPr>
              <w:t xml:space="preserve">« Justification des 10 DX : Le PROFILES (G8) impose de maîtriser l'hypothermie environnementale »</w:t>
            </w:r>
          </w:p>
        </w:tc>
        <w:tc>
          <w:tcPr>
            <w:tcW w:w="3000" w:type="dxa"/>
            <w:vAlign w:val="top"/>
          </w:tcPr>
          <w:p>
            <w:pPr>
              <w:spacing w:after="40"/>
            </w:pPr>
            <w:r>
              <w:rPr>
                <w:sz w:val="17"/>
                <w:szCs w:val="17"/>
              </w:rPr>
              <w:t xml:space="preserve">Le critère d'ordre (fréquence suisse pondérée par la gravité) n'est ni annoncé ni sourcé, et aucun DX ne porte de badge de fréquence ou de rang.</w:t>
            </w:r>
          </w:p>
          <w:p>
            <w:pPr>
              <w:spacing w:after="0"/>
            </w:pPr>
            <w:r>
              <w:rPr>
                <w:b/>
                <w:color w:val="145A32"/>
                <w:sz w:val="17"/>
                <w:szCs w:val="17"/>
              </w:rPr>
              <w:t xml:space="preserve">→ Annoncer le critère d'ordre et donner à chaque DX un badge sourcé ou « Ne rang — fréquence non quantifiée (Suisse) ».</w:t>
            </w:r>
          </w:p>
        </w:tc>
        <w:tc>
          <w:tcPr>
            <w:tcW w:w="1800" w:type="dxa"/>
            <w:vAlign w:val="top"/>
          </w:tcPr>
          <w:p>
            <w:pPr>
              <w:spacing w:after="0"/>
            </w:pPr>
            <w:r>
              <w:rPr>
                <w:sz w:val="17"/>
                <w:szCs w:val="17"/>
              </w:rPr>
              <w:t xml:space="preserve">PROMPT_V6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DX.5 › conduite immédiate</w:t>
            </w:r>
          </w:p>
        </w:tc>
        <w:tc>
          <w:tcPr>
            <w:tcW w:w="2600" w:type="dxa"/>
            <w:vAlign w:val="top"/>
          </w:tcPr>
          <w:p>
            <w:pPr>
              <w:spacing w:after="0"/>
            </w:pPr>
            <w:r>
              <w:rPr>
                <w:i/>
                <w:sz w:val="17"/>
                <w:szCs w:val="17"/>
              </w:rPr>
              <w:t xml:space="preserve">« Naloxone (Naloxone® Orpha) IV »</w:t>
            </w:r>
          </w:p>
        </w:tc>
        <w:tc>
          <w:tcPr>
            <w:tcW w:w="3000" w:type="dxa"/>
            <w:vAlign w:val="top"/>
          </w:tcPr>
          <w:p>
            <w:pPr>
              <w:spacing w:after="40"/>
            </w:pPr>
            <w:r>
              <w:rPr>
                <w:sz w:val="17"/>
                <w:szCs w:val="17"/>
              </w:rPr>
              <w:t xml:space="preserve">Le nom exact de la spécialité suisse est Naloxon OrPha® 0,4 mg/mL, et la dose (0,4 à 2 mg IV, IM ou SC, répétable toutes les 2 à 3 min) manque ; ch.oddb.org signale le produit comme non commercialisé, ce qui doit être vérifié.</w:t>
            </w:r>
          </w:p>
          <w:p>
            <w:pPr>
              <w:spacing w:after="0"/>
            </w:pPr>
            <w:r>
              <w:rPr>
                <w:b/>
                <w:color w:val="145A32"/>
                <w:sz w:val="17"/>
                <w:szCs w:val="17"/>
              </w:rPr>
              <w:t xml:space="preserve">→ Écrire : « Naloxone (Naloxon OrPha® 0,4 mg/mL) 0,4–2 mg IV, IM ou SC, répétable toutes les 2–3 min, à titrer sur la fréquence respiratoire (disponibilité commerciale à vérifier). »</w:t>
            </w:r>
          </w:p>
        </w:tc>
        <w:tc>
          <w:tcPr>
            <w:tcW w:w="1800" w:type="dxa"/>
            <w:vAlign w:val="top"/>
          </w:tcPr>
          <w:p>
            <w:pPr>
              <w:spacing w:after="0"/>
            </w:pPr>
            <w:r>
              <w:rPr>
                <w:sz w:val="17"/>
                <w:szCs w:val="17"/>
              </w:rPr>
              <w:t xml:space="preserve">compendium.ch, Naloxon OrPha sol inj 0,4 mg/ml, https://compendium.ch/product/1007840-naloxon-orpha-sol-inj-0-4-mg-ml/mpro ; ch.oddb.org reg. 56952, lus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DX.8 › conduite immédiate</w:t>
            </w:r>
          </w:p>
        </w:tc>
        <w:tc>
          <w:tcPr>
            <w:tcW w:w="2600" w:type="dxa"/>
            <w:vAlign w:val="top"/>
          </w:tcPr>
          <w:p>
            <w:pPr>
              <w:spacing w:after="0"/>
            </w:pPr>
            <w:r>
              <w:rPr>
                <w:i/>
                <w:sz w:val="17"/>
                <w:szCs w:val="17"/>
              </w:rPr>
              <w:t xml:space="preserve">« Thiamine (Benerva®) IV forte dose »</w:t>
            </w:r>
          </w:p>
        </w:tc>
        <w:tc>
          <w:tcPr>
            <w:tcW w:w="3000" w:type="dxa"/>
            <w:vAlign w:val="top"/>
          </w:tcPr>
          <w:p>
            <w:pPr>
              <w:spacing w:after="40"/>
            </w:pPr>
            <w:r>
              <w:rPr>
                <w:sz w:val="17"/>
                <w:szCs w:val="17"/>
              </w:rPr>
              <w:t xml:space="preserve">« Forte dose » est un terme vague ; la dose, la voie et la forme injectable suisse de Benerva® ne sont pas précisées.</w:t>
            </w:r>
          </w:p>
          <w:p>
            <w:pPr>
              <w:spacing w:after="0"/>
            </w:pPr>
            <w:r>
              <w:rPr>
                <w:b/>
                <w:color w:val="145A32"/>
                <w:sz w:val="17"/>
                <w:szCs w:val="17"/>
              </w:rPr>
              <w:t xml:space="preserve">→ Indiquer la forme injectable de Benerva® vérifiée dans l'information professionnelle suisse, avec la dose et la voie exactes, et donner la thiamine avant tout apport glucosé chez le patient à risque.</w:t>
            </w:r>
          </w:p>
        </w:tc>
        <w:tc>
          <w:tcPr>
            <w:tcW w:w="1800" w:type="dxa"/>
            <w:vAlign w:val="top"/>
          </w:tcPr>
          <w:p>
            <w:pPr>
              <w:spacing w:after="0"/>
            </w:pPr>
            <w:r>
              <w:rPr>
                <w:sz w:val="17"/>
                <w:szCs w:val="17"/>
              </w:rPr>
              <w:t xml:space="preserve">ch.oddb.org, Benerva (Farmaceutica Teofarma Suisse SA), reg. 10989 : comprimés 100 et 300 mg et ampoules, lu le 22.10.2026 ; dose IV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colonne « Conduite immédiate » (DX.6, DX.7, DX.10)</w:t>
            </w:r>
          </w:p>
        </w:tc>
        <w:tc>
          <w:tcPr>
            <w:tcW w:w="2600" w:type="dxa"/>
            <w:vAlign w:val="top"/>
          </w:tcPr>
          <w:p>
            <w:pPr>
              <w:spacing w:after="0"/>
            </w:pPr>
            <w:r>
              <w:rPr>
                <w:i/>
                <w:sz w:val="17"/>
                <w:szCs w:val="17"/>
              </w:rPr>
              <w:t xml:space="preserve">« Glucose 40% IV (G40) »</w:t>
            </w:r>
          </w:p>
        </w:tc>
        <w:tc>
          <w:tcPr>
            <w:tcW w:w="3000" w:type="dxa"/>
            <w:vAlign w:val="top"/>
          </w:tcPr>
          <w:p>
            <w:pPr>
              <w:spacing w:after="40"/>
            </w:pPr>
            <w:r>
              <w:rPr>
                <w:sz w:val="17"/>
                <w:szCs w:val="17"/>
              </w:rPr>
              <w:t xml:space="preserve">Le glucose 40 %, la noradrénaline, l'hydrocortisone (Solu-Cortef®) et le NaCl 0,9 % n'ont ni dose, ni volume, ni rythme, ce qui empêche une conduite sûre.</w:t>
            </w:r>
          </w:p>
          <w:p>
            <w:pPr>
              <w:spacing w:after="0"/>
            </w:pPr>
            <w:r>
              <w:rPr>
                <w:b/>
                <w:color w:val="145A32"/>
                <w:sz w:val="17"/>
                <w:szCs w:val="17"/>
              </w:rPr>
              <w:t xml:space="preserve">→ Ajouter la dose, la voie et la spécialité suisse de chaque médicament d'après l'information professionnelle (par exemple hydrocortisone en bolus IV puis entretien, glucose IV en quantité de glucose en grammes).</w:t>
            </w:r>
          </w:p>
        </w:tc>
        <w:tc>
          <w:tcPr>
            <w:tcW w:w="1800" w:type="dxa"/>
            <w:vAlign w:val="top"/>
          </w:tcPr>
          <w:p>
            <w:pPr>
              <w:spacing w:after="0"/>
            </w:pPr>
            <w:r>
              <w:rPr>
                <w:sz w:val="17"/>
                <w:szCs w:val="17"/>
              </w:rPr>
              <w:t xml:space="preserve">PROMPT_V6 § 3.3 et § 5 point 11.B ; doses à lire dans compendium.ch.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L8-M29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DX.4</w:t>
            </w:r>
          </w:p>
        </w:tc>
        <w:tc>
          <w:tcPr>
            <w:tcW w:w="2600" w:type="dxa"/>
            <w:vAlign w:val="top"/>
          </w:tcPr>
          <w:p>
            <w:pPr>
              <w:spacing w:after="0"/>
            </w:pPr>
            <w:r>
              <w:rPr>
                <w:i/>
                <w:sz w:val="17"/>
                <w:szCs w:val="17"/>
              </w:rPr>
              <w:t xml:space="preserve">« Haleine fétide, HT, coma agité »</w:t>
            </w:r>
          </w:p>
        </w:tc>
        <w:tc>
          <w:tcPr>
            <w:tcW w:w="3000" w:type="dxa"/>
            <w:vAlign w:val="top"/>
          </w:tcPr>
          <w:p>
            <w:pPr>
              <w:spacing w:after="40"/>
            </w:pPr>
            <w:r>
              <w:rPr>
                <w:sz w:val="17"/>
                <w:szCs w:val="17"/>
              </w:rPr>
              <w:t xml:space="preserve">L'éthanol donne une haleine alcoolique et non fétide, et l'expression « coma agité » est contradictoire.</w:t>
            </w:r>
          </w:p>
          <w:p>
            <w:pPr>
              <w:spacing w:after="0"/>
            </w:pPr>
            <w:r>
              <w:rPr>
                <w:b/>
                <w:color w:val="145A32"/>
                <w:sz w:val="17"/>
                <w:szCs w:val="17"/>
              </w:rPr>
              <w:t xml:space="preserve">→ Écrire : « Odeur d'alcool, troubles de la conscience (GCS chiffré), hypothermie ; rechercher hypoglycémie et traumatisme crânien associés. »</w:t>
            </w:r>
          </w:p>
        </w:tc>
        <w:tc>
          <w:tcPr>
            <w:tcW w:w="1800" w:type="dxa"/>
            <w:vAlign w:val="top"/>
          </w:tcPr>
          <w:p>
            <w:pPr>
              <w:spacing w:after="0"/>
            </w:pPr>
            <w:r>
              <w:rPr>
                <w:sz w:val="17"/>
                <w:szCs w:val="17"/>
              </w:rPr>
              <w:t xml:space="preserve">Correction terminologique ; donnée de fréquence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L8-M35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point 7.2 (Syndrome traumatique associé)</w:t>
            </w:r>
          </w:p>
        </w:tc>
        <w:tc>
          <w:tcPr>
            <w:tcW w:w="2600" w:type="dxa"/>
            <w:vAlign w:val="top"/>
          </w:tcPr>
          <w:p>
            <w:pPr>
              <w:spacing w:after="0"/>
            </w:pPr>
            <w:r>
              <w:rPr>
                <w:i/>
                <w:sz w:val="17"/>
                <w:szCs w:val="17"/>
              </w:rPr>
              <w:t xml:space="preserve">« Environ un tiers des victimes souffrent de traumatismes majeurs »</w:t>
            </w:r>
          </w:p>
        </w:tc>
        <w:tc>
          <w:tcPr>
            <w:tcW w:w="3000" w:type="dxa"/>
            <w:vAlign w:val="top"/>
          </w:tcPr>
          <w:p>
            <w:pPr>
              <w:spacing w:after="40"/>
            </w:pPr>
            <w:r>
              <w:rPr>
                <w:sz w:val="17"/>
                <w:szCs w:val="17"/>
              </w:rPr>
              <w:t xml:space="preserve">La proportion d'un tiers n'est pas sourcée ; l'ICAR 2023 rapporte que le traumatisme cause 5 à 29 % des décès par avalanche, l'asphyxie 65 à 100 %.</w:t>
            </w:r>
          </w:p>
          <w:p>
            <w:pPr>
              <w:spacing w:after="0"/>
            </w:pPr>
            <w:r>
              <w:rPr>
                <w:b/>
                <w:color w:val="145A32"/>
                <w:sz w:val="17"/>
                <w:szCs w:val="17"/>
              </w:rPr>
              <w:t xml:space="preserve">→ Écrire : « L'asphyxie cause 65 à 100 % des décès par avalanche et le traumatisme 5 à 29 %, selon les séries. »</w:t>
            </w:r>
          </w:p>
        </w:tc>
        <w:tc>
          <w:tcPr>
            <w:tcW w:w="1800" w:type="dxa"/>
            <w:vAlign w:val="top"/>
          </w:tcPr>
          <w:p>
            <w:pPr>
              <w:spacing w:after="0"/>
            </w:pPr>
            <w:r>
              <w:rPr>
                <w:sz w:val="17"/>
                <w:szCs w:val="17"/>
              </w:rPr>
              <w:t xml:space="preserve">ICAR MedCom — Pasquier M, Strapazzon G, Kottmann A, et al. On-site treatment of avalanche victims: scoping review and 2023 recommendations — Resuscitation 2023;184:109708 — https://doi.org/10.1016/j.resuscitation.2023.109708 (résumé lu sur https://boris.unibe.ch/178065,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L8-M36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point 2 (Épidémiologie)</w:t>
            </w:r>
          </w:p>
        </w:tc>
        <w:tc>
          <w:tcPr>
            <w:tcW w:w="2600" w:type="dxa"/>
            <w:vAlign w:val="top"/>
          </w:tcPr>
          <w:p>
            <w:pPr>
              <w:spacing w:after="0"/>
            </w:pPr>
            <w:r>
              <w:rPr>
                <w:i/>
                <w:sz w:val="17"/>
                <w:szCs w:val="17"/>
              </w:rPr>
              <w:t xml:space="preserve">« dénombre environ 20 à 25 décès par an dans les Alpes suisses »</w:t>
            </w:r>
          </w:p>
        </w:tc>
        <w:tc>
          <w:tcPr>
            <w:tcW w:w="3000" w:type="dxa"/>
            <w:vAlign w:val="top"/>
          </w:tcPr>
          <w:p>
            <w:pPr>
              <w:spacing w:after="40"/>
            </w:pPr>
            <w:r>
              <w:rPr>
                <w:sz w:val="17"/>
                <w:szCs w:val="17"/>
              </w:rPr>
              <w:t xml:space="preserve">Le chiffre est attribué au SLF mais cité sous la source S2 (SGNOR) ; le SLF donne une moyenne sur 20 ans de 19 à 22 décès par an selon l'année de référence.</w:t>
            </w:r>
          </w:p>
          <w:p>
            <w:pPr>
              <w:spacing w:after="0"/>
            </w:pPr>
            <w:r>
              <w:rPr>
                <w:b/>
                <w:color w:val="145A32"/>
                <w:sz w:val="17"/>
                <w:szCs w:val="17"/>
              </w:rPr>
              <w:t xml:space="preserve">→ Écrire : « Le SLF recense en moyenne environ 21 décès par avalanche par an en Suisse sur les 20 derniers hivers » et citer le SLF (rapport annuel, année, URL).</w:t>
            </w:r>
          </w:p>
        </w:tc>
        <w:tc>
          <w:tcPr>
            <w:tcW w:w="1800" w:type="dxa"/>
            <w:vAlign w:val="top"/>
          </w:tcPr>
          <w:p>
            <w:pPr>
              <w:spacing w:after="0"/>
            </w:pPr>
            <w:r>
              <w:rPr>
                <w:sz w:val="17"/>
                <w:szCs w:val="17"/>
              </w:rPr>
              <w:t xml:space="preserve">SRF, « Wintersaison 2023/24 : etwas mehr Lawinentote », citant le SLF (moyenne 21/an sur 20 ans), https://www.srf.ch/news/schweiz/wintersaison-2023-24-etwas-mehr-lawinentote-in-diesem-winter-als-durchschnittlich ; SRF 2025 (moyenne 19), lus le 22.10.2026 — à remplacer par le rapport SLF primaire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L8-M37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DX.2 › point 11.D (Pronostic)</w:t>
            </w:r>
          </w:p>
        </w:tc>
        <w:tc>
          <w:tcPr>
            <w:tcW w:w="2600" w:type="dxa"/>
            <w:vAlign w:val="top"/>
          </w:tcPr>
          <w:p>
            <w:pPr>
              <w:spacing w:after="0"/>
            </w:pPr>
            <w:r>
              <w:rPr>
                <w:i/>
                <w:sz w:val="17"/>
                <w:szCs w:val="17"/>
              </w:rPr>
              <w:t xml:space="preserve">« greffe le pronostic d'une mortalité qui approche les 100% »</w:t>
            </w:r>
          </w:p>
        </w:tc>
        <w:tc>
          <w:tcPr>
            <w:tcW w:w="3000" w:type="dxa"/>
            <w:vAlign w:val="top"/>
          </w:tcPr>
          <w:p>
            <w:pPr>
              <w:spacing w:after="40"/>
            </w:pPr>
            <w:r>
              <w:rPr>
                <w:sz w:val="17"/>
                <w:szCs w:val="17"/>
              </w:rPr>
              <w:t xml:space="preserve">La mortalité « proche de 100 % » n'est pas sourcée ; l'ERC 2025 dit seulement que l'ACR non témoigné en asystole a un mauvais pronostic.</w:t>
            </w:r>
          </w:p>
          <w:p>
            <w:pPr>
              <w:spacing w:after="0"/>
            </w:pPr>
            <w:r>
              <w:rPr>
                <w:b/>
                <w:color w:val="145A32"/>
                <w:sz w:val="17"/>
                <w:szCs w:val="17"/>
              </w:rPr>
              <w:t xml:space="preserve">→ Écrire : « Un ACR non témoigné en asystolie après avalanche a un mauvais pronostic, même si les recommandations sont suivies. » Supprimer le pourcentage non sourcé.</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(section Avalanche rescue)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L8-M39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 point 10 (Arbre décisionnel)</w:t>
            </w:r>
          </w:p>
        </w:tc>
        <w:tc>
          <w:tcPr>
            <w:tcW w:w="2600" w:type="dxa"/>
            <w:vAlign w:val="top"/>
          </w:tcPr>
          <w:p>
            <w:pPr>
              <w:spacing w:after="0"/>
            </w:pPr>
            <w:r>
              <w:rPr>
                <w:i/>
                <w:sz w:val="17"/>
                <w:szCs w:val="17"/>
              </w:rPr>
              <w:t xml:space="preserve">« Si le patient présente un arrêt cardiorespiratoire avec Tcc &lt; 32 °C »</w:t>
            </w:r>
          </w:p>
        </w:tc>
        <w:tc>
          <w:tcPr>
            <w:tcW w:w="3000" w:type="dxa"/>
            <w:vAlign w:val="top"/>
          </w:tcPr>
          <w:p>
            <w:pPr>
              <w:spacing w:after="40"/>
            </w:pPr>
            <w:r>
              <w:rPr>
                <w:sz w:val="17"/>
                <w:szCs w:val="17"/>
              </w:rPr>
              <w:t xml:space="preserve">Le seuil de 32 °C n'est pas sourcé ; l'ERC 2025 indique qu'un ACR d'hypothermie primaire au-dessus de 28 °C est possible mais rare, ce qui doit faire chercher une autre cause, et l'arbre omet la RCP différée ou intermittente sous 28 °C.</w:t>
            </w:r>
          </w:p>
          <w:p>
            <w:pPr>
              <w:spacing w:after="0"/>
            </w:pPr>
            <w:r>
              <w:rPr>
                <w:b/>
                <w:color w:val="145A32"/>
                <w:sz w:val="17"/>
                <w:szCs w:val="17"/>
              </w:rPr>
              <w:t xml:space="preserve">→ Écrire : « ACR avec Tcc &lt; 30 °C : RCP continue (mécanique si transport long) et transfert direct vers un centre ECLS ; sous 28 °C, RCP différée ou intermittente si une RCP continue est impossible. Un ACR à Tcc &gt; 28 °C fait rechercher une autre cause.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 (figure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L8-M40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 point 6 (Examen physique)</w:t>
            </w:r>
          </w:p>
        </w:tc>
        <w:tc>
          <w:tcPr>
            <w:tcW w:w="2600" w:type="dxa"/>
            <w:vAlign w:val="top"/>
          </w:tcPr>
          <w:p>
            <w:pPr>
              <w:spacing w:after="0"/>
            </w:pPr>
            <w:r>
              <w:rPr>
                <w:i/>
                <w:sz w:val="17"/>
                <w:szCs w:val="17"/>
              </w:rPr>
              <w:t xml:space="preserve">« palpe un pouls central (carotidien ou fémoral) pendant 60 secondes complètes »</w:t>
            </w:r>
          </w:p>
        </w:tc>
        <w:tc>
          <w:tcPr>
            <w:tcW w:w="3000" w:type="dxa"/>
            <w:vAlign w:val="top"/>
          </w:tcPr>
          <w:p>
            <w:pPr>
              <w:spacing w:after="40"/>
            </w:pPr>
            <w:r>
              <w:rPr>
                <w:sz w:val="17"/>
                <w:szCs w:val="17"/>
              </w:rPr>
              <w:t xml:space="preserve">L'ERC 2025 recommande de rechercher les signes de vie pendant une minute par l'examen clinique, mais aussi par l'ECG et l'échographie ; le fichier limite la recherche à la palpation.</w:t>
            </w:r>
          </w:p>
          <w:p>
            <w:pPr>
              <w:spacing w:after="0"/>
            </w:pPr>
            <w:r>
              <w:rPr>
                <w:b/>
                <w:color w:val="145A32"/>
                <w:sz w:val="17"/>
                <w:szCs w:val="17"/>
              </w:rPr>
              <w:t xml:space="preserve">→ Ajouter : « …pendant une minute, en associant la palpation, la recherche de respiration, l'ECG et l'échographie.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L8-M41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 point 11.B (Moyens et méthodes)</w:t>
            </w:r>
          </w:p>
        </w:tc>
        <w:tc>
          <w:tcPr>
            <w:tcW w:w="2600" w:type="dxa"/>
            <w:vAlign w:val="top"/>
          </w:tcPr>
          <w:p>
            <w:pPr>
              <w:spacing w:after="0"/>
            </w:pPr>
            <w:r>
              <w:rPr>
                <w:i/>
                <w:sz w:val="17"/>
                <w:szCs w:val="17"/>
              </w:rPr>
              <w:t xml:space="preserve">« L'équipe utilise un réchauffement externe actif (Bair Hugger®) pour les stades II/III, et une ECMO veino-artérielle pour le stade IV. »</w:t>
            </w:r>
          </w:p>
        </w:tc>
        <w:tc>
          <w:tcPr>
            <w:tcW w:w="3000" w:type="dxa"/>
            <w:vAlign w:val="top"/>
          </w:tcPr>
          <w:p>
            <w:pPr>
              <w:spacing w:after="40"/>
            </w:pPr>
            <w:r>
              <w:rPr>
                <w:sz w:val="17"/>
                <w:szCs w:val="17"/>
              </w:rPr>
              <w:t xml:space="preserve">La phrase omet le transfert direct des stades II/III instables vers un centre ECLS, l'indication d'ECLS chez le patient qui se dégrade (PAS ≤ 60 mmHg, ETCO2 &lt; 1,3 kPa) et le réchauffement non extracorporel si aucun centre n'est atteignable en 6 h.</w:t>
            </w:r>
          </w:p>
          <w:p>
            <w:pPr>
              <w:spacing w:after="0"/>
            </w:pPr>
            <w:r>
              <w:rPr>
                <w:b/>
                <w:color w:val="145A32"/>
                <w:sz w:val="17"/>
                <w:szCs w:val="17"/>
              </w:rPr>
              <w:t xml:space="preserve">→ Compléter : « Un patient instable (FC &lt; 45/min, PAS &lt; 90 mmHg, arythmie ventriculaire, Tcc &lt; 30 °C) part directement vers un centre ECLS ; l'ECLS se discute dès la dégradation (PAS ≤ 60 mmHg, ETCO2 &lt; 1,3 kPa) ; sans centre atteignable en 6 h, l'équipe réchauffe sans circulation extracorporelle. »</w:t>
            </w:r>
          </w:p>
        </w:tc>
        <w:tc>
          <w:tcPr>
            <w:tcW w:w="1800" w:type="dxa"/>
            <w:vAlign w:val="top"/>
          </w:tcPr>
          <w:p>
            <w:pPr>
              <w:spacing w:after="0"/>
            </w:pPr>
            <w:r>
              <w:rPr>
                <w:sz w:val="17"/>
                <w:szCs w:val="17"/>
              </w:rPr>
              <w:t xml:space="preserve">European Resuscitation Council (ERC) — Lott C, et al. European Resuscitation Council Guidelines 2025 Special Circumstances in Resuscitation — Resuscitation 2025;215 Suppl 1:110753 — https://doi.org/10.1016/j.resuscitation.2025.110753 — section « Accidental hypothermia and avalanche rescue », lu le 22.10.2026</w:t>
            </w:r>
          </w:p>
        </w:tc>
      </w:tr>
    </w:tbl>
    <w:p>
      <w:pPr>
        <w:spacing w:after="120"/>
      </w:pPr>
    </w:p>
    <w:p>
      <w:pPr>
        <w:pStyle w:val="Titre1"/>
        <w:keepNext/>
      </w:pPr>
      <w:r>
        <w:rPr>
          <w:b/>
          <w:color w:val="1F618D"/>
          <w:sz w:val="26"/>
          <w:szCs w:val="26"/>
        </w:rPr>
        <w:t xml:space="preserve">Léger — 16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L8-L06</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En-tête › titre h2 (sous-titre)</w:t>
            </w:r>
          </w:p>
        </w:tc>
        <w:tc>
          <w:tcPr>
            <w:tcW w:w="2600" w:type="dxa"/>
            <w:vAlign w:val="top"/>
          </w:tcPr>
          <w:p>
            <w:pPr>
              <w:spacing w:after="0"/>
            </w:pPr>
            <w:r>
              <w:rPr>
                <w:i/>
                <w:sz w:val="17"/>
                <w:szCs w:val="17"/>
              </w:rPr>
              <w:t xml:space="preserve">« Appel A — Plan et Liste — Audit Médical &amp; Bio-Mathématique Ultra-Pédagogique V6 »</w:t>
            </w:r>
          </w:p>
        </w:tc>
        <w:tc>
          <w:tcPr>
            <w:tcW w:w="3000" w:type="dxa"/>
            <w:vAlign w:val="top"/>
          </w:tcPr>
          <w:p>
            <w:pPr>
              <w:spacing w:after="40"/>
            </w:pPr>
            <w:r>
              <w:rPr>
                <w:sz w:val="17"/>
                <w:szCs w:val="17"/>
              </w:rPr>
              <w:t xml:space="preserve">Le nommage des fichiers porte « V6 » alors que le § 4 du prompt prescrit des noms en « V5 » ; l'écart est cohérent avec le standard V6 mais il n'est documenté nulle part.</w:t>
            </w:r>
          </w:p>
          <w:p>
            <w:pPr>
              <w:spacing w:after="0"/>
            </w:pPr>
            <w:r>
              <w:rPr>
                <w:b/>
                <w:color w:val="145A32"/>
                <w:sz w:val="17"/>
                <w:szCs w:val="17"/>
              </w:rPr>
              <w:t xml:space="preserve">→ Conserver « V6 » et consigner dans le manifeste que le nommage suit le standard V6.</w:t>
            </w:r>
          </w:p>
        </w:tc>
        <w:tc>
          <w:tcPr>
            <w:tcW w:w="1800" w:type="dxa"/>
            <w:vAlign w:val="top"/>
          </w:tcPr>
          <w:p>
            <w:pPr>
              <w:spacing w:after="0"/>
            </w:pPr>
            <w:r>
              <w:rPr>
                <w:sz w:val="17"/>
                <w:szCs w:val="17"/>
              </w:rPr>
              <w:t xml:space="preserve">PROMPT_V6.md (prompt de base, Standard V6) § 4 et titre du prompt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L8-L27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DX.5</w:t>
            </w:r>
          </w:p>
        </w:tc>
        <w:tc>
          <w:tcPr>
            <w:tcW w:w="2600" w:type="dxa"/>
            <w:vAlign w:val="top"/>
          </w:tcPr>
          <w:p>
            <w:pPr>
              <w:spacing w:after="0"/>
            </w:pPr>
            <w:r>
              <w:rPr>
                <w:i/>
                <w:sz w:val="17"/>
                <w:szCs w:val="17"/>
              </w:rPr>
              <w:t xml:space="preserve">« Naloxone (Naloxone® Orpha) IV »</w:t>
            </w:r>
          </w:p>
        </w:tc>
        <w:tc>
          <w:tcPr>
            <w:tcW w:w="3000" w:type="dxa"/>
            <w:vAlign w:val="top"/>
          </w:tcPr>
          <w:p>
            <w:pPr>
              <w:spacing w:after="40"/>
            </w:pPr>
            <w:r>
              <w:rPr>
                <w:sz w:val="17"/>
                <w:szCs w:val="17"/>
              </w:rPr>
              <w:t xml:space="preserve">Le nom de spécialité suisse n'est pas vérifié et la dose manque.</w:t>
            </w:r>
          </w:p>
          <w:p>
            <w:pPr>
              <w:spacing w:after="0"/>
            </w:pPr>
            <w:r>
              <w:rPr>
                <w:b/>
                <w:color w:val="145A32"/>
                <w:sz w:val="17"/>
                <w:szCs w:val="17"/>
              </w:rPr>
              <w:t xml:space="preserve">→ Vérifier le nom exact dans compendium.ch et ajouter la dose initiale et la voie selon l'information professionnelle.</w:t>
            </w:r>
          </w:p>
        </w:tc>
        <w:tc>
          <w:tcPr>
            <w:tcW w:w="1800" w:type="dxa"/>
            <w:vAlign w:val="top"/>
          </w:tcPr>
          <w:p>
            <w:pPr>
              <w:spacing w:after="0"/>
            </w:pPr>
            <w:r>
              <w:rPr>
                <w:sz w:val="17"/>
                <w:szCs w:val="17"/>
              </w:rPr>
              <w:t xml:space="preserve">donnée non trouvée dans les sources consultées ; PROMPT_V6.md (prompt de base, Standard V6)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L8-L29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tableau comparatif › ligne DX.10</w:t>
            </w:r>
          </w:p>
        </w:tc>
        <w:tc>
          <w:tcPr>
            <w:tcW w:w="2600" w:type="dxa"/>
            <w:vAlign w:val="top"/>
          </w:tcPr>
          <w:p>
            <w:pPr>
              <w:spacing w:after="0"/>
            </w:pPr>
            <w:r>
              <w:rPr>
                <w:i/>
                <w:sz w:val="17"/>
                <w:szCs w:val="17"/>
              </w:rPr>
              <w:t xml:space="preserve">« Cortisolémie abaissée, ACTH augmentée »</w:t>
            </w:r>
          </w:p>
        </w:tc>
        <w:tc>
          <w:tcPr>
            <w:tcW w:w="3000" w:type="dxa"/>
            <w:vAlign w:val="top"/>
          </w:tcPr>
          <w:p>
            <w:pPr>
              <w:spacing w:after="40"/>
            </w:pPr>
            <w:r>
              <w:rPr>
                <w:sz w:val="17"/>
                <w:szCs w:val="17"/>
              </w:rPr>
              <w:t xml:space="preserve">L'ACTH n'augmente que dans l'insuffisance surrénalienne primaire ; l'insuffisance secondaire, cause fréquente de crise, montre une ACTH basse ou normale.</w:t>
            </w:r>
          </w:p>
          <w:p>
            <w:pPr>
              <w:spacing w:after="0"/>
            </w:pPr>
            <w:r>
              <w:rPr>
                <w:b/>
                <w:color w:val="145A32"/>
                <w:sz w:val="17"/>
                <w:szCs w:val="17"/>
              </w:rPr>
              <w:t xml:space="preserve">→ Écrire « Cortisolémie basse ; ACTH élevée si l'atteinte est primaire, basse ou normale si elle est secondaire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L8-L37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Fichier entier (anglicismes)</w:t>
            </w:r>
          </w:p>
        </w:tc>
        <w:tc>
          <w:tcPr>
            <w:tcW w:w="2600" w:type="dxa"/>
            <w:vAlign w:val="top"/>
          </w:tcPr>
          <w:p>
            <w:pPr>
              <w:spacing w:after="0"/>
            </w:pPr>
            <w:r>
              <w:rPr>
                <w:i/>
                <w:sz w:val="17"/>
                <w:szCs w:val="17"/>
              </w:rPr>
              <w:t xml:space="preserve">« Maniement précautionneux (rescue death). Intubation souvent requise. »</w:t>
            </w:r>
          </w:p>
        </w:tc>
        <w:tc>
          <w:tcPr>
            <w:tcW w:w="3000" w:type="dxa"/>
            <w:vAlign w:val="top"/>
          </w:tcPr>
          <w:p>
            <w:pPr>
              <w:spacing w:after="40"/>
            </w:pPr>
            <w:r>
              <w:rPr>
                <w:sz w:val="17"/>
                <w:szCs w:val="17"/>
              </w:rPr>
              <w:t xml:space="preserve">Le texte multiplie les anglicismes non traduits : « Swiss Staging System », « rescue death », « rescue collapse », « drop core temperature », « Trauma-scan », « Gold standard », « monitoring », « Nobody is dead until warm and dead ».</w:t>
            </w:r>
          </w:p>
          <w:p>
            <w:pPr>
              <w:spacing w:after="0"/>
            </w:pPr>
            <w:r>
              <w:rPr>
                <w:b/>
                <w:color w:val="145A32"/>
                <w:sz w:val="17"/>
                <w:szCs w:val="17"/>
              </w:rPr>
              <w:t xml:space="preserve">→ Traduire ou gloser chaque terme à sa première occurrence : « décès de sauvetage », « collapsus de sauvetage », « chute secondaire de température (afterdrop) », « scanner corps entier », « examen de référence », « surveillance continue ».</w:t>
            </w:r>
          </w:p>
        </w:tc>
        <w:tc>
          <w:tcPr>
            <w:tcW w:w="1800" w:type="dxa"/>
            <w:vAlign w:val="top"/>
          </w:tcPr>
          <w:p>
            <w:pPr>
              <w:spacing w:after="0"/>
            </w:pPr>
            <w:r>
              <w:rPr>
                <w:sz w:val="17"/>
                <w:szCs w:val="17"/>
              </w:rPr>
              <w:t xml:space="preserve">PROMPT_V6.md (prompt de base,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L8-L38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Fichier entier (typographie des nombres)</w:t>
            </w:r>
          </w:p>
        </w:tc>
        <w:tc>
          <w:tcPr>
            <w:tcW w:w="2600" w:type="dxa"/>
            <w:vAlign w:val="top"/>
          </w:tcPr>
          <w:p>
            <w:pPr>
              <w:spacing w:after="0"/>
            </w:pPr>
            <w:r>
              <w:rPr>
                <w:i/>
                <w:sz w:val="17"/>
                <w:szCs w:val="17"/>
              </w:rPr>
              <w:t xml:space="preserve">« Glycémie capillaire &lt; 3.0 mmol/L »</w:t>
            </w:r>
          </w:p>
        </w:tc>
        <w:tc>
          <w:tcPr>
            <w:tcW w:w="3000" w:type="dxa"/>
            <w:vAlign w:val="top"/>
          </w:tcPr>
          <w:p>
            <w:pPr>
              <w:spacing w:after="40"/>
            </w:pPr>
            <w:r>
              <w:rPr>
                <w:sz w:val="17"/>
                <w:szCs w:val="17"/>
              </w:rPr>
              <w:t xml:space="preserve">Le fichier emploie le point décimal (« 3.0 », « 0.9% ») et omet l'espace insécable avant « % » et « °C » (« 70% », « 35°C », « 6% »).</w:t>
            </w:r>
          </w:p>
          <w:p>
            <w:pPr>
              <w:spacing w:after="0"/>
            </w:pPr>
            <w:r>
              <w:rPr>
                <w:b/>
                <w:color w:val="145A32"/>
                <w:sz w:val="17"/>
                <w:szCs w:val="17"/>
              </w:rPr>
              <w:t xml:space="preserve">→ Écrire « 3,0 mmol/L », « NaCl 0,9 % », « 70 % », « 35 °C » avec espaces insécables, dans tout le fichier.</w:t>
            </w:r>
          </w:p>
        </w:tc>
        <w:tc>
          <w:tcPr>
            <w:tcW w:w="1800" w:type="dxa"/>
            <w:vAlign w:val="top"/>
          </w:tcPr>
          <w:p>
            <w:pPr>
              <w:spacing w:after="0"/>
            </w:pPr>
            <w:r>
              <w:rPr>
                <w:sz w:val="17"/>
                <w:szCs w:val="17"/>
              </w:rPr>
              <w:t xml:space="preserve">Règles typographiques françaises (Imprimerie nationale, Lexique des règles typographiques) ; PROMPT_V6.md (prompt de base,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L8-L39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Fichier entier (majuscules)</w:t>
            </w:r>
          </w:p>
        </w:tc>
        <w:tc>
          <w:tcPr>
            <w:tcW w:w="2600" w:type="dxa"/>
            <w:vAlign w:val="top"/>
          </w:tcPr>
          <w:p>
            <w:pPr>
              <w:spacing w:after="0"/>
            </w:pPr>
            <w:r>
              <w:rPr>
                <w:i/>
                <w:sz w:val="17"/>
                <w:szCs w:val="17"/>
              </w:rPr>
              <w:t xml:space="preserve">« Ionogramme (Kaliémie +++, déterminant pour le triage ECMO), Glycémie capillaire, Lactates. »</w:t>
            </w:r>
          </w:p>
        </w:tc>
        <w:tc>
          <w:tcPr>
            <w:tcW w:w="3000" w:type="dxa"/>
            <w:vAlign w:val="top"/>
          </w:tcPr>
          <w:p>
            <w:pPr>
              <w:spacing w:after="40"/>
            </w:pPr>
            <w:r>
              <w:rPr>
                <w:sz w:val="17"/>
                <w:szCs w:val="17"/>
              </w:rPr>
              <w:t xml:space="preserve">Des noms communs portent une majuscule fautive en milieu de phrase (Gazométrie, Ionogramme, Glycémie, Lactates, Cortisol, Hôpital, Score) et la notation « +++ » remplace une phrase.</w:t>
            </w:r>
          </w:p>
          <w:p>
            <w:pPr>
              <w:spacing w:after="0"/>
            </w:pPr>
            <w:r>
              <w:rPr>
                <w:b/>
                <w:color w:val="145A32"/>
                <w:sz w:val="17"/>
                <w:szCs w:val="17"/>
              </w:rPr>
              <w:t xml:space="preserve">→ Mettre ces noms en minuscule et remplacer « +++ » par une phrase verbale : « La kaliémie détermine l'indication à l'ECLS. »</w:t>
            </w:r>
          </w:p>
        </w:tc>
        <w:tc>
          <w:tcPr>
            <w:tcW w:w="1800" w:type="dxa"/>
            <w:vAlign w:val="top"/>
          </w:tcPr>
          <w:p>
            <w:pPr>
              <w:spacing w:after="0"/>
            </w:pPr>
            <w:r>
              <w:rPr>
                <w:sz w:val="17"/>
                <w:szCs w:val="17"/>
              </w:rPr>
              <w:t xml:space="preserve">Règles typographiques françaises (Imprimerie nationale, Lexique des règles typographiques) ; PROMPT_V6.md (prompt de base,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L8-L40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 7 › 7.2</w:t>
            </w:r>
          </w:p>
        </w:tc>
        <w:tc>
          <w:tcPr>
            <w:tcW w:w="2600" w:type="dxa"/>
            <w:vAlign w:val="top"/>
          </w:tcPr>
          <w:p>
            <w:pPr>
              <w:spacing w:after="0"/>
            </w:pPr>
            <w:r>
              <w:rPr>
                <w:i/>
                <w:sz w:val="17"/>
                <w:szCs w:val="17"/>
              </w:rPr>
              <w:t xml:space="preserve">« 7.2 Syndrome de "Rescue collapse" : »</w:t>
            </w:r>
          </w:p>
        </w:tc>
        <w:tc>
          <w:tcPr>
            <w:tcW w:w="3000" w:type="dxa"/>
            <w:vAlign w:val="top"/>
          </w:tcPr>
          <w:p>
            <w:pPr>
              <w:spacing w:after="40"/>
            </w:pPr>
            <w:r>
              <w:rPr>
                <w:sz w:val="17"/>
                <w:szCs w:val="17"/>
              </w:rPr>
              <w:t xml:space="preserve">Le fichier emploie des guillemets droits anglais ("Rescue collapse", "alpha-stat", "Nobody is dead…") au lieu des guillemets français.</w:t>
            </w:r>
          </w:p>
          <w:p>
            <w:pPr>
              <w:spacing w:after="0"/>
            </w:pPr>
            <w:r>
              <w:rPr>
                <w:b/>
                <w:color w:val="145A32"/>
                <w:sz w:val="17"/>
                <w:szCs w:val="17"/>
              </w:rPr>
              <w:t xml:space="preserve">→ Remplacer par « collapsus de sauvetage » entre guillemets français avec espaces insécables.</w:t>
            </w:r>
          </w:p>
        </w:tc>
        <w:tc>
          <w:tcPr>
            <w:tcW w:w="1800" w:type="dxa"/>
            <w:vAlign w:val="top"/>
          </w:tcPr>
          <w:p>
            <w:pPr>
              <w:spacing w:after="0"/>
            </w:pPr>
            <w:r>
              <w:rPr>
                <w:sz w:val="17"/>
                <w:szCs w:val="17"/>
              </w:rPr>
              <w:t xml:space="preserve">Règles typographiques françaises (Imprimerie nationale, Lexique des règles typographiques) ; PROMPT_V6.md (prompt de base,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L8-L41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1 › points 9 et 11 › titres</w:t>
            </w:r>
          </w:p>
        </w:tc>
        <w:tc>
          <w:tcPr>
            <w:tcW w:w="2600" w:type="dxa"/>
            <w:vAlign w:val="top"/>
          </w:tcPr>
          <w:p>
            <w:pPr>
              <w:spacing w:after="0"/>
            </w:pPr>
            <w:r>
              <w:rPr>
                <w:i/>
                <w:sz w:val="17"/>
                <w:szCs w:val="17"/>
              </w:rPr>
              <w:t xml:space="preserve">« 9. Examens complémentaires : indications, formules et interprétation. »</w:t>
            </w:r>
          </w:p>
        </w:tc>
        <w:tc>
          <w:tcPr>
            <w:tcW w:w="3000" w:type="dxa"/>
            <w:vAlign w:val="top"/>
          </w:tcPr>
          <w:p>
            <w:pPr>
              <w:spacing w:after="40"/>
            </w:pPr>
            <w:r>
              <w:rPr>
                <w:sz w:val="17"/>
                <w:szCs w:val="17"/>
              </w:rPr>
              <w:t xml:space="preserve">Les titres des points 9 et 11 sont en gras-italique alors que les autres points sont en gras seul ; le prompt réserve l'italique aux sous-titres.</w:t>
            </w:r>
          </w:p>
          <w:p>
            <w:pPr>
              <w:spacing w:after="0"/>
            </w:pPr>
            <w:r>
              <w:rPr>
                <w:b/>
                <w:color w:val="145A32"/>
                <w:sz w:val="17"/>
                <w:szCs w:val="17"/>
              </w:rPr>
              <w:t xml:space="preserve">→ Supprimer la balise &lt;em&gt; des titres des points 9 et 11.</w:t>
            </w:r>
          </w:p>
        </w:tc>
        <w:tc>
          <w:tcPr>
            <w:tcW w:w="1800" w:type="dxa"/>
            <w:vAlign w:val="top"/>
          </w:tcPr>
          <w:p>
            <w:pPr>
              <w:spacing w:after="0"/>
            </w:pPr>
            <w:r>
              <w:rPr>
                <w:sz w:val="17"/>
                <w:szCs w:val="17"/>
              </w:rPr>
              <w:t xml:space="preserve">PROMPT_V6.md (prompt de base, Standard V6) § 5 (titres en &lt;strong&gt;)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L8-L48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2</w:t>
            </w:r>
          </w:p>
        </w:tc>
        <w:tc>
          <w:tcPr>
            <w:tcW w:w="2600" w:type="dxa"/>
            <w:vAlign w:val="top"/>
          </w:tcPr>
          <w:p>
            <w:pPr>
              <w:spacing w:after="0"/>
            </w:pPr>
            <w:r>
              <w:rPr>
                <w:i/>
                <w:sz w:val="17"/>
                <w:szCs w:val="17"/>
              </w:rPr>
              <w:t xml:space="preserve">« L'Institut pour l'étude de la neige et des avalanches (SLF) dénombre environ 20 à 25 décès par an dans les Alpes suisses »</w:t>
            </w:r>
          </w:p>
        </w:tc>
        <w:tc>
          <w:tcPr>
            <w:tcW w:w="3000" w:type="dxa"/>
            <w:vAlign w:val="top"/>
          </w:tcPr>
          <w:p>
            <w:pPr>
              <w:spacing w:after="40"/>
            </w:pPr>
            <w:r>
              <w:rPr>
                <w:sz w:val="17"/>
                <w:szCs w:val="17"/>
              </w:rPr>
              <w:t xml:space="preserve">Le chiffre est plausible (environ 25 décès par an selon Knapp et al.), mais il est attribué au SLF sans document SLF cité ni listé dans les Sources.</w:t>
            </w:r>
          </w:p>
          <w:p>
            <w:pPr>
              <w:spacing w:after="0"/>
            </w:pPr>
            <w:r>
              <w:rPr>
                <w:b/>
                <w:color w:val="145A32"/>
                <w:sz w:val="17"/>
                <w:szCs w:val="17"/>
              </w:rPr>
              <w:t xml:space="preserve">→ Ajouter la référence SLF exacte (rapport annuel, URL, date) dans la section Sources, ou citer Knapp et al. 2025.</w:t>
            </w:r>
          </w:p>
        </w:tc>
        <w:tc>
          <w:tcPr>
            <w:tcW w:w="1800" w:type="dxa"/>
            <w:vAlign w:val="top"/>
          </w:tcPr>
          <w:p>
            <w:pPr>
              <w:spacing w:after="0"/>
            </w:pPr>
            <w:r>
              <w:rPr>
                <w:sz w:val="17"/>
                <w:szCs w:val="17"/>
              </w:rPr>
              <w:t xml:space="preserve">Knapp J, Höftmann D, Albrecht R, Straumann S, Pasquier M, Pietsch U — Management and outcome of patients with cardiac arrest after avalanche accidents in the Swiss Alps: a retrospective analysis — Resuscitation Plus 2025;22:100922 — https://pmc.ncbi.nlm.nih.gov/articles/PMC11951987/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L8-L53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fenêtre 9.b › tableau › ligne Kaliémie</w:t>
            </w:r>
          </w:p>
        </w:tc>
        <w:tc>
          <w:tcPr>
            <w:tcW w:w="2600" w:type="dxa"/>
            <w:vAlign w:val="top"/>
          </w:tcPr>
          <w:p>
            <w:pPr>
              <w:spacing w:after="0"/>
            </w:pPr>
            <w:r>
              <w:rPr>
                <w:i/>
                <w:sz w:val="17"/>
                <w:szCs w:val="17"/>
              </w:rPr>
              <w:t xml:space="preserve">« 3.5 - 4.5 mmol/L »</w:t>
            </w:r>
          </w:p>
        </w:tc>
        <w:tc>
          <w:tcPr>
            <w:tcW w:w="3000" w:type="dxa"/>
            <w:vAlign w:val="top"/>
          </w:tcPr>
          <w:p>
            <w:pPr>
              <w:spacing w:after="40"/>
            </w:pPr>
            <w:r>
              <w:rPr>
                <w:sz w:val="17"/>
                <w:szCs w:val="17"/>
              </w:rPr>
              <w:t xml:space="preserve">La borne haute de 4,5 mmol/L est plus basse que les intervalles usuels des laboratoires suisses (environ 3,5–5,0 mmol/L) et le point décimal est employé.</w:t>
            </w:r>
          </w:p>
          <w:p>
            <w:pPr>
              <w:spacing w:after="0"/>
            </w:pPr>
            <w:r>
              <w:rPr>
                <w:b/>
                <w:color w:val="145A32"/>
                <w:sz w:val="17"/>
                <w:szCs w:val="17"/>
              </w:rPr>
              <w:t xml:space="preserve">→ Écrire « 3,5–5,0 mmol/L (selon le laboratoire) ».</w:t>
            </w:r>
          </w:p>
        </w:tc>
        <w:tc>
          <w:tcPr>
            <w:tcW w:w="1800" w:type="dxa"/>
            <w:vAlign w:val="top"/>
          </w:tcPr>
          <w:p>
            <w:pPr>
              <w:spacing w:after="0"/>
            </w:pPr>
            <w:r>
              <w:rPr>
                <w:sz w:val="17"/>
                <w:szCs w:val="17"/>
              </w:rPr>
              <w:t xml:space="preserve">donnée non trouvée dans les sources consultées pour l'intervalle d'un laboratoire suisse précis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L8-L64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10</w:t>
            </w:r>
          </w:p>
        </w:tc>
        <w:tc>
          <w:tcPr>
            <w:tcW w:w="2600" w:type="dxa"/>
            <w:vAlign w:val="top"/>
          </w:tcPr>
          <w:p>
            <w:pPr>
              <w:spacing w:after="0"/>
            </w:pPr>
            <w:r>
              <w:rPr>
                <w:i/>
                <w:sz w:val="17"/>
                <w:szCs w:val="17"/>
              </w:rPr>
              <w:t xml:space="preserve">« avec de la neige plein la bouche »</w:t>
            </w:r>
          </w:p>
        </w:tc>
        <w:tc>
          <w:tcPr>
            <w:tcW w:w="3000" w:type="dxa"/>
            <w:vAlign w:val="top"/>
          </w:tcPr>
          <w:p>
            <w:pPr>
              <w:spacing w:after="40"/>
            </w:pPr>
            <w:r>
              <w:rPr>
                <w:sz w:val="17"/>
                <w:szCs w:val="17"/>
              </w:rPr>
              <w:t xml:space="preserve">L'expression « plein la bouche » relève du registre familier.</w:t>
            </w:r>
          </w:p>
          <w:p>
            <w:pPr>
              <w:spacing w:after="0"/>
            </w:pPr>
            <w:r>
              <w:rPr>
                <w:b/>
                <w:color w:val="145A32"/>
                <w:sz w:val="17"/>
                <w:szCs w:val="17"/>
              </w:rPr>
              <w:t xml:space="preserve">→ Écrire « avec la bouche et le pharynx obstrués par de la neige ».</w:t>
            </w:r>
          </w:p>
        </w:tc>
        <w:tc>
          <w:tcPr>
            <w:tcW w:w="1800" w:type="dxa"/>
            <w:vAlign w:val="top"/>
          </w:tcPr>
          <w:p>
            <w:pPr>
              <w:spacing w:after="0"/>
            </w:pPr>
            <w:r>
              <w:rPr>
                <w:sz w:val="17"/>
                <w:szCs w:val="17"/>
              </w:rPr>
              <w:t xml:space="preserve">PROMPT_V6.md (prompt de base,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L8-L65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DX.1 › point 13</w:t>
            </w:r>
          </w:p>
        </w:tc>
        <w:tc>
          <w:tcPr>
            <w:tcW w:w="2600" w:type="dxa"/>
            <w:vAlign w:val="top"/>
          </w:tcPr>
          <w:p>
            <w:pPr>
              <w:spacing w:after="0"/>
            </w:pPr>
            <w:r>
              <w:rPr>
                <w:i/>
                <w:sz w:val="17"/>
                <w:szCs w:val="17"/>
              </w:rPr>
              <w:t xml:space="preserve">« La survie neurologique s'avère souvent excellente même après plusieurs heures d'arrêt circulatoire. »</w:t>
            </w:r>
          </w:p>
        </w:tc>
        <w:tc>
          <w:tcPr>
            <w:tcW w:w="3000" w:type="dxa"/>
            <w:vAlign w:val="top"/>
          </w:tcPr>
          <w:p>
            <w:pPr>
              <w:spacing w:after="40"/>
            </w:pPr>
            <w:r>
              <w:rPr>
                <w:sz w:val="17"/>
                <w:szCs w:val="17"/>
              </w:rPr>
              <w:t xml:space="preserve">« Survie neurologique » est impropre (on parle de pronostic ou de récupération neurologique) et « souvent » n'est pas chiffré.</w:t>
            </w:r>
          </w:p>
          <w:p>
            <w:pPr>
              <w:spacing w:after="0"/>
            </w:pPr>
            <w:r>
              <w:rPr>
                <w:b/>
                <w:color w:val="145A32"/>
                <w:sz w:val="17"/>
                <w:szCs w:val="17"/>
              </w:rPr>
              <w:t xml:space="preserve">→ Écrire « Le pronostic neurologique peut rester bon après plusieurs heures d'arrêt circulatoire hypothermique [Sn] », avec une donnée chiffrée sourcée.</w:t>
            </w:r>
          </w:p>
        </w:tc>
        <w:tc>
          <w:tcPr>
            <w:tcW w:w="1800" w:type="dxa"/>
            <w:vAlign w:val="top"/>
          </w:tcPr>
          <w:p>
            <w:pPr>
              <w:spacing w:after="0"/>
            </w:pPr>
            <w:r>
              <w:rPr>
                <w:sz w:val="17"/>
                <w:szCs w:val="17"/>
              </w:rPr>
              <w:t xml:space="preserve">PROMPT_V6.md (prompt de base, Standard V6) § 6.7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L8-L67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Fichier entier (anglicismes et typographie)</w:t>
            </w:r>
          </w:p>
        </w:tc>
        <w:tc>
          <w:tcPr>
            <w:tcW w:w="2600" w:type="dxa"/>
            <w:vAlign w:val="top"/>
          </w:tcPr>
          <w:p>
            <w:pPr>
              <w:spacing w:after="0"/>
            </w:pPr>
            <w:r>
              <w:rPr>
                <w:i/>
                <w:sz w:val="17"/>
                <w:szCs w:val="17"/>
              </w:rPr>
              <w:t xml:space="preserve">« prévenir le collapsus hémodynamique de sauvetage (rescue collapse) »</w:t>
            </w:r>
          </w:p>
        </w:tc>
        <w:tc>
          <w:tcPr>
            <w:tcW w:w="3000" w:type="dxa"/>
            <w:vAlign w:val="top"/>
          </w:tcPr>
          <w:p>
            <w:pPr>
              <w:spacing w:after="40"/>
            </w:pPr>
            <w:r>
              <w:rPr>
                <w:sz w:val="17"/>
                <w:szCs w:val="17"/>
              </w:rPr>
              <w:t xml:space="preserve">Le fichier conserve des anglicismes (« rescue collapse », « Gold standard », « Trauma-Scan ») et des guillemets droits ("chaud et mort"), ainsi que « 100% » sans espace insécable et « II/III » avec barre oblique.</w:t>
            </w:r>
          </w:p>
          <w:p>
            <w:pPr>
              <w:spacing w:after="0"/>
            </w:pPr>
            <w:r>
              <w:rPr>
                <w:b/>
                <w:color w:val="145A32"/>
                <w:sz w:val="17"/>
                <w:szCs w:val="17"/>
              </w:rPr>
              <w:t xml:space="preserve">→ Traduire les termes, employer les guillemets « » et écrire « 100 % », « stades II et III ».</w:t>
            </w:r>
          </w:p>
        </w:tc>
        <w:tc>
          <w:tcPr>
            <w:tcW w:w="1800" w:type="dxa"/>
            <w:vAlign w:val="top"/>
          </w:tcPr>
          <w:p>
            <w:pPr>
              <w:spacing w:after="0"/>
            </w:pPr>
            <w:r>
              <w:rPr>
                <w:sz w:val="17"/>
                <w:szCs w:val="17"/>
              </w:rPr>
              <w:t xml:space="preserve">Règles typographiques françaises (Imprimerie nationale, Lexique des règles typographiques) ; PROMPT_V6.md (prompt de base, Standard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L8-L68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DX.2 › point 13</w:t>
            </w:r>
          </w:p>
        </w:tc>
        <w:tc>
          <w:tcPr>
            <w:tcW w:w="2600" w:type="dxa"/>
            <w:vAlign w:val="top"/>
          </w:tcPr>
          <w:p>
            <w:pPr>
              <w:spacing w:after="0"/>
            </w:pPr>
            <w:r>
              <w:rPr>
                <w:i/>
                <w:sz w:val="17"/>
                <w:szCs w:val="17"/>
              </w:rPr>
              <w:t xml:space="preserve">« La grande majorité des victimes d'avalanche décèdent d'asphyxie rapide »</w:t>
            </w:r>
          </w:p>
        </w:tc>
        <w:tc>
          <w:tcPr>
            <w:tcW w:w="3000" w:type="dxa"/>
            <w:vAlign w:val="top"/>
          </w:tcPr>
          <w:p>
            <w:pPr>
              <w:spacing w:after="40"/>
            </w:pPr>
            <w:r>
              <w:rPr>
                <w:sz w:val="17"/>
                <w:szCs w:val="17"/>
              </w:rPr>
              <w:t xml:space="preserve">L'accord du verbe après « la grande majorité des » est admis au pluriel, mais la phrase répète presque mot pour mot le point 3 et la fenêtre « asphyxie aiguë » (répétition).</w:t>
            </w:r>
          </w:p>
          <w:p>
            <w:pPr>
              <w:spacing w:after="0"/>
            </w:pPr>
            <w:r>
              <w:rPr>
                <w:b/>
                <w:color w:val="145A32"/>
                <w:sz w:val="17"/>
                <w:szCs w:val="17"/>
              </w:rPr>
              <w:t xml:space="preserve">→ Condenser le point 13 en une phrase non redondante, par ex. « Le dégagement des voies aériennes prime, car l'asphyxie tue avant le froid. »</w:t>
            </w:r>
          </w:p>
        </w:tc>
        <w:tc>
          <w:tcPr>
            <w:tcW w:w="1800" w:type="dxa"/>
            <w:vAlign w:val="top"/>
          </w:tcPr>
          <w:p>
            <w:pPr>
              <w:spacing w:after="0"/>
            </w:pPr>
            <w:r>
              <w:rPr>
                <w:sz w:val="17"/>
                <w:szCs w:val="17"/>
              </w:rPr>
              <w:t xml:space="preserve">PROMPT_V6.md (prompt de base, Standard V6)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L8-M30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LOT_8_Appel_A_V6_Ultra_Pedagogique_Plan_et_Liste.html</w:t>
            </w:r>
          </w:p>
        </w:tc>
        <w:tc>
          <w:tcPr>
            <w:tcW w:w="2350" w:type="dxa"/>
            <w:vAlign w:val="top"/>
          </w:tcPr>
          <w:p>
            <w:pPr>
              <w:spacing w:after="0"/>
            </w:pPr>
            <w:r>
              <w:rPr>
                <w:sz w:val="17"/>
                <w:szCs w:val="17"/>
              </w:rPr>
              <w:t xml:space="preserve">Bloc 2 › DX.6</w:t>
            </w:r>
          </w:p>
        </w:tc>
        <w:tc>
          <w:tcPr>
            <w:tcW w:w="2600" w:type="dxa"/>
            <w:vAlign w:val="top"/>
          </w:tcPr>
          <w:p>
            <w:pPr>
              <w:spacing w:after="0"/>
            </w:pPr>
            <w:r>
              <w:rPr>
                <w:i/>
                <w:sz w:val="17"/>
                <w:szCs w:val="17"/>
              </w:rPr>
              <w:t xml:space="preserve">« DX.6 Sepsis sévère / Choc septique à point de départ indéterminé »</w:t>
            </w:r>
          </w:p>
        </w:tc>
        <w:tc>
          <w:tcPr>
            <w:tcW w:w="3000" w:type="dxa"/>
            <w:vAlign w:val="top"/>
          </w:tcPr>
          <w:p>
            <w:pPr>
              <w:spacing w:after="40"/>
            </w:pPr>
            <w:r>
              <w:rPr>
                <w:sz w:val="17"/>
                <w:szCs w:val="17"/>
              </w:rPr>
              <w:t xml:space="preserve">Le terme « sepsis sévère » est abandonné depuis la définition Sepsis-3.</w:t>
            </w:r>
          </w:p>
          <w:p>
            <w:pPr>
              <w:spacing w:after="0"/>
            </w:pPr>
            <w:r>
              <w:rPr>
                <w:b/>
                <w:color w:val="145A32"/>
                <w:sz w:val="17"/>
                <w:szCs w:val="17"/>
              </w:rPr>
              <w:t xml:space="preserve">→ Écrire « Sepsis ou choc septique (définition Sepsis-3) ».</w:t>
            </w:r>
          </w:p>
        </w:tc>
        <w:tc>
          <w:tcPr>
            <w:tcW w:w="1800" w:type="dxa"/>
            <w:vAlign w:val="top"/>
          </w:tcPr>
          <w:p>
            <w:pPr>
              <w:spacing w:after="0"/>
            </w:pPr>
            <w:r>
              <w:rPr>
                <w:sz w:val="17"/>
                <w:szCs w:val="17"/>
              </w:rPr>
              <w:t xml:space="preserve">Singer M, et al. The Third International Consensus Definitions for Sepsis and Septic Shock (Sepsis-3), JAMA 2016;315:801-10 (consensus international reconnu en Europe).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L8-M42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LOT_8_Appel_B_V6_Ultra_Pedagogique_Partie_1_DX.1_a_DX.2.html</w:t>
            </w:r>
          </w:p>
        </w:tc>
        <w:tc>
          <w:tcPr>
            <w:tcW w:w="2350" w:type="dxa"/>
            <w:vAlign w:val="top"/>
          </w:tcPr>
          <w:p>
            <w:pPr>
              <w:spacing w:after="0"/>
            </w:pPr>
            <w:r>
              <w:rPr>
                <w:sz w:val="17"/>
                <w:szCs w:val="17"/>
              </w:rPr>
              <w:t xml:space="preserve">Partie 1 › DX.1 et DX.2 › abréviations</w:t>
            </w:r>
          </w:p>
        </w:tc>
        <w:tc>
          <w:tcPr>
            <w:tcW w:w="2600" w:type="dxa"/>
            <w:vAlign w:val="top"/>
          </w:tcPr>
          <w:p>
            <w:pPr>
              <w:spacing w:after="0"/>
            </w:pPr>
            <w:r>
              <w:rPr>
                <w:i/>
                <w:sz w:val="17"/>
                <w:szCs w:val="17"/>
              </w:rPr>
              <w:t xml:space="preserve">« ECLS (ECMO) »</w:t>
            </w:r>
          </w:p>
        </w:tc>
        <w:tc>
          <w:tcPr>
            <w:tcW w:w="3000" w:type="dxa"/>
            <w:vAlign w:val="top"/>
          </w:tcPr>
          <w:p>
            <w:pPr>
              <w:spacing w:after="40"/>
            </w:pPr>
            <w:r>
              <w:rPr>
                <w:sz w:val="17"/>
                <w:szCs w:val="17"/>
              </w:rPr>
              <w:t xml:space="preserve">Plusieurs abréviations (ECLS, ECMO, RCP, VAS, POCUS, EtCO2, ACR) ne sont pas développées à leur première apparition dans le fichier.</w:t>
            </w:r>
          </w:p>
          <w:p>
            <w:pPr>
              <w:spacing w:after="0"/>
            </w:pPr>
            <w:r>
              <w:rPr>
                <w:b/>
                <w:color w:val="145A32"/>
                <w:sz w:val="17"/>
                <w:szCs w:val="17"/>
              </w:rPr>
              <w:t xml:space="preserve">→ Développer chaque abréviation à sa première occurrence : ECLS (extracorporeal life support, assistance circulatoire extracorporelle), ECMO (oxygénation par membrane extracorporelle), etc.</w:t>
            </w:r>
          </w:p>
        </w:tc>
        <w:tc>
          <w:tcPr>
            <w:tcW w:w="1800" w:type="dxa"/>
            <w:vAlign w:val="top"/>
          </w:tcPr>
          <w:p>
            <w:pPr>
              <w:spacing w:after="0"/>
            </w:pPr>
            <w:r>
              <w:rPr>
                <w:sz w:val="17"/>
                <w:szCs w:val="17"/>
              </w:rPr>
              <w:t xml:space="preserve">PROMPT_V6 § 6.5.</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L'audit médical porte sur le LOT_8 (SSP G8, Hypothermie), qui ne contient que deux fichiers .html conformes à leur clone Drive (tailles et empreintes identiques au manifeste) : l'Appel A (16 Ko) et la Partie 1 de l'Appel B (15 Ko, DX.1 Hypothermie accidentelle et DX.2 Hypothermie d'avalanche). Les Parties 2 à 4 manquent, si bien que huit des dix diagnostics différentiels n'ont aucune monographie ; aucun export Google Docs ni doublon n'a été relevé.</w:t>
      </w:r>
    </w:p>
    <w:p>
      <w:pPr>
        <w:spacing w:after="100"/>
        <w:jc w:val="both"/>
      </w:pPr>
      <w:r>
        <w:rPr>
          <w:sz w:val="19"/>
          <w:szCs w:val="19"/>
        </w:rPr>
        <w:t xml:space="preserve">La méthode a confronté chaque seuil, chaque critère de triage et chaque médicament aux sources primaires lues le 22.10.2026 : ERC 2025 Special Circumstances (Resuscitation 2025;215:110753, texte intégral), système suisse révisé de l'ICAR (Musi 2021), score HOPE (Pasquier 2018 et 2019), recommandations ICAR 2023 sur l'avalanche, données SLF relayées par la SRF, puis compendium.ch et ch.oddb.org pour les spécialités suisses. Chaque extrait a été vérifié par python3 sur le texte visible sans balises.</w:t>
      </w:r>
    </w:p>
    <w:p>
      <w:pPr>
        <w:spacing w:after="100"/>
        <w:jc w:val="both"/>
      </w:pPr>
      <w:r>
        <w:rPr>
          <w:sz w:val="19"/>
          <w:szCs w:val="19"/>
        </w:rPr>
        <w:t xml:space="preserve">Le lot possède des forces réelles : la définition (Tcc &lt; 35 °C), la recherche du pouls pendant une minute, la priorité donnée à la mobilisation douce, le principe « nobody is dead until warm and dead », le seuil HOPE de 10 %, le report de la défibrillation après trois chocs sous 30 °C et l'allongement de l'intervalle d'adrénaline à 6–10 min entre 30 et 35 °C concordent avec l'ERC 2025.</w:t>
      </w:r>
    </w:p>
    <w:p>
      <w:pPr>
        <w:spacing w:after="100"/>
        <w:jc w:val="both"/>
      </w:pPr>
      <w:r>
        <w:rPr>
          <w:sz w:val="19"/>
          <w:szCs w:val="19"/>
        </w:rPr>
        <w:t xml:space="preserve">Les faiblesses majeures tiennent à l'emploi de recommandations périmées : le triage d'avalanche repose sur le seuil de 35 min et une kaliémie de 8 mmol/L, alors que l'ICAR 2023 et l'ERC 2025 retiennent 60 min, le score HOPE et, à défaut, K+ &lt; 7 mmol/L avec Tcc &lt; 30 °C ; l'adrénaline est interdite sous 30 °C, alors que l'ERC 2025 prévoit une dose unique de 1 mg ; la stadification suisse ignore le système révisé fondé sur l'AVPU, et le stade IV porte une température inventée.</w:t>
      </w:r>
    </w:p>
    <w:p>
      <w:pPr>
        <w:spacing w:after="100"/>
        <w:jc w:val="both"/>
      </w:pPr>
      <w:r>
        <w:rPr>
          <w:sz w:val="19"/>
          <w:szCs w:val="19"/>
        </w:rPr>
        <w:t xml:space="preserve">Les indications d'ECLS sont incomplètes : l'arbre décisionnel n'envoie pas vers un centre ECPR les patients aux facteurs de risque d'ACR imminent (FC &lt; 45/min, PAS &lt; 90 mmHg, arythmie ventriculaire, Tcc &lt; 30 °C) et subordonne le transfert à une kaliémie mesurable seulement à l'hôpital. Les médicaments n'ont presque jamais de dose ; Euthyrox® est présenté comme une forme IV alors qu'il s'agit de comprimés, et plusieurs noms de spécialités sont inexacts.</w:t>
      </w:r>
    </w:p>
    <w:p>
      <w:pPr>
        <w:spacing w:after="100"/>
        <w:jc w:val="both"/>
      </w:pPr>
      <w:r>
        <w:rPr>
          <w:sz w:val="19"/>
          <w:szCs w:val="19"/>
        </w:rPr>
        <w:t xml:space="preserve">Les risques pour le patient sont directs : arrêter la réanimation d'une victime d'avalanche extraite à 45 min, ou sur une kaliémie de 8 mmol/L mesurée sur le terrain, ou adresser un HT III instable à un hôpital sans ECLS, peut coûter une vie récupérable. Pour l'étudiant, les seuils périmés, l'onde d'Osborn dite pathognomonique et le « HOPE-Score 2.0 à intelligence artificielle », non retrouvé, préparent à de mauvaises réponses à l'examen fédéral.</w:t>
      </w:r>
    </w:p>
    <w:p>
      <w:pPr>
        <w:spacing w:after="100"/>
        <w:jc w:val="both"/>
      </w:pPr>
      <w:r>
        <w:rPr>
          <w:sz w:val="19"/>
          <w:szCs w:val="19"/>
        </w:rPr>
        <w:t xml:space="preserve">Les priorités de correction sont, dans l'ordre : réécrire l'algorithme d'avalanche et les seuils de kaliémie selon l'ICAR 2023 et l'ERC 2025 ; corriger l'arbre décisionnel et les indications d'ECLS ; mettre à jour la pharmacologie de réanimation, avec doses et spécialités suisses vérifiées ; remplacer les sources génériques par les références primaires ; enfin, compléter la liste DX (hypothermie secondaire du sujet âgé, hypothermie traumatique) et rédiger les Parties 2 à 4.</w:t>
      </w:r>
    </w:p>
    <w:p>
      <w:pPr>
        <w:pStyle w:val="Titre1"/>
        <w:keepNext/>
      </w:pPr>
      <w:r>
        <w:rPr>
          <w:b/>
          <w:color w:val="1A5276"/>
          <w:sz w:val="26"/>
          <w:szCs w:val="26"/>
        </w:rPr>
        <w:t xml:space="preserve">Rapport d'audit linguistique</w:t>
      </w:r>
    </w:p>
    <w:p>
      <w:pPr>
        <w:spacing w:after="100"/>
        <w:jc w:val="both"/>
      </w:pPr>
      <w:r>
        <w:rPr>
          <w:sz w:val="19"/>
          <w:szCs w:val="19"/>
        </w:rPr>
        <w:t xml:space="preserve">Cet audit couvre le LOT_8 (SSP G8, Hypothermie) tel qu'il est cloné depuis Drive : le manifeste ne recense que deux fichiers, l'Appel A (16 199 octets) et la Partie 1 de l'Appel B consacrée au DX.1 et au DX.2 (15 270 octets). Les tailles locales concordent avec celles de Drive. Les Parties 2, 3 et 4 manquent, de sorte que huit des dix diagnostics différentiels n'ont aucune monographie ; trois constats de structure consignent cette absence. Le lot ne contient ni Google Doc exporté, ni doublon, ni document vide.</w:t>
      </w:r>
    </w:p>
    <w:p>
      <w:pPr>
        <w:spacing w:after="100"/>
        <w:jc w:val="both"/>
      </w:pPr>
      <w:r>
        <w:rPr>
          <w:sz w:val="19"/>
          <w:szCs w:val="19"/>
        </w:rPr>
        <w:t xml:space="preserve">L'auditeur a lu le prompt de base V6 en entier, puis il a confronté chaque fichier au format, au plan en 14 points, aux exigences de fenêtres et de tableaux, aux règles de langue et à la typographie française. Il a vérifié les affirmations médicales contestées dans les sources accessibles : les critères avalanche de l'ERC 2021 repris par Knapp et al. (Resuscitation Plus 2025) et la revue sur l'onde d'Osborn (Indian Pacing Electrophysiol J 2004). Le texte primaire de l'ERC 2021 est resté inaccessible (HTTP 403) ; les constats qui manquent de source lue portent la mention « donnée non trouvée dans les sources consultées ». Chaque extrait a été contrôlé par script sur le texte sans balises.</w:t>
      </w:r>
    </w:p>
    <w:p>
      <w:pPr>
        <w:spacing w:after="100"/>
        <w:jc w:val="both"/>
      </w:pPr>
      <w:r>
        <w:rPr>
          <w:sz w:val="19"/>
          <w:szCs w:val="19"/>
        </w:rPr>
        <w:t xml:space="preserve">Les deux fichiers respectent le format .html, se terminent par la balise FIN_FICHIER, enveloppent leurs tableaux, n'emploient aucun title= et portent la mention de non-validation clinique. La Partie 1 est rédigée presque entièrement en phrases verbales et suit les 14 points pour chaque DX. Plusieurs messages essentiels sont justes : la palpation du pouls pendant 60 secondes, la suspension de l'adrénaline sous 30 °C, le maximum de trois chocs avant réchauffement et la lecture alpha-stat des gaz du sang.</w:t>
      </w:r>
    </w:p>
    <w:p>
      <w:pPr>
        <w:spacing w:after="100"/>
        <w:jc w:val="both"/>
      </w:pPr>
      <w:r>
        <w:rPr>
          <w:sz w:val="19"/>
          <w:szCs w:val="19"/>
        </w:rPr>
        <w:t xml:space="preserve">Les faiblesses majeures tiennent à la minceur du contenu : chaque fichier pèse six fois moins que le minimum indicatif, les fenêtres sourcées manquent sur presque tous les termes sémiologiques, aucun examen ne reçoit son tableau d'interprétation complet et la rubrique 11.B omet DCI, doses, spécialités suisses et contre-indications. L'Appel A aligne des phrases nominales systématiques, n'annonce pas le critère d'ordre des DX et omet l'algorithme discriminant. Les sources renvoient à des pages d'accueil et deux d'entre elles paraissent reconstruites.</w:t>
      </w:r>
    </w:p>
    <w:p>
      <w:pPr>
        <w:spacing w:after="100"/>
        <w:jc w:val="both"/>
      </w:pPr>
      <w:r>
        <w:rPr>
          <w:sz w:val="19"/>
          <w:szCs w:val="19"/>
        </w:rPr>
        <w:t xml:space="preserve">Plusieurs données sont fausses, périmées ou inventées : l'onde J d'Osborn présentée comme pathognomonique, une sensibilité de 100 % attribuée à la thermométrie, un « HOPE-Score 2.0 » décrit comme intelligence artificielle, un centre thermorégulateur « bulbaire », des chiffres épidémiologiques sans registre et le seuil d'enfouissement de 35 minutes issu des recommandations de 2015 alors que l'ERC 2021 retient 60 minutes.</w:t>
      </w:r>
    </w:p>
    <w:p>
      <w:pPr>
        <w:spacing w:after="100"/>
        <w:jc w:val="both"/>
      </w:pPr>
      <w:r>
        <w:rPr>
          <w:sz w:val="19"/>
          <w:szCs w:val="19"/>
        </w:rPr>
        <w:t xml:space="preserve">Le risque pour le patient se concentre sur l'arbre décisionnel du DX.2 : il fait arrêter la réanimation d'une victime d'avalanche après 45 minutes d'enfouissement, alors que l'ERC 2021 impose une réanimation standard en dessous de 60 minutes ; ce constat est classé Critique. Pour l'étudiant, les seuils de kaliémie présentés sans leur divergence (8, 7 ou 12 mmol/L) et sans le score HOPE préparent mal aux questions d'examen.</w:t>
      </w:r>
    </w:p>
    <w:p>
      <w:pPr>
        <w:spacing w:after="100"/>
        <w:jc w:val="both"/>
      </w:pPr>
      <w:r>
        <w:rPr>
          <w:sz w:val="19"/>
          <w:szCs w:val="19"/>
        </w:rPr>
        <w:t xml:space="preserve">Les priorités de correction sont, dans l'ordre : corriger l'arbre décisionnel et l'algorithme avalanche selon l'ERC 2021 ; supprimer les données inventées et remplacer les sources par des références exactes ; compléter le Bloc 2 de l'Appel A (critère d'ordre, badges, algorithme) ; réécrire les phrases nominales ; ajouter fenêtres, tableaux d'interprétation et rubriques pharmacologiques complètes ; enfin rédiger et auditer les Parties 2 à 4 manquantes.</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