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xmlns:mc="http://schemas.openxmlformats.org/markup-compatibility/2006" mc:Ignorable="w14">
  <w:body>
    <w:p>
      <w:pPr>
        <w:spacing w:after="60"/>
      </w:pPr>
      <w:r>
        <w:rPr>
          <w:b/>
          <w:color w:val="1A5276"/>
          <w:sz w:val="40"/>
          <w:szCs w:val="40"/>
        </w:rPr>
        <w:t xml:space="preserve">LOT 2 — Tuméfaction et adénopathie (SSP G2)</w:t>
      </w:r>
    </w:p>
    <w:p>
      <w:pPr>
        <w:spacing w:after="60"/>
      </w:pPr>
      <w:r>
        <w:rPr>
          <w:i/>
          <w:color w:val="5D6D7E"/>
          <w:sz w:val="24"/>
          <w:szCs w:val="24"/>
        </w:rPr>
        <w:t xml:space="preserve">Liste des problèmes à corriger — audit médical, linguistique et conformité au prompt de base</w:t>
      </w:r>
    </w:p>
    <w:p>
      <w:pPr>
        <w:spacing w:after="200"/>
      </w:pPr>
      <w:r>
        <w:rPr>
          <w:color w:val="5D6D7E"/>
          <w:sz w:val="18"/>
          <w:szCs w:val="18"/>
        </w:rPr>
        <w:t xml:space="preserve">Audit du 2026-10-22 · Claude — audits médical et linguistique indépendants</w:t>
      </w:r>
    </w:p>
    <w:p>
      <w:pPr>
        <w:pStyle w:val="Titre1"/>
        <w:keepNext/>
      </w:pPr>
      <w:r>
        <w:rPr>
          <w:b/>
          <w:color w:val="1A5276"/>
          <w:sz w:val="26"/>
          <w:szCs w:val="26"/>
        </w:rPr>
        <w:t xml:space="preserve">Mode d'emploi</w:t>
      </w:r>
    </w:p>
    <w:p>
      <w:pPr>
        <w:spacing w:after="40"/>
      </w:pPr>
      <w:r>
        <w:rPr>
          <w:sz w:val="19"/>
          <w:szCs w:val="19"/>
        </w:rPr>
        <w:t xml:space="preserve">• Chaque ligne décrit un problème et son emplacement exact. Le correcteur n'a pas besoin de relire le lot entier.</w:t>
      </w:r>
    </w:p>
    <w:p>
      <w:pPr>
        <w:spacing w:after="40"/>
      </w:pPr>
      <w:r>
        <w:rPr>
          <w:sz w:val="19"/>
          <w:szCs w:val="19"/>
        </w:rPr>
        <w:t xml:space="preserve">• L'emplacement suit le chemin Fichier › Bloc › point › fenêtre. L'extrait cite le texte fautif mot pour mot : une recherche Ctrl+F le retrouve.</w:t>
      </w:r>
    </w:p>
    <w:p>
      <w:pPr>
        <w:spacing w:after="40"/>
      </w:pPr>
      <w:r>
        <w:rPr>
          <w:sz w:val="19"/>
          <w:szCs w:val="19"/>
        </w:rPr>
        <w:t xml:space="preserve">• Le correcteur applique la correction, puis il clique sur la case : elle se coche en rouge (☒).</w:t>
      </w:r>
    </w:p>
    <w:p>
      <w:pPr>
        <w:spacing w:after="40"/>
      </w:pPr>
      <w:r>
        <w:rPr>
          <w:sz w:val="19"/>
          <w:szCs w:val="19"/>
        </w:rPr>
        <w:t xml:space="preserve">• L'auditeur suivant contrôle chaque case cochée avant de valider le lot.</w:t>
      </w:r>
    </w:p>
    <w:p>
      <w:pPr>
        <w:pStyle w:val="Titre1"/>
        <w:keepNext/>
      </w:pPr>
      <w:r>
        <w:rPr>
          <w:b/>
          <w:color w:val="1A5276"/>
          <w:sz w:val="26"/>
          <w:szCs w:val="26"/>
        </w:rPr>
        <w:t xml:space="preserve">Synthèse</w:t>
      </w:r>
    </w:p>
    <w:tbl>
      <w:tblPr>
        <w:tblW w:w="144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1800"/>
        <w:gridCol w:w="1100"/>
        <w:gridCol w:w="11500"/>
      </w:tblGrid>
      <w:tr>
        <w:trPr>
          <w:tblHeader/>
          <w:cantSplit/>
        </w:trPr>
        <w:tc>
          <w:tcPr>
            <w:tcW w:w="1800" w:type="dxa"/>
            <w:shd w:val="clear" w:color="auto" w:fill="1A5276"/>
            <w:vAlign w:val="top"/>
          </w:tcPr>
          <w:p>
            <w:pPr>
              <w:spacing w:after="0"/>
            </w:pPr>
            <w:r>
              <w:rPr>
                <w:b/>
                <w:color w:val="FFFFFF"/>
                <w:sz w:val="17"/>
                <w:szCs w:val="17"/>
              </w:rPr>
              <w:t xml:space="preserve">Gravité</w:t>
            </w:r>
          </w:p>
        </w:tc>
        <w:tc>
          <w:tcPr>
            <w:tcW w:w="1100" w:type="dxa"/>
            <w:shd w:val="clear" w:color="auto" w:fill="1A5276"/>
            <w:vAlign w:val="top"/>
          </w:tcPr>
          <w:p>
            <w:pPr>
              <w:spacing w:after="0"/>
            </w:pPr>
            <w:r>
              <w:rPr>
                <w:b/>
                <w:color w:val="FFFFFF"/>
                <w:sz w:val="17"/>
                <w:szCs w:val="17"/>
              </w:rPr>
              <w:t xml:space="preserve">Nombre</w:t>
            </w:r>
          </w:p>
        </w:tc>
        <w:tc>
          <w:tcPr>
            <w:tcW w:w="11500" w:type="dxa"/>
            <w:shd w:val="clear" w:color="auto" w:fill="1A5276"/>
            <w:vAlign w:val="top"/>
          </w:tcPr>
          <w:p>
            <w:pPr>
              <w:spacing w:after="0"/>
            </w:pPr>
            <w:r>
              <w:rPr>
                <w:b/>
                <w:color w:val="FFFFFF"/>
                <w:sz w:val="17"/>
                <w:szCs w:val="17"/>
              </w:rPr>
              <w:t xml:space="preserve">Définition</w:t>
            </w:r>
          </w:p>
        </w:tc>
      </w:tr>
      <w:tr>
        <w:trPr>
          <w:cantSplit/>
        </w:trPr>
        <w:tc>
          <w:tcPr>
            <w:tcW w:w="1800" w:type="dxa"/>
            <w:shd w:val="clear" w:color="auto" w:fill="FADBD8"/>
            <w:vAlign w:val="top"/>
          </w:tcPr>
          <w:p>
            <w:pPr>
              <w:spacing w:after="0"/>
            </w:pPr>
            <w:r>
              <w:rPr>
                <w:sz w:val="17"/>
                <w:szCs w:val="17"/>
              </w:rPr>
              <w:t xml:space="preserve">Critique</w:t>
            </w:r>
          </w:p>
        </w:tc>
        <w:tc>
          <w:tcPr>
            <w:tcW w:w="1100" w:type="dxa"/>
            <w:shd w:val="clear" w:color="auto" w:fill="FADBD8"/>
            <w:vAlign w:val="top"/>
          </w:tcPr>
          <w:p>
            <w:pPr>
              <w:spacing w:after="0"/>
            </w:pPr>
            <w:r>
              <w:rPr>
                <w:sz w:val="17"/>
                <w:szCs w:val="17"/>
              </w:rPr>
              <w:t xml:space="preserve">2</w:t>
            </w:r>
          </w:p>
        </w:tc>
        <w:tc>
          <w:tcPr>
            <w:tcW w:w="11500" w:type="dxa"/>
            <w:shd w:val="clear" w:color="auto" w:fill="FADBD8"/>
            <w:vAlign w:val="top"/>
          </w:tcPr>
          <w:p>
            <w:pPr>
              <w:spacing w:after="0"/>
            </w:pPr>
            <w:r>
              <w:rPr>
                <w:sz w:val="17"/>
                <w:szCs w:val="17"/>
              </w:rPr>
              <w:t xml:space="preserve">L'erreur peut nuire à un patient (dose, contre-indication, conduite dangereuse). Correction immédiate.</w:t>
            </w:r>
          </w:p>
        </w:tc>
      </w:tr>
      <w:tr>
        <w:trPr>
          <w:cantSplit/>
        </w:trPr>
        <w:tc>
          <w:tcPr>
            <w:tcW w:w="1800" w:type="dxa"/>
            <w:shd w:val="clear" w:color="auto" w:fill="FDEBD0"/>
            <w:vAlign w:val="top"/>
          </w:tcPr>
          <w:p>
            <w:pPr>
              <w:spacing w:after="0"/>
            </w:pPr>
            <w:r>
              <w:rPr>
                <w:sz w:val="17"/>
                <w:szCs w:val="17"/>
              </w:rPr>
              <w:t xml:space="preserve">Grave</w:t>
            </w:r>
          </w:p>
        </w:tc>
        <w:tc>
          <w:tcPr>
            <w:tcW w:w="1100" w:type="dxa"/>
            <w:shd w:val="clear" w:color="auto" w:fill="FDEBD0"/>
            <w:vAlign w:val="top"/>
          </w:tcPr>
          <w:p>
            <w:pPr>
              <w:spacing w:after="0"/>
            </w:pPr>
            <w:r>
              <w:rPr>
                <w:sz w:val="17"/>
                <w:szCs w:val="17"/>
              </w:rPr>
              <w:t xml:space="preserve">31</w:t>
            </w:r>
          </w:p>
        </w:tc>
        <w:tc>
          <w:tcPr>
            <w:tcW w:w="11500" w:type="dxa"/>
            <w:shd w:val="clear" w:color="auto" w:fill="FDEBD0"/>
            <w:vAlign w:val="top"/>
          </w:tcPr>
          <w:p>
            <w:pPr>
              <w:spacing w:after="0"/>
            </w:pPr>
            <w:r>
              <w:rPr>
                <w:sz w:val="17"/>
                <w:szCs w:val="17"/>
              </w:rPr>
              <w:t xml:space="preserve">Le contenu est faux, non sourcé ou viole une règle absolue du prompt de base.</w:t>
            </w:r>
          </w:p>
        </w:tc>
      </w:tr>
      <w:tr>
        <w:trPr>
          <w:cantSplit/>
        </w:trPr>
        <w:tc>
          <w:tcPr>
            <w:tcW w:w="1800" w:type="dxa"/>
            <w:shd w:val="clear" w:color="auto" w:fill="FEF9E7"/>
            <w:vAlign w:val="top"/>
          </w:tcPr>
          <w:p>
            <w:pPr>
              <w:spacing w:after="0"/>
            </w:pPr>
            <w:r>
              <w:rPr>
                <w:sz w:val="17"/>
                <w:szCs w:val="17"/>
              </w:rPr>
              <w:t xml:space="preserve">Moyen</w:t>
            </w:r>
          </w:p>
        </w:tc>
        <w:tc>
          <w:tcPr>
            <w:tcW w:w="1100" w:type="dxa"/>
            <w:shd w:val="clear" w:color="auto" w:fill="FEF9E7"/>
            <w:vAlign w:val="top"/>
          </w:tcPr>
          <w:p>
            <w:pPr>
              <w:spacing w:after="0"/>
            </w:pPr>
            <w:r>
              <w:rPr>
                <w:sz w:val="17"/>
                <w:szCs w:val="17"/>
              </w:rPr>
              <w:t xml:space="preserve">47</w:t>
            </w:r>
          </w:p>
        </w:tc>
        <w:tc>
          <w:tcPr>
            <w:tcW w:w="11500" w:type="dxa"/>
            <w:shd w:val="clear" w:color="auto" w:fill="FEF9E7"/>
            <w:vAlign w:val="top"/>
          </w:tcPr>
          <w:p>
            <w:pPr>
              <w:spacing w:after="0"/>
            </w:pPr>
            <w:r>
              <w:rPr>
                <w:sz w:val="17"/>
                <w:szCs w:val="17"/>
              </w:rPr>
              <w:t xml:space="preserve">Le contenu est incomplet, imprécis ou mal structuré ; la pédagogie en souffre.</w:t>
            </w:r>
          </w:p>
        </w:tc>
      </w:tr>
      <w:tr>
        <w:trPr>
          <w:cantSplit/>
        </w:trPr>
        <w:tc>
          <w:tcPr>
            <w:tcW w:w="1800" w:type="dxa"/>
            <w:shd w:val="clear" w:color="auto" w:fill="EBF5FB"/>
            <w:vAlign w:val="top"/>
          </w:tcPr>
          <w:p>
            <w:pPr>
              <w:spacing w:after="0"/>
            </w:pPr>
            <w:r>
              <w:rPr>
                <w:sz w:val="17"/>
                <w:szCs w:val="17"/>
              </w:rPr>
              <w:t xml:space="preserve">Léger</w:t>
            </w:r>
          </w:p>
        </w:tc>
        <w:tc>
          <w:tcPr>
            <w:tcW w:w="1100" w:type="dxa"/>
            <w:shd w:val="clear" w:color="auto" w:fill="EBF5FB"/>
            <w:vAlign w:val="top"/>
          </w:tcPr>
          <w:p>
            <w:pPr>
              <w:spacing w:after="0"/>
            </w:pPr>
            <w:r>
              <w:rPr>
                <w:sz w:val="17"/>
                <w:szCs w:val="17"/>
              </w:rPr>
              <w:t xml:space="preserve">23</w:t>
            </w:r>
          </w:p>
        </w:tc>
        <w:tc>
          <w:tcPr>
            <w:tcW w:w="11500" w:type="dxa"/>
            <w:shd w:val="clear" w:color="auto" w:fill="EBF5FB"/>
            <w:vAlign w:val="top"/>
          </w:tcPr>
          <w:p>
            <w:pPr>
              <w:spacing w:after="0"/>
            </w:pPr>
            <w:r>
              <w:rPr>
                <w:sz w:val="17"/>
                <w:szCs w:val="17"/>
              </w:rPr>
              <w:t xml:space="preserve">Faute de langue, de typographie ou de mise en forme sans conséquence sur le fond.</w:t>
            </w:r>
          </w:p>
        </w:tc>
      </w:tr>
      <w:tr>
        <w:trPr>
          <w:cantSplit/>
        </w:trPr>
        <w:tc>
          <w:tcPr>
            <w:tcW w:w="1800" w:type="dxa"/>
            <w:shd w:val="clear" w:color="auto" w:fill="EAECEE"/>
            <w:vAlign w:val="top"/>
          </w:tcPr>
          <w:p>
            <w:pPr>
              <w:spacing w:after="0"/>
            </w:pPr>
            <w:r>
              <w:rPr>
                <w:sz w:val="17"/>
                <w:szCs w:val="17"/>
              </w:rPr>
              <w:t xml:space="preserve">Total</w:t>
            </w:r>
          </w:p>
        </w:tc>
        <w:tc>
          <w:tcPr>
            <w:tcW w:w="1100" w:type="dxa"/>
            <w:shd w:val="clear" w:color="auto" w:fill="EAECEE"/>
            <w:vAlign w:val="top"/>
          </w:tcPr>
          <w:p>
            <w:pPr>
              <w:spacing w:after="0"/>
            </w:pPr>
            <w:r>
              <w:rPr>
                <w:sz w:val="17"/>
                <w:szCs w:val="17"/>
              </w:rPr>
              <w:t xml:space="preserve">103</w:t>
            </w:r>
          </w:p>
        </w:tc>
        <w:tc>
          <w:tcPr>
            <w:tcW w:w="11500" w:type="dxa"/>
            <w:shd w:val="clear" w:color="auto" w:fill="EAECEE"/>
            <w:vAlign w:val="top"/>
          </w:tcPr>
          <w:p>
            <w:pPr>
              <w:spacing w:after="0"/>
            </w:pPr>
            <w:r>
              <w:rPr>
                <w:sz w:val="17"/>
                <w:szCs w:val="17"/>
              </w:rPr>
              <w:t xml:space="preserve"/>
            </w:r>
          </w:p>
        </w:tc>
      </w:tr>
    </w:tbl>
    <w:p>
      <w:pPr>
        <w:spacing w:after="120"/>
      </w:pPr>
    </w:p>
    <w:p>
      <w:pPr>
        <w:spacing w:after="40"/>
      </w:pPr>
      <w:r>
        <w:rPr>
          <w:sz w:val="17"/>
          <w:szCs w:val="17"/>
        </w:rPr>
        <w:t xml:space="preserve">Le LOT_2 compte 39 constats médicaux : 1 Critique (cotrimoxazole à dose prophylactique présenté comme traitement de la pneumocystose), 13 Graves, 20 Moyens et 5 Légers.</w:t>
      </w:r>
    </w:p>
    <w:p>
      <w:pPr>
        <w:spacing w:after="40"/>
      </w:pPr>
      <w:r>
        <w:rPr>
          <w:sz w:val="17"/>
          <w:szCs w:val="17"/>
        </w:rPr>
        <w:t xml:space="preserve">La V4 est riche et le plus souvent exacte, mais elle n'est pas sourcée et contient des fréquences inventées ainsi que des erreurs de spécialités ; la V6 est sûre dans ses formulations mais vidée de son contenu et contaminée par un autre SSP.</w:t>
      </w:r>
    </w:p>
    <w:p>
      <w:pPr>
        <w:spacing w:after="40"/>
      </w:pPr>
      <w:r>
        <w:rPr>
          <w:sz w:val="17"/>
          <w:szCs w:val="17"/>
        </w:rPr>
        <w:t xml:space="preserve">Le clone de l'Appel A est textuellement identique au Google Doc original ; aucune fenêtre réelle n'existe ni dans le clone ni dans Drive.</w:t>
      </w:r>
    </w:p>
    <w:p>
      <w:pPr>
        <w:spacing w:after="40"/>
      </w:pPr>
      <w:r>
        <w:rPr>
          <w:sz w:val="17"/>
          <w:szCs w:val="17"/>
        </w:rPr>
        <w:t xml:space="preserve">Le LOT_2 compte 64 constats : 1 Critique, 18 Graves, 27 Moyens et 18 Légers.</w:t>
      </w:r>
    </w:p>
    <w:p>
      <w:pPr>
        <w:spacing w:after="40"/>
      </w:pPr>
      <w:r>
        <w:rPr>
          <w:sz w:val="17"/>
          <w:szCs w:val="17"/>
        </w:rPr>
        <w:t xml:space="preserve">Aucun fichier n'est conforme au prompt V6 : cinq fichiers sont des Google Docs et la V6 HTML est appauvrie, sans sources ni fenêtres sur les termes.</w:t>
      </w:r>
    </w:p>
    <w:p>
      <w:pPr>
        <w:spacing w:after="40"/>
      </w:pPr>
      <w:r>
        <w:rPr>
          <w:sz w:val="17"/>
          <w:szCs w:val="17"/>
        </w:rPr>
        <w:t xml:space="preserve">La correction doit commencer par le piège du cotrimoxazole et la spécialité Spiricort®, puis par la régénération HTML des cinq fichiers.</w:t>
      </w:r>
    </w:p>
    <w:p>
      <w:pPr>
        <w:pStyle w:val="Titre1"/>
        <w:keepNext/>
      </w:pPr>
      <w:r>
        <w:rPr>
          <w:b/>
          <w:color w:val="1A5276"/>
          <w:sz w:val="26"/>
          <w:szCs w:val="26"/>
        </w:rPr>
        <w:t xml:space="preserve">Fichiers audités</w:t>
      </w:r>
    </w:p>
    <w:tbl>
      <w:tblPr>
        <w:tblW w:w="144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6400"/>
        <w:gridCol w:w="4600"/>
        <w:gridCol w:w="1500"/>
        <w:gridCol w:w="1900"/>
      </w:tblGrid>
      <w:tr>
        <w:trPr>
          <w:tblHeader/>
          <w:cantSplit/>
        </w:trPr>
        <w:tc>
          <w:tcPr>
            <w:tcW w:w="6400" w:type="dxa"/>
            <w:shd w:val="clear" w:color="auto" w:fill="1A5276"/>
            <w:vAlign w:val="top"/>
          </w:tcPr>
          <w:p>
            <w:pPr>
              <w:spacing w:after="0"/>
            </w:pPr>
            <w:r>
              <w:rPr>
                <w:b/>
                <w:color w:val="FFFFFF"/>
                <w:sz w:val="17"/>
                <w:szCs w:val="17"/>
              </w:rPr>
              <w:t xml:space="preserve">Fichier</w:t>
            </w:r>
          </w:p>
        </w:tc>
        <w:tc>
          <w:tcPr>
            <w:tcW w:w="4600" w:type="dxa"/>
            <w:shd w:val="clear" w:color="auto" w:fill="1A5276"/>
            <w:vAlign w:val="top"/>
          </w:tcPr>
          <w:p>
            <w:pPr>
              <w:spacing w:after="0"/>
            </w:pPr>
            <w:r>
              <w:rPr>
                <w:b/>
                <w:color w:val="FFFFFF"/>
                <w:sz w:val="17"/>
                <w:szCs w:val="17"/>
              </w:rPr>
              <w:t xml:space="preserve">Identifiant Drive</w:t>
            </w:r>
          </w:p>
        </w:tc>
        <w:tc>
          <w:tcPr>
            <w:tcW w:w="1500" w:type="dxa"/>
            <w:shd w:val="clear" w:color="auto" w:fill="1A5276"/>
            <w:vAlign w:val="top"/>
          </w:tcPr>
          <w:p>
            <w:pPr>
              <w:spacing w:after="0"/>
            </w:pPr>
            <w:r>
              <w:rPr>
                <w:b/>
                <w:color w:val="FFFFFF"/>
                <w:sz w:val="17"/>
                <w:szCs w:val="17"/>
              </w:rPr>
              <w:t xml:space="preserve">Taille (octets)</w:t>
            </w:r>
          </w:p>
        </w:tc>
        <w:tc>
          <w:tcPr>
            <w:tcW w:w="1900" w:type="dxa"/>
            <w:shd w:val="clear" w:color="auto" w:fill="1A5276"/>
            <w:vAlign w:val="top"/>
          </w:tcPr>
          <w:p>
            <w:pPr>
              <w:spacing w:after="0"/>
            </w:pPr>
            <w:r>
              <w:rPr>
                <w:b/>
                <w:color w:val="FFFFFF"/>
                <w:sz w:val="17"/>
                <w:szCs w:val="17"/>
              </w:rPr>
              <w:t xml:space="preserve">Statut</w:t>
            </w:r>
          </w:p>
        </w:tc>
      </w:tr>
      <w:tr>
        <w:trPr>
          <w:cantSplit/>
        </w:trPr>
        <w:tc>
          <w:tcPr>
            <w:tcW w:w="6400" w:type="dxa"/>
            <w:vAlign w:val="top"/>
          </w:tcPr>
          <w:p>
            <w:pPr>
              <w:spacing w:after="0"/>
            </w:pPr>
            <w:r>
              <w:rPr>
                <w:sz w:val="17"/>
                <w:szCs w:val="17"/>
              </w:rPr>
              <w:t xml:space="preserve">LOT_2_Appel_A_Plan_et_Liste_Fédéral__export_GoogleDoc.html</w:t>
            </w:r>
          </w:p>
        </w:tc>
        <w:tc>
          <w:tcPr>
            <w:tcW w:w="4600" w:type="dxa"/>
            <w:vAlign w:val="top"/>
          </w:tcPr>
          <w:p>
            <w:pPr>
              <w:spacing w:after="0"/>
            </w:pPr>
            <w:r>
              <w:rPr>
                <w:sz w:val="17"/>
                <w:szCs w:val="17"/>
              </w:rPr>
              <w:t xml:space="preserve">142KylYBj8p1Q8HSGQBT5sC4fq9sv_AsdbNun1BK3L9g</w:t>
            </w:r>
          </w:p>
        </w:tc>
        <w:tc>
          <w:tcPr>
            <w:tcW w:w="1500" w:type="dxa"/>
            <w:vAlign w:val="top"/>
          </w:tcPr>
          <w:p>
            <w:pPr>
              <w:spacing w:after="0"/>
            </w:pPr>
            <w:r>
              <w:rPr>
                <w:sz w:val="17"/>
                <w:szCs w:val="17"/>
              </w:rPr>
              <w:t xml:space="preserve">36920</w:t>
            </w:r>
          </w:p>
        </w:tc>
        <w:tc>
          <w:tcPr>
            <w:tcW w:w="1900" w:type="dxa"/>
            <w:vAlign w:val="top"/>
          </w:tcPr>
          <w:p>
            <w:pPr>
              <w:spacing w:after="0"/>
            </w:pPr>
            <w:r>
              <w:rPr>
                <w:sz w:val="17"/>
                <w:szCs w:val="17"/>
              </w:rPr>
              <w:t xml:space="preserve">export Google Doc</w:t>
            </w:r>
          </w:p>
        </w:tc>
      </w:tr>
      <w:tr>
        <w:trPr>
          <w:cantSplit/>
        </w:trPr>
        <w:tc>
          <w:tcPr>
            <w:tcW w:w="6400" w:type="dxa"/>
            <w:vAlign w:val="top"/>
          </w:tcPr>
          <w:p>
            <w:pPr>
              <w:spacing w:after="0"/>
            </w:pPr>
            <w:r>
              <w:rPr>
                <w:sz w:val="17"/>
                <w:szCs w:val="17"/>
              </w:rPr>
              <w:t xml:space="preserve">LOT_2_Appel_B_V4_Argon_Partie_1_D2.1_a_D2.2__export_GoogleDoc.html</w:t>
            </w:r>
          </w:p>
        </w:tc>
        <w:tc>
          <w:tcPr>
            <w:tcW w:w="4600" w:type="dxa"/>
            <w:vAlign w:val="top"/>
          </w:tcPr>
          <w:p>
            <w:pPr>
              <w:spacing w:after="0"/>
            </w:pPr>
            <w:r>
              <w:rPr>
                <w:sz w:val="17"/>
                <w:szCs w:val="17"/>
              </w:rPr>
              <w:t xml:space="preserve">1WJToQvwGHJGA7eftPLq0S3OmZ4YZ5MO2tzNqZeoBUZw</w:t>
            </w:r>
          </w:p>
        </w:tc>
        <w:tc>
          <w:tcPr>
            <w:tcW w:w="1500" w:type="dxa"/>
            <w:vAlign w:val="top"/>
          </w:tcPr>
          <w:p>
            <w:pPr>
              <w:spacing w:after="0"/>
            </w:pPr>
            <w:r>
              <w:rPr>
                <w:sz w:val="17"/>
                <w:szCs w:val="17"/>
              </w:rPr>
              <w:t xml:space="preserve">50699</w:t>
            </w:r>
          </w:p>
        </w:tc>
        <w:tc>
          <w:tcPr>
            <w:tcW w:w="1900" w:type="dxa"/>
            <w:vAlign w:val="top"/>
          </w:tcPr>
          <w:p>
            <w:pPr>
              <w:spacing w:after="0"/>
            </w:pPr>
            <w:r>
              <w:rPr>
                <w:sz w:val="17"/>
                <w:szCs w:val="17"/>
              </w:rPr>
              <w:t xml:space="preserve">export Google Doc</w:t>
            </w:r>
          </w:p>
        </w:tc>
      </w:tr>
      <w:tr>
        <w:trPr>
          <w:cantSplit/>
        </w:trPr>
        <w:tc>
          <w:tcPr>
            <w:tcW w:w="6400" w:type="dxa"/>
            <w:vAlign w:val="top"/>
          </w:tcPr>
          <w:p>
            <w:pPr>
              <w:spacing w:after="0"/>
            </w:pPr>
            <w:r>
              <w:rPr>
                <w:sz w:val="17"/>
                <w:szCs w:val="17"/>
              </w:rPr>
              <w:t xml:space="preserve">LOT_2_Appel_B_V4_Argon_Partie_2_D2.3_a_D2.5__export_GoogleDoc.html</w:t>
            </w:r>
          </w:p>
        </w:tc>
        <w:tc>
          <w:tcPr>
            <w:tcW w:w="4600" w:type="dxa"/>
            <w:vAlign w:val="top"/>
          </w:tcPr>
          <w:p>
            <w:pPr>
              <w:spacing w:after="0"/>
            </w:pPr>
            <w:r>
              <w:rPr>
                <w:sz w:val="17"/>
                <w:szCs w:val="17"/>
              </w:rPr>
              <w:t xml:space="preserve">1FRhLc6WSJA1eMBedHCwT_lZmI4LdZYt-vrrmnwsZeRA</w:t>
            </w:r>
          </w:p>
        </w:tc>
        <w:tc>
          <w:tcPr>
            <w:tcW w:w="1500" w:type="dxa"/>
            <w:vAlign w:val="top"/>
          </w:tcPr>
          <w:p>
            <w:pPr>
              <w:spacing w:after="0"/>
            </w:pPr>
            <w:r>
              <w:rPr>
                <w:sz w:val="17"/>
                <w:szCs w:val="17"/>
              </w:rPr>
              <w:t xml:space="preserve">83011</w:t>
            </w:r>
          </w:p>
        </w:tc>
        <w:tc>
          <w:tcPr>
            <w:tcW w:w="1900" w:type="dxa"/>
            <w:vAlign w:val="top"/>
          </w:tcPr>
          <w:p>
            <w:pPr>
              <w:spacing w:after="0"/>
            </w:pPr>
            <w:r>
              <w:rPr>
                <w:sz w:val="17"/>
                <w:szCs w:val="17"/>
              </w:rPr>
              <w:t xml:space="preserve">export Google Doc</w:t>
            </w:r>
          </w:p>
        </w:tc>
      </w:tr>
      <w:tr>
        <w:trPr>
          <w:cantSplit/>
        </w:trPr>
        <w:tc>
          <w:tcPr>
            <w:tcW w:w="6400" w:type="dxa"/>
            <w:vAlign w:val="top"/>
          </w:tcPr>
          <w:p>
            <w:pPr>
              <w:spacing w:after="0"/>
            </w:pPr>
            <w:r>
              <w:rPr>
                <w:sz w:val="17"/>
                <w:szCs w:val="17"/>
              </w:rPr>
              <w:t xml:space="preserve">LOT_2_Appel_B_V4_Argon_Partie_3_D2.6_a_D2.7__export_GoogleDoc.html</w:t>
            </w:r>
          </w:p>
        </w:tc>
        <w:tc>
          <w:tcPr>
            <w:tcW w:w="4600" w:type="dxa"/>
            <w:vAlign w:val="top"/>
          </w:tcPr>
          <w:p>
            <w:pPr>
              <w:spacing w:after="0"/>
            </w:pPr>
            <w:r>
              <w:rPr>
                <w:sz w:val="17"/>
                <w:szCs w:val="17"/>
              </w:rPr>
              <w:t xml:space="preserve">1AnWu76RyjX6coks2H_gkWLIAph53rmLSuBaaELmztuE</w:t>
            </w:r>
          </w:p>
        </w:tc>
        <w:tc>
          <w:tcPr>
            <w:tcW w:w="1500" w:type="dxa"/>
            <w:vAlign w:val="top"/>
          </w:tcPr>
          <w:p>
            <w:pPr>
              <w:spacing w:after="0"/>
            </w:pPr>
            <w:r>
              <w:rPr>
                <w:sz w:val="17"/>
                <w:szCs w:val="17"/>
              </w:rPr>
              <w:t xml:space="preserve">58523</w:t>
            </w:r>
          </w:p>
        </w:tc>
        <w:tc>
          <w:tcPr>
            <w:tcW w:w="1900" w:type="dxa"/>
            <w:vAlign w:val="top"/>
          </w:tcPr>
          <w:p>
            <w:pPr>
              <w:spacing w:after="0"/>
            </w:pPr>
            <w:r>
              <w:rPr>
                <w:sz w:val="17"/>
                <w:szCs w:val="17"/>
              </w:rPr>
              <w:t xml:space="preserve">export Google Doc</w:t>
            </w:r>
          </w:p>
        </w:tc>
      </w:tr>
      <w:tr>
        <w:trPr>
          <w:cantSplit/>
        </w:trPr>
        <w:tc>
          <w:tcPr>
            <w:tcW w:w="6400" w:type="dxa"/>
            <w:vAlign w:val="top"/>
          </w:tcPr>
          <w:p>
            <w:pPr>
              <w:spacing w:after="0"/>
            </w:pPr>
            <w:r>
              <w:rPr>
                <w:sz w:val="17"/>
                <w:szCs w:val="17"/>
              </w:rPr>
              <w:t xml:space="preserve">LOT_2_Appel_B_V4_Argon_Partie_4_D2.8_a_D2.10__export_GoogleDoc.html</w:t>
            </w:r>
          </w:p>
        </w:tc>
        <w:tc>
          <w:tcPr>
            <w:tcW w:w="4600" w:type="dxa"/>
            <w:vAlign w:val="top"/>
          </w:tcPr>
          <w:p>
            <w:pPr>
              <w:spacing w:after="0"/>
            </w:pPr>
            <w:r>
              <w:rPr>
                <w:sz w:val="17"/>
                <w:szCs w:val="17"/>
              </w:rPr>
              <w:t xml:space="preserve">1znA_ZLs3-Y8QlvuSBWINCIdT_YlbmL7QvIwjqasufQ0</w:t>
            </w:r>
          </w:p>
        </w:tc>
        <w:tc>
          <w:tcPr>
            <w:tcW w:w="1500" w:type="dxa"/>
            <w:vAlign w:val="top"/>
          </w:tcPr>
          <w:p>
            <w:pPr>
              <w:spacing w:after="0"/>
            </w:pPr>
            <w:r>
              <w:rPr>
                <w:sz w:val="17"/>
                <w:szCs w:val="17"/>
              </w:rPr>
              <w:t xml:space="preserve">91385</w:t>
            </w:r>
          </w:p>
        </w:tc>
        <w:tc>
          <w:tcPr>
            <w:tcW w:w="1900" w:type="dxa"/>
            <w:vAlign w:val="top"/>
          </w:tcPr>
          <w:p>
            <w:pPr>
              <w:spacing w:after="0"/>
            </w:pPr>
            <w:r>
              <w:rPr>
                <w:sz w:val="17"/>
                <w:szCs w:val="17"/>
              </w:rPr>
              <w:t xml:space="preserve">export Google Doc</w:t>
            </w:r>
          </w:p>
        </w:tc>
      </w:tr>
      <w:tr>
        <w:trPr>
          <w:cantSplit/>
        </w:trPr>
        <w:tc>
          <w:tcPr>
            <w:tcW w:w="6400" w:type="dxa"/>
            <w:vAlign w:val="top"/>
          </w:tcPr>
          <w:p>
            <w:pPr>
              <w:spacing w:after="0"/>
            </w:pPr>
            <w:r>
              <w:rPr>
                <w:sz w:val="17"/>
                <w:szCs w:val="17"/>
              </w:rPr>
              <w:t xml:space="preserve">LOT_2_V6_Enrichi_8plus_Partie_1_Integral.html</w:t>
            </w:r>
          </w:p>
        </w:tc>
        <w:tc>
          <w:tcPr>
            <w:tcW w:w="4600" w:type="dxa"/>
            <w:vAlign w:val="top"/>
          </w:tcPr>
          <w:p>
            <w:pPr>
              <w:spacing w:after="0"/>
            </w:pPr>
            <w:r>
              <w:rPr>
                <w:sz w:val="17"/>
                <w:szCs w:val="17"/>
              </w:rPr>
              <w:t xml:space="preserve">1PB8QFMU6urJLwTefjVw6vZ7yl4uUr0nk</w:t>
            </w:r>
          </w:p>
        </w:tc>
        <w:tc>
          <w:tcPr>
            <w:tcW w:w="1500" w:type="dxa"/>
            <w:vAlign w:val="top"/>
          </w:tcPr>
          <w:p>
            <w:pPr>
              <w:spacing w:after="0"/>
            </w:pPr>
            <w:r>
              <w:rPr>
                <w:sz w:val="17"/>
                <w:szCs w:val="17"/>
              </w:rPr>
              <w:t xml:space="preserve">80818</w:t>
            </w:r>
          </w:p>
        </w:tc>
        <w:tc>
          <w:tcPr>
            <w:tcW w:w="1900" w:type="dxa"/>
            <w:vAlign w:val="top"/>
          </w:tcPr>
          <w:p>
            <w:pPr>
              <w:spacing w:after="0"/>
            </w:pPr>
            <w:r>
              <w:rPr>
                <w:sz w:val="17"/>
                <w:szCs w:val="17"/>
              </w:rPr>
              <w:t xml:space="preserve">HTML</w:t>
            </w:r>
          </w:p>
        </w:tc>
      </w:tr>
    </w:tbl>
    <w:p>
      <w:pPr>
        <w:spacing w:after="120"/>
      </w:pPr>
    </w:p>
    <w:p>
      <w:pPr>
        <w:pStyle w:val="Titre1"/>
        <w:keepNext/>
      </w:pPr>
      <w:r>
        <w:rPr>
          <w:b/>
          <w:color w:val="8B0000"/>
          <w:sz w:val="26"/>
          <w:szCs w:val="26"/>
        </w:rPr>
        <w:t xml:space="preserve">Critique — 2 problème(s)</w:t>
      </w:r>
    </w:p>
    <w:tbl>
      <w:tblPr>
        <w:tblW w:w="144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600"/>
        <w:gridCol w:w="900"/>
        <w:gridCol w:w="1250"/>
        <w:gridCol w:w="1900"/>
        <w:gridCol w:w="2350"/>
        <w:gridCol w:w="2600"/>
        <w:gridCol w:w="3000"/>
        <w:gridCol w:w="1800"/>
      </w:tblGrid>
      <w:tr>
        <w:trPr>
          <w:tblHeader/>
          <w:cantSplit/>
        </w:trPr>
        <w:tc>
          <w:tcPr>
            <w:tcW w:w="600" w:type="dxa"/>
            <w:shd w:val="clear" w:color="auto" w:fill="8B0000"/>
            <w:vAlign w:val="top"/>
          </w:tcPr>
          <w:p>
            <w:pPr>
              <w:spacing w:after="0"/>
            </w:pPr>
            <w:r>
              <w:rPr>
                <w:b/>
                <w:color w:val="FFFFFF"/>
                <w:sz w:val="17"/>
                <w:szCs w:val="17"/>
              </w:rPr>
              <w:t xml:space="preserve">Fait</w:t>
            </w:r>
          </w:p>
        </w:tc>
        <w:tc>
          <w:tcPr>
            <w:tcW w:w="900" w:type="dxa"/>
            <w:shd w:val="clear" w:color="auto" w:fill="8B0000"/>
            <w:vAlign w:val="top"/>
          </w:tcPr>
          <w:p>
            <w:pPr>
              <w:spacing w:after="0"/>
            </w:pPr>
            <w:r>
              <w:rPr>
                <w:b/>
                <w:color w:val="FFFFFF"/>
                <w:sz w:val="17"/>
                <w:szCs w:val="17"/>
              </w:rPr>
              <w:t xml:space="preserve">N°</w:t>
            </w:r>
          </w:p>
        </w:tc>
        <w:tc>
          <w:tcPr>
            <w:tcW w:w="1250" w:type="dxa"/>
            <w:shd w:val="clear" w:color="auto" w:fill="8B0000"/>
            <w:vAlign w:val="top"/>
          </w:tcPr>
          <w:p>
            <w:pPr>
              <w:spacing w:after="0"/>
            </w:pPr>
            <w:r>
              <w:rPr>
                <w:b/>
                <w:color w:val="FFFFFF"/>
                <w:sz w:val="17"/>
                <w:szCs w:val="17"/>
              </w:rPr>
              <w:t xml:space="preserve">Domaine</w:t>
            </w:r>
          </w:p>
        </w:tc>
        <w:tc>
          <w:tcPr>
            <w:tcW w:w="1900" w:type="dxa"/>
            <w:shd w:val="clear" w:color="auto" w:fill="8B0000"/>
            <w:vAlign w:val="top"/>
          </w:tcPr>
          <w:p>
            <w:pPr>
              <w:spacing w:after="0"/>
            </w:pPr>
            <w:r>
              <w:rPr>
                <w:b/>
                <w:color w:val="FFFFFF"/>
                <w:sz w:val="17"/>
                <w:szCs w:val="17"/>
              </w:rPr>
              <w:t xml:space="preserve">Fichier</w:t>
            </w:r>
          </w:p>
        </w:tc>
        <w:tc>
          <w:tcPr>
            <w:tcW w:w="2350" w:type="dxa"/>
            <w:shd w:val="clear" w:color="auto" w:fill="8B0000"/>
            <w:vAlign w:val="top"/>
          </w:tcPr>
          <w:p>
            <w:pPr>
              <w:spacing w:after="0"/>
            </w:pPr>
            <w:r>
              <w:rPr>
                <w:b/>
                <w:color w:val="FFFFFF"/>
                <w:sz w:val="17"/>
                <w:szCs w:val="17"/>
              </w:rPr>
              <w:t xml:space="preserve">Emplacement</w:t>
            </w:r>
          </w:p>
        </w:tc>
        <w:tc>
          <w:tcPr>
            <w:tcW w:w="2600" w:type="dxa"/>
            <w:shd w:val="clear" w:color="auto" w:fill="8B0000"/>
            <w:vAlign w:val="top"/>
          </w:tcPr>
          <w:p>
            <w:pPr>
              <w:spacing w:after="0"/>
            </w:pPr>
            <w:r>
              <w:rPr>
                <w:b/>
                <w:color w:val="FFFFFF"/>
                <w:sz w:val="17"/>
                <w:szCs w:val="17"/>
              </w:rPr>
              <w:t xml:space="preserve">Extrait exact</w:t>
            </w:r>
          </w:p>
        </w:tc>
        <w:tc>
          <w:tcPr>
            <w:tcW w:w="3000" w:type="dxa"/>
            <w:shd w:val="clear" w:color="auto" w:fill="8B0000"/>
            <w:vAlign w:val="top"/>
          </w:tcPr>
          <w:p>
            <w:pPr>
              <w:spacing w:after="0"/>
            </w:pPr>
            <w:r>
              <w:rPr>
                <w:b/>
                <w:color w:val="FFFFFF"/>
                <w:sz w:val="17"/>
                <w:szCs w:val="17"/>
              </w:rPr>
              <w:t xml:space="preserve">Problème → correction</w:t>
            </w:r>
          </w:p>
        </w:tc>
        <w:tc>
          <w:tcPr>
            <w:tcW w:w="1800" w:type="dxa"/>
            <w:shd w:val="clear" w:color="auto" w:fill="8B0000"/>
            <w:vAlign w:val="top"/>
          </w:tcPr>
          <w:p>
            <w:pPr>
              <w:spacing w:after="0"/>
            </w:pPr>
            <w:r>
              <w:rPr>
                <w:b/>
                <w:color w:val="FFFFFF"/>
                <w:sz w:val="17"/>
                <w:szCs w:val="17"/>
              </w:rPr>
              <w:t xml:space="preserve">Source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ADBD8"/>
            <w:vAlign w:val="top"/>
          </w:tcPr>
          <w:p>
            <w:pPr>
              <w:spacing w:after="0"/>
            </w:pPr>
            <w:r>
              <w:rPr>
                <w:sz w:val="17"/>
                <w:szCs w:val="17"/>
              </w:rPr>
              <w:t xml:space="preserve">L2-L49</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LOT_2_Appel_B_V4_Argon_Partie_4_D2.8_a_D2.10__export_GoogleDoc.html</w:t>
            </w:r>
          </w:p>
        </w:tc>
        <w:tc>
          <w:tcPr>
            <w:tcW w:w="2350" w:type="dxa"/>
            <w:vAlign w:val="top"/>
          </w:tcPr>
          <w:p>
            <w:pPr>
              <w:spacing w:after="0"/>
            </w:pPr>
            <w:r>
              <w:rPr>
                <w:sz w:val="17"/>
                <w:szCs w:val="17"/>
              </w:rPr>
              <w:t xml:space="preserve">D2.10 › point 14 Pièges</w:t>
            </w:r>
          </w:p>
        </w:tc>
        <w:tc>
          <w:tcPr>
            <w:tcW w:w="2600" w:type="dxa"/>
            <w:vAlign w:val="top"/>
          </w:tcPr>
          <w:p>
            <w:pPr>
              <w:spacing w:after="0"/>
            </w:pPr>
            <w:r>
              <w:rPr>
                <w:i/>
                <w:sz w:val="17"/>
                <w:szCs w:val="17"/>
              </w:rPr>
              <w:t xml:space="preserve">« oublier de dépister et de traiter par **Cotrimoxazole** (Bactrim® forte 800/160 mg, 1 cp 3x/semaine ou 1 cp/j) la pneumocystose pulmonaire »</w:t>
            </w:r>
          </w:p>
        </w:tc>
        <w:tc>
          <w:tcPr>
            <w:tcW w:w="3000" w:type="dxa"/>
            <w:vAlign w:val="top"/>
          </w:tcPr>
          <w:p>
            <w:pPr>
              <w:spacing w:after="40"/>
            </w:pPr>
            <w:r>
              <w:rPr>
                <w:sz w:val="17"/>
                <w:szCs w:val="17"/>
              </w:rPr>
              <w:t xml:space="preserve">La phrase associe le verbe « traiter » à une dose de prophylaxie ; un lecteur pourrait traiter une pneumocystose déclarée à dose prophylactique, alors que le traitement curatif exige triméthoprime 5 mg/kg et sulfaméthoxazole 25 mg/kg 3 fois par jour pendant au moins 21 jours.</w:t>
            </w:r>
          </w:p>
          <w:p>
            <w:pPr>
              <w:spacing w:after="0"/>
            </w:pPr>
            <w:r>
              <w:rPr>
                <w:b/>
                <w:color w:val="145A32"/>
                <w:sz w:val="17"/>
                <w:szCs w:val="17"/>
              </w:rPr>
              <w:t xml:space="preserve">→ Écrire : « deuxièmement, oublier la prophylaxie primaire de la pneumocystose par cotrimoxazole (Bactrim® forte 800/160 mg, 1 cp 3 fois par semaine ou 1 cp/j) chez tout patient dont les lymphocytes T CD4+ sont &lt; 200/µL ; une pneumocystose déclarée se traite à dose curative (TMP 5 mg/kg + SMX 25 mg/kg 3 fois par jour, ≥ 21 jours) [Sn]. »</w:t>
            </w:r>
          </w:p>
        </w:tc>
        <w:tc>
          <w:tcPr>
            <w:tcW w:w="1800" w:type="dxa"/>
            <w:vAlign w:val="top"/>
          </w:tcPr>
          <w:p>
            <w:pPr>
              <w:spacing w:after="0"/>
            </w:pPr>
            <w:r>
              <w:rPr>
                <w:sz w:val="17"/>
                <w:szCs w:val="17"/>
              </w:rPr>
              <w:t xml:space="preserve">EACS Guidelines (miroir officiel Sanford Guide) : « Primary Prophylaxis of OIs » — https://eacs.sanfordguide.com/ois/primary-prophylaxis-of-ois-according-to-stage-of-immunodeficiency ; « Pneumocystis jirovecii Pneumonia (PcP) » — https://eacs.sanfordguide.com/ois/eacs-pneumocystis-jirovecii-pneumonia-pcp — consultés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ADBD8"/>
            <w:vAlign w:val="top"/>
          </w:tcPr>
          <w:p>
            <w:pPr>
              <w:spacing w:after="0"/>
            </w:pPr>
            <w:r>
              <w:rPr>
                <w:sz w:val="17"/>
                <w:szCs w:val="17"/>
              </w:rPr>
              <w:t xml:space="preserve">L2-M31</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LOT_2_Appel_B_V4_Argon_Partie_4_D2.8_a_D2.10__export_GoogleDoc.html</w:t>
            </w:r>
          </w:p>
        </w:tc>
        <w:tc>
          <w:tcPr>
            <w:tcW w:w="2350" w:type="dxa"/>
            <w:vAlign w:val="top"/>
          </w:tcPr>
          <w:p>
            <w:pPr>
              <w:spacing w:after="0"/>
            </w:pPr>
            <w:r>
              <w:rPr>
                <w:sz w:val="17"/>
                <w:szCs w:val="17"/>
              </w:rPr>
              <w:t xml:space="preserve">D2.10 › point 14 Pièges</w:t>
            </w:r>
          </w:p>
        </w:tc>
        <w:tc>
          <w:tcPr>
            <w:tcW w:w="2600" w:type="dxa"/>
            <w:vAlign w:val="top"/>
          </w:tcPr>
          <w:p>
            <w:pPr>
              <w:spacing w:after="0"/>
            </w:pPr>
            <w:r>
              <w:rPr>
                <w:i/>
                <w:sz w:val="17"/>
                <w:szCs w:val="17"/>
              </w:rPr>
              <w:t xml:space="preserve">« oublier de dépister et de traiter par **Cotrimoxazole** »</w:t>
            </w:r>
          </w:p>
        </w:tc>
        <w:tc>
          <w:tcPr>
            <w:tcW w:w="3000" w:type="dxa"/>
            <w:vAlign w:val="top"/>
          </w:tcPr>
          <w:p>
            <w:pPr>
              <w:spacing w:after="40"/>
            </w:pPr>
            <w:r>
              <w:rPr>
                <w:sz w:val="17"/>
                <w:szCs w:val="17"/>
              </w:rPr>
              <w:t xml:space="preserve">La phrase associe la posologie prophylactique du cotrimoxazole (Bactrim® forte 800/160 mg, 1 cp/j ou 3 fois par semaine) au « traitement » de la pneumocystose : appliquée à une pneumocystose déclarée, cette dose serait gravement insuffisante, car le traitement curatif est de triméthoprime 5 mg/kg et sulfaméthoxazole 25 mg/kg trois fois par jour pendant au moins 21 jours, avec prednisone selon la gravité.</w:t>
            </w:r>
          </w:p>
          <w:p>
            <w:pPr>
              <w:spacing w:after="0"/>
            </w:pPr>
            <w:r>
              <w:rPr>
                <w:b/>
                <w:color w:val="145A32"/>
                <w:sz w:val="17"/>
                <w:szCs w:val="17"/>
              </w:rPr>
              <w:t xml:space="preserve">→ Écrire : « oublier d'instaurer une prophylaxie primaire de la pneumocystose par cotrimoxazole (Bactrim® forte 800/160 mg, 1 comprimé par jour ou 3 fois par semaine) chez tout patient ayant moins de 200 CD4/µL ; une pneumocystose déclarée se traite à dose curative (TMP 5 mg/kg et SMX 25 mg/kg 3 fois par jour, 21 jours) ».</w:t>
            </w:r>
          </w:p>
        </w:tc>
        <w:tc>
          <w:tcPr>
            <w:tcW w:w="1800" w:type="dxa"/>
            <w:vAlign w:val="top"/>
          </w:tcPr>
          <w:p>
            <w:pPr>
              <w:spacing w:after="0"/>
            </w:pPr>
            <w:r>
              <w:rPr>
                <w:sz w:val="17"/>
                <w:szCs w:val="17"/>
              </w:rPr>
              <w:t xml:space="preserve">EACS Guidelines, Pneumocystis jirovecii pneumonia (PcP) — https://eacs.sanfordguide.com/ois/eacs-pneumocystis-jirovecii-pneumonia-pcp — consulté le 22.10.2026.</w:t>
            </w:r>
          </w:p>
        </w:tc>
      </w:tr>
    </w:tbl>
    <w:p>
      <w:pPr>
        <w:spacing w:after="120"/>
      </w:pPr>
    </w:p>
    <w:p>
      <w:pPr>
        <w:pStyle w:val="Titre1"/>
        <w:keepNext/>
      </w:pPr>
      <w:r>
        <w:rPr>
          <w:b/>
          <w:color w:val="C0392B"/>
          <w:sz w:val="26"/>
          <w:szCs w:val="26"/>
        </w:rPr>
        <w:t xml:space="preserve">Grave — 31 problème(s)</w:t>
      </w:r>
    </w:p>
    <w:tbl>
      <w:tblPr>
        <w:tblW w:w="144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600"/>
        <w:gridCol w:w="900"/>
        <w:gridCol w:w="1250"/>
        <w:gridCol w:w="1900"/>
        <w:gridCol w:w="2350"/>
        <w:gridCol w:w="2600"/>
        <w:gridCol w:w="3000"/>
        <w:gridCol w:w="1800"/>
      </w:tblGrid>
      <w:tr>
        <w:trPr>
          <w:tblHeader/>
          <w:cantSplit/>
        </w:trPr>
        <w:tc>
          <w:tcPr>
            <w:tcW w:w="600" w:type="dxa"/>
            <w:shd w:val="clear" w:color="auto" w:fill="C0392B"/>
            <w:vAlign w:val="top"/>
          </w:tcPr>
          <w:p>
            <w:pPr>
              <w:spacing w:after="0"/>
            </w:pPr>
            <w:r>
              <w:rPr>
                <w:b/>
                <w:color w:val="FFFFFF"/>
                <w:sz w:val="17"/>
                <w:szCs w:val="17"/>
              </w:rPr>
              <w:t xml:space="preserve">Fait</w:t>
            </w:r>
          </w:p>
        </w:tc>
        <w:tc>
          <w:tcPr>
            <w:tcW w:w="900" w:type="dxa"/>
            <w:shd w:val="clear" w:color="auto" w:fill="C0392B"/>
            <w:vAlign w:val="top"/>
          </w:tcPr>
          <w:p>
            <w:pPr>
              <w:spacing w:after="0"/>
            </w:pPr>
            <w:r>
              <w:rPr>
                <w:b/>
                <w:color w:val="FFFFFF"/>
                <w:sz w:val="17"/>
                <w:szCs w:val="17"/>
              </w:rPr>
              <w:t xml:space="preserve">N°</w:t>
            </w:r>
          </w:p>
        </w:tc>
        <w:tc>
          <w:tcPr>
            <w:tcW w:w="1250" w:type="dxa"/>
            <w:shd w:val="clear" w:color="auto" w:fill="C0392B"/>
            <w:vAlign w:val="top"/>
          </w:tcPr>
          <w:p>
            <w:pPr>
              <w:spacing w:after="0"/>
            </w:pPr>
            <w:r>
              <w:rPr>
                <w:b/>
                <w:color w:val="FFFFFF"/>
                <w:sz w:val="17"/>
                <w:szCs w:val="17"/>
              </w:rPr>
              <w:t xml:space="preserve">Domaine</w:t>
            </w:r>
          </w:p>
        </w:tc>
        <w:tc>
          <w:tcPr>
            <w:tcW w:w="1900" w:type="dxa"/>
            <w:shd w:val="clear" w:color="auto" w:fill="C0392B"/>
            <w:vAlign w:val="top"/>
          </w:tcPr>
          <w:p>
            <w:pPr>
              <w:spacing w:after="0"/>
            </w:pPr>
            <w:r>
              <w:rPr>
                <w:b/>
                <w:color w:val="FFFFFF"/>
                <w:sz w:val="17"/>
                <w:szCs w:val="17"/>
              </w:rPr>
              <w:t xml:space="preserve">Fichier</w:t>
            </w:r>
          </w:p>
        </w:tc>
        <w:tc>
          <w:tcPr>
            <w:tcW w:w="2350" w:type="dxa"/>
            <w:shd w:val="clear" w:color="auto" w:fill="C0392B"/>
            <w:vAlign w:val="top"/>
          </w:tcPr>
          <w:p>
            <w:pPr>
              <w:spacing w:after="0"/>
            </w:pPr>
            <w:r>
              <w:rPr>
                <w:b/>
                <w:color w:val="FFFFFF"/>
                <w:sz w:val="17"/>
                <w:szCs w:val="17"/>
              </w:rPr>
              <w:t xml:space="preserve">Emplacement</w:t>
            </w:r>
          </w:p>
        </w:tc>
        <w:tc>
          <w:tcPr>
            <w:tcW w:w="2600" w:type="dxa"/>
            <w:shd w:val="clear" w:color="auto" w:fill="C0392B"/>
            <w:vAlign w:val="top"/>
          </w:tcPr>
          <w:p>
            <w:pPr>
              <w:spacing w:after="0"/>
            </w:pPr>
            <w:r>
              <w:rPr>
                <w:b/>
                <w:color w:val="FFFFFF"/>
                <w:sz w:val="17"/>
                <w:szCs w:val="17"/>
              </w:rPr>
              <w:t xml:space="preserve">Extrait exact</w:t>
            </w:r>
          </w:p>
        </w:tc>
        <w:tc>
          <w:tcPr>
            <w:tcW w:w="3000" w:type="dxa"/>
            <w:shd w:val="clear" w:color="auto" w:fill="C0392B"/>
            <w:vAlign w:val="top"/>
          </w:tcPr>
          <w:p>
            <w:pPr>
              <w:spacing w:after="0"/>
            </w:pPr>
            <w:r>
              <w:rPr>
                <w:b/>
                <w:color w:val="FFFFFF"/>
                <w:sz w:val="17"/>
                <w:szCs w:val="17"/>
              </w:rPr>
              <w:t xml:space="preserve">Problème → correction</w:t>
            </w:r>
          </w:p>
        </w:tc>
        <w:tc>
          <w:tcPr>
            <w:tcW w:w="1800" w:type="dxa"/>
            <w:shd w:val="clear" w:color="auto" w:fill="C0392B"/>
            <w:vAlign w:val="top"/>
          </w:tcPr>
          <w:p>
            <w:pPr>
              <w:spacing w:after="0"/>
            </w:pPr>
            <w:r>
              <w:rPr>
                <w:b/>
                <w:color w:val="FFFFFF"/>
                <w:sz w:val="17"/>
                <w:szCs w:val="17"/>
              </w:rPr>
              <w:t xml:space="preserve">Source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L2-L01</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LOT_2_Appel_A_Plan_et_Liste_Fédéral__export_GoogleDoc.html</w:t>
            </w:r>
          </w:p>
        </w:tc>
        <w:tc>
          <w:tcPr>
            <w:tcW w:w="2350" w:type="dxa"/>
            <w:vAlign w:val="top"/>
          </w:tcPr>
          <w:p>
            <w:pPr>
              <w:spacing w:after="0"/>
            </w:pPr>
            <w:r>
              <w:rPr>
                <w:sz w:val="17"/>
                <w:szCs w:val="17"/>
              </w:rPr>
              <w:t xml:space="preserve">En-tête du document</w:t>
            </w:r>
          </w:p>
        </w:tc>
        <w:tc>
          <w:tcPr>
            <w:tcW w:w="2600" w:type="dxa"/>
            <w:vAlign w:val="top"/>
          </w:tcPr>
          <w:p>
            <w:pPr>
              <w:spacing w:after="0"/>
            </w:pPr>
            <w:r>
              <w:rPr>
                <w:i/>
                <w:sz w:val="17"/>
                <w:szCs w:val="17"/>
              </w:rPr>
              <w:t xml:space="preserve">« Appel A : Plan Monographique et Liste Différentielle »</w:t>
            </w:r>
          </w:p>
        </w:tc>
        <w:tc>
          <w:tcPr>
            <w:tcW w:w="3000" w:type="dxa"/>
            <w:vAlign w:val="top"/>
          </w:tcPr>
          <w:p>
            <w:pPr>
              <w:spacing w:after="40"/>
            </w:pPr>
            <w:r>
              <w:rPr>
                <w:sz w:val="17"/>
                <w:szCs w:val="17"/>
              </w:rPr>
              <w:t xml:space="preserve">L'Appel A existe uniquement comme Google Doc, ce qui viole la règle 0 du prompt (sortie .html exclusive) et détruit les fenêtres &lt;details&gt;.</w:t>
            </w:r>
          </w:p>
          <w:p>
            <w:pPr>
              <w:spacing w:after="0"/>
            </w:pPr>
            <w:r>
              <w:rPr>
                <w:b/>
                <w:color w:val="145A32"/>
                <w:sz w:val="17"/>
                <w:szCs w:val="17"/>
              </w:rPr>
              <w:t xml:space="preserve">→ Régénérer l'Appel A en HTML5 complet (gabarit § 9) sous le nom LOT_2_Appel_A_V5_Ultra_Pedagogique_Plan_et_Liste.html, le déposer en text/html sans conversion, vérifier la taille, puis déplacer le Google Doc dans CORBEILLE_DOUBLONS_OBSOLETES avec le suffixe _OBSOLETE_.</w:t>
            </w:r>
          </w:p>
        </w:tc>
        <w:tc>
          <w:tcPr>
            <w:tcW w:w="1800" w:type="dxa"/>
            <w:vAlign w:val="top"/>
          </w:tcPr>
          <w:p>
            <w:pPr>
              <w:spacing w:after="0"/>
            </w:pPr>
            <w:r>
              <w:rPr>
                <w:sz w:val="17"/>
                <w:szCs w:val="17"/>
              </w:rPr>
              <w:t xml:space="preserve">PROMPT_V6 (prompt de base) § 0, § 4, § 12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L2-L02</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LOT_2_Appel_B_V4_Argon_Partie_1_D2.1_a_D2.2__export_GoogleDoc.html</w:t>
            </w:r>
          </w:p>
        </w:tc>
        <w:tc>
          <w:tcPr>
            <w:tcW w:w="2350" w:type="dxa"/>
            <w:vAlign w:val="top"/>
          </w:tcPr>
          <w:p>
            <w:pPr>
              <w:spacing w:after="0"/>
            </w:pPr>
            <w:r>
              <w:rPr>
                <w:sz w:val="17"/>
                <w:szCs w:val="17"/>
              </w:rPr>
              <w:t xml:space="preserve">En-tête du document (4 occurrences : Parties 1, 2, 3 et 4 V4 Argon)</w:t>
            </w:r>
          </w:p>
        </w:tc>
        <w:tc>
          <w:tcPr>
            <w:tcW w:w="2600" w:type="dxa"/>
            <w:vAlign w:val="top"/>
          </w:tcPr>
          <w:p>
            <w:pPr>
              <w:spacing w:after="0"/>
            </w:pPr>
            <w:r>
              <w:rPr>
                <w:i/>
                <w:sz w:val="17"/>
                <w:szCs w:val="17"/>
              </w:rPr>
              <w:t xml:space="preserve">« Appel B - Partie 1/4 : Monographies Différentielles (D2.1 à D2.2) — Audit Médical et Linguistique Argon »</w:t>
            </w:r>
          </w:p>
        </w:tc>
        <w:tc>
          <w:tcPr>
            <w:tcW w:w="3000" w:type="dxa"/>
            <w:vAlign w:val="top"/>
          </w:tcPr>
          <w:p>
            <w:pPr>
              <w:spacing w:after="40"/>
            </w:pPr>
            <w:r>
              <w:rPr>
                <w:sz w:val="17"/>
                <w:szCs w:val="17"/>
              </w:rPr>
              <w:t xml:space="preserve">Les quatre Parties de l'Appel B V4 Argon sont des Google Docs et non des fichiers .html, ce qui invalide toute la série selon la règle 0.</w:t>
            </w:r>
          </w:p>
          <w:p>
            <w:pPr>
              <w:spacing w:after="0"/>
            </w:pPr>
            <w:r>
              <w:rPr>
                <w:b/>
                <w:color w:val="145A32"/>
                <w:sz w:val="17"/>
                <w:szCs w:val="17"/>
              </w:rPr>
              <w:t xml:space="preserve">→ Régénérer chaque Partie en HTML5 (LOT_2_Appel_B_V5_Ultra_Pedagogique_Partie_Y_DX.n_a_DX.m.html), avec fenêtres &lt;details&gt;, puis archiver les Google Docs dans CORBEILLE_DOUBLONS_OBSOLETES.</w:t>
            </w:r>
          </w:p>
        </w:tc>
        <w:tc>
          <w:tcPr>
            <w:tcW w:w="1800" w:type="dxa"/>
            <w:vAlign w:val="top"/>
          </w:tcPr>
          <w:p>
            <w:pPr>
              <w:spacing w:after="0"/>
            </w:pPr>
            <w:r>
              <w:rPr>
                <w:sz w:val="17"/>
                <w:szCs w:val="17"/>
              </w:rPr>
              <w:t xml:space="preserve">PROMPT_V6 (prompt de base) § 0, § 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L2-L03</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LOT_2_V6_Enrichi_8plus_Partie_1_Integral.html</w:t>
            </w:r>
          </w:p>
        </w:tc>
        <w:tc>
          <w:tcPr>
            <w:tcW w:w="2350" w:type="dxa"/>
            <w:vAlign w:val="top"/>
          </w:tcPr>
          <w:p>
            <w:pPr>
              <w:spacing w:after="0"/>
            </w:pPr>
            <w:r>
              <w:rPr>
                <w:sz w:val="17"/>
                <w:szCs w:val="17"/>
              </w:rPr>
              <w:t xml:space="preserve">Bandeau d'ouverture (introduction)</w:t>
            </w:r>
          </w:p>
        </w:tc>
        <w:tc>
          <w:tcPr>
            <w:tcW w:w="2600" w:type="dxa"/>
            <w:vAlign w:val="top"/>
          </w:tcPr>
          <w:p>
            <w:pPr>
              <w:spacing w:after="0"/>
            </w:pPr>
            <w:r>
              <w:rPr>
                <w:i/>
                <w:sz w:val="17"/>
                <w:szCs w:val="17"/>
              </w:rPr>
              <w:t xml:space="preserve">« Cette édition réunit le SSP principal et les dix diagnostics du plan initial. »</w:t>
            </w:r>
          </w:p>
        </w:tc>
        <w:tc>
          <w:tcPr>
            <w:tcW w:w="3000" w:type="dxa"/>
            <w:vAlign w:val="top"/>
          </w:tcPr>
          <w:p>
            <w:pPr>
              <w:spacing w:after="40"/>
            </w:pPr>
            <w:r>
              <w:rPr>
                <w:sz w:val="17"/>
                <w:szCs w:val="17"/>
              </w:rPr>
              <w:t xml:space="preserve">Le fichier « Partie_1_Integral » regroupe le SSP et les dix DX dans un seul document et se clôt par « FIN_FICHIER LOT_2_PARTIE_1 », ce qui contredit son contenu, la cadence 2-3-2-3 et le nommage imposé.</w:t>
            </w:r>
          </w:p>
          <w:p>
            <w:pPr>
              <w:spacing w:after="0"/>
            </w:pPr>
            <w:r>
              <w:rPr>
                <w:b/>
                <w:color w:val="145A32"/>
                <w:sz w:val="17"/>
                <w:szCs w:val="17"/>
              </w:rPr>
              <w:t xml:space="preserve">→ Scinder le contenu en 5 fichiers (Appel A ; Parties 1 à 4 = D2.1–D2.2, D2.3–D2.5, D2.6–D2.7, D2.8–D2.10), nommés selon le § 4, chacun terminé par sa propre balise &lt;!-- FIN_FICHIER LOT_2_&lt;PARTIE&gt; --&gt;.</w:t>
            </w:r>
          </w:p>
        </w:tc>
        <w:tc>
          <w:tcPr>
            <w:tcW w:w="1800" w:type="dxa"/>
            <w:vAlign w:val="top"/>
          </w:tcPr>
          <w:p>
            <w:pPr>
              <w:spacing w:after="0"/>
            </w:pPr>
            <w:r>
              <w:rPr>
                <w:sz w:val="17"/>
                <w:szCs w:val="17"/>
              </w:rPr>
              <w:t xml:space="preserve">PROMPT_V6 (prompt de base) § 4, § 0</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L2-L07</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LOT_2_V6_Enrichi_8plus_Partie_1_Integral.html</w:t>
            </w:r>
          </w:p>
        </w:tc>
        <w:tc>
          <w:tcPr>
            <w:tcW w:w="2350" w:type="dxa"/>
            <w:vAlign w:val="top"/>
          </w:tcPr>
          <w:p>
            <w:pPr>
              <w:spacing w:after="0"/>
            </w:pPr>
            <w:r>
              <w:rPr>
                <w:sz w:val="17"/>
                <w:szCs w:val="17"/>
              </w:rPr>
              <w:t xml:space="preserve">Toutes les fenêtres « Consulter la hiérarchie des examens », « Vérifier la portée… », « Consulter les références… » (33 occurrences, attribut title= sur &lt;summary&gt;)</w:t>
            </w:r>
          </w:p>
        </w:tc>
        <w:tc>
          <w:tcPr>
            <w:tcW w:w="2600" w:type="dxa"/>
            <w:vAlign w:val="top"/>
          </w:tcPr>
          <w:p>
            <w:pPr>
              <w:spacing w:after="0"/>
            </w:pPr>
            <w:r>
              <w:rPr>
                <w:i/>
                <w:sz w:val="17"/>
                <w:szCs w:val="17"/>
              </w:rPr>
              <w:t xml:space="preserve">« Les données quantitatives non vérifiées et les actualités 2026 non établies sont identifiées dans le HELP. »</w:t>
            </w:r>
          </w:p>
        </w:tc>
        <w:tc>
          <w:tcPr>
            <w:tcW w:w="3000" w:type="dxa"/>
            <w:vAlign w:val="top"/>
          </w:tcPr>
          <w:p>
            <w:pPr>
              <w:spacing w:after="40"/>
            </w:pPr>
            <w:r>
              <w:rPr>
                <w:sz w:val="17"/>
                <w:szCs w:val="17"/>
              </w:rPr>
              <w:t xml:space="preserve">Le fichier emploie l'attribut title= comme infobulle sur 33 balises &lt;summary&gt;, ce que le prompt interdit expressément.</w:t>
            </w:r>
          </w:p>
          <w:p>
            <w:pPr>
              <w:spacing w:after="0"/>
            </w:pPr>
            <w:r>
              <w:rPr>
                <w:b/>
                <w:color w:val="145A32"/>
                <w:sz w:val="17"/>
                <w:szCs w:val="17"/>
              </w:rPr>
              <w:t xml:space="preserve">→ Supprimer tous les attributs title= ; si l'information est utile, l'écrire dans le corps de la fenêtre &lt;details&gt;.</w:t>
            </w:r>
          </w:p>
        </w:tc>
        <w:tc>
          <w:tcPr>
            <w:tcW w:w="1800" w:type="dxa"/>
            <w:vAlign w:val="top"/>
          </w:tcPr>
          <w:p>
            <w:pPr>
              <w:spacing w:after="0"/>
            </w:pPr>
            <w:r>
              <w:rPr>
                <w:sz w:val="17"/>
                <w:szCs w:val="17"/>
              </w:rPr>
              <w:t xml:space="preserve">PROMPT_V6 (prompt de base) § 9 et § 14 (« Utiliser title= comme infobulle »)</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L2-L08</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LOT_2_Appel_A_Plan_et_Liste_Fédéral__export_GoogleDoc.html</w:t>
            </w:r>
          </w:p>
        </w:tc>
        <w:tc>
          <w:tcPr>
            <w:tcW w:w="2350" w:type="dxa"/>
            <w:vAlign w:val="top"/>
          </w:tcPr>
          <w:p>
            <w:pPr>
              <w:spacing w:after="0"/>
            </w:pPr>
            <w:r>
              <w:rPr>
                <w:sz w:val="17"/>
                <w:szCs w:val="17"/>
              </w:rPr>
              <w:t xml:space="preserve">Bloc 2 (fin du document)</w:t>
            </w:r>
          </w:p>
        </w:tc>
        <w:tc>
          <w:tcPr>
            <w:tcW w:w="2600" w:type="dxa"/>
            <w:vAlign w:val="top"/>
          </w:tcPr>
          <w:p>
            <w:pPr>
              <w:spacing w:after="0"/>
            </w:pPr>
            <w:r>
              <w:rPr>
                <w:i/>
                <w:sz w:val="17"/>
                <w:szCs w:val="17"/>
              </w:rPr>
              <w:t xml:space="preserve">« BLOC 2 : LISTE ORDONNÉE DES 10 DIAGNOSTICS DIFFÉRENTIELS »</w:t>
            </w:r>
          </w:p>
        </w:tc>
        <w:tc>
          <w:tcPr>
            <w:tcW w:w="3000" w:type="dxa"/>
            <w:vAlign w:val="top"/>
          </w:tcPr>
          <w:p>
            <w:pPr>
              <w:spacing w:after="40"/>
            </w:pPr>
            <w:r>
              <w:rPr>
                <w:sz w:val="17"/>
                <w:szCs w:val="17"/>
              </w:rPr>
              <w:t xml:space="preserve">Le Bloc 2 se limite à une liste ; il omet le tableau comparatif des 10 DX (signe clé, examen clé, mécanisme, conduite immédiate) et l'algorithme discriminant exigés, et aucun fichier du lot ne les fournit.</w:t>
            </w:r>
          </w:p>
          <w:p>
            <w:pPr>
              <w:spacing w:after="0"/>
            </w:pPr>
            <w:r>
              <w:rPr>
                <w:b/>
                <w:color w:val="145A32"/>
                <w:sz w:val="17"/>
                <w:szCs w:val="17"/>
              </w:rPr>
              <w:t xml:space="preserve">→ Ajouter sous la liste : 1) un tableau à 5 colonnes (DX | signe clé | examen clé | mécanisme | conduite immédiate) enveloppé dans &lt;div style='overflow-x:auto;'&gt; ; 2) un algorithme en texte structuré qui indique quel signe ou quel examen fait passer d'un DX à l'autre (p. ex. siège sus-claviculaire → D2.7/D2.5 ; contage félin → D2.6).</w:t>
            </w:r>
          </w:p>
        </w:tc>
        <w:tc>
          <w:tcPr>
            <w:tcW w:w="1800" w:type="dxa"/>
            <w:vAlign w:val="top"/>
          </w:tcPr>
          <w:p>
            <w:pPr>
              <w:spacing w:after="0"/>
            </w:pPr>
            <w:r>
              <w:rPr>
                <w:sz w:val="17"/>
                <w:szCs w:val="17"/>
              </w:rPr>
              <w:t xml:space="preserve">PROMPT_V6 (prompt de base) § 4 et § 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L2-L09</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LOT_2_Appel_A_Plan_et_Liste_Fédéral__export_GoogleDoc.html</w:t>
            </w:r>
          </w:p>
        </w:tc>
        <w:tc>
          <w:tcPr>
            <w:tcW w:w="2350" w:type="dxa"/>
            <w:vAlign w:val="top"/>
          </w:tcPr>
          <w:p>
            <w:pPr>
              <w:spacing w:after="0"/>
            </w:pPr>
            <w:r>
              <w:rPr>
                <w:sz w:val="17"/>
                <w:szCs w:val="17"/>
              </w:rPr>
              <w:t xml:space="preserve">Fin du document (après le point 14 et la liste DX)</w:t>
            </w:r>
          </w:p>
        </w:tc>
        <w:tc>
          <w:tcPr>
            <w:tcW w:w="2600" w:type="dxa"/>
            <w:vAlign w:val="top"/>
          </w:tcPr>
          <w:p>
            <w:pPr>
              <w:spacing w:after="0"/>
            </w:pPr>
            <w:r>
              <w:rPr>
                <w:i/>
                <w:sz w:val="17"/>
                <w:szCs w:val="17"/>
              </w:rPr>
              <w:t xml:space="preserve">« rendant la biopsie chirurgicale du ganglion entier obligatoire. »</w:t>
            </w:r>
          </w:p>
        </w:tc>
        <w:tc>
          <w:tcPr>
            <w:tcW w:w="3000" w:type="dxa"/>
            <w:vAlign w:val="top"/>
          </w:tcPr>
          <w:p>
            <w:pPr>
              <w:spacing w:after="40"/>
            </w:pPr>
            <w:r>
              <w:rPr>
                <w:sz w:val="17"/>
                <w:szCs w:val="17"/>
              </w:rPr>
              <w:t xml:space="preserve">L'Appel A ne contient ni section Sources [S1]…[Sn], ni mention de non-validation clinique, ni balise FIN_FICHIER ; aucune affirmation chiffrée n'est donc traçable.</w:t>
            </w:r>
          </w:p>
          <w:p>
            <w:pPr>
              <w:spacing w:after="0"/>
            </w:pPr>
            <w:r>
              <w:rPr>
                <w:b/>
                <w:color w:val="145A32"/>
                <w:sz w:val="17"/>
                <w:szCs w:val="17"/>
              </w:rPr>
              <w:t xml:space="preserve">→ Ajouter &lt;h3&gt;Sources&lt;/h3&gt; avec [S1]…[Sn] (titre, organisme, année, URL, date de consultation), la phrase « Contenu produit par IA à partir des sources citées ; non validé cliniquement par un médecin. » et &lt;!-- FIN_FICHIER LOT_2_APPEL_A --&gt;.</w:t>
            </w:r>
          </w:p>
        </w:tc>
        <w:tc>
          <w:tcPr>
            <w:tcW w:w="1800" w:type="dxa"/>
            <w:vAlign w:val="top"/>
          </w:tcPr>
          <w:p>
            <w:pPr>
              <w:spacing w:after="0"/>
            </w:pPr>
            <w:r>
              <w:rPr>
                <w:sz w:val="17"/>
                <w:szCs w:val="17"/>
              </w:rPr>
              <w:t xml:space="preserve">PROMPT_V6 (prompt de base) § 3.8, § 0</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L2-L10</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LOT_2_Appel_A_Plan_et_Liste_Fédéral__export_GoogleDoc.html</w:t>
            </w:r>
          </w:p>
        </w:tc>
        <w:tc>
          <w:tcPr>
            <w:tcW w:w="2350" w:type="dxa"/>
            <w:vAlign w:val="top"/>
          </w:tcPr>
          <w:p>
            <w:pPr>
              <w:spacing w:after="0"/>
            </w:pPr>
            <w:r>
              <w:rPr>
                <w:sz w:val="17"/>
                <w:szCs w:val="17"/>
              </w:rPr>
              <w:t xml:space="preserve">Bloc 1 › points 1 à 11 (termes soulignés : Tuméfaction, Tumeur, Adénopathie, Symptômes B, FSC, CRP, PET-CT, LDH…)</w:t>
            </w:r>
          </w:p>
        </w:tc>
        <w:tc>
          <w:tcPr>
            <w:tcW w:w="2600" w:type="dxa"/>
            <w:vAlign w:val="top"/>
          </w:tcPr>
          <w:p>
            <w:pPr>
              <w:spacing w:after="0"/>
            </w:pPr>
            <w:r>
              <w:rPr>
                <w:i/>
                <w:sz w:val="17"/>
                <w:szCs w:val="17"/>
              </w:rPr>
              <w:t xml:space="preserve">« La Tumeur caractérise une prolifération cellulaire autonome. »</w:t>
            </w:r>
          </w:p>
        </w:tc>
        <w:tc>
          <w:tcPr>
            <w:tcW w:w="3000" w:type="dxa"/>
            <w:vAlign w:val="top"/>
          </w:tcPr>
          <w:p>
            <w:pPr>
              <w:spacing w:after="40"/>
            </w:pPr>
            <w:r>
              <w:rPr>
                <w:sz w:val="17"/>
                <w:szCs w:val="17"/>
              </w:rPr>
              <w:t xml:space="preserve">Les termes techniques ne renvoient qu'à un signet Google Docs vide (#bookmark) : aucune fenêtre ne donne le mécanisme, l'exemple chiffré, le piège et la source exigés.</w:t>
            </w:r>
          </w:p>
          <w:p>
            <w:pPr>
              <w:spacing w:after="0"/>
            </w:pPr>
            <w:r>
              <w:rPr>
                <w:b/>
                <w:color w:val="145A32"/>
                <w:sz w:val="17"/>
                <w:szCs w:val="17"/>
              </w:rPr>
              <w:t xml:space="preserve">→ Remplacer chaque lien-signet par une fenêtre &lt;details&gt; au format du gabarit (mécanisme pas à pas, exemple chiffré, piège, [Sn]).</w:t>
            </w:r>
          </w:p>
        </w:tc>
        <w:tc>
          <w:tcPr>
            <w:tcW w:w="1800" w:type="dxa"/>
            <w:vAlign w:val="top"/>
          </w:tcPr>
          <w:p>
            <w:pPr>
              <w:spacing w:after="0"/>
            </w:pPr>
            <w:r>
              <w:rPr>
                <w:sz w:val="17"/>
                <w:szCs w:val="17"/>
              </w:rPr>
              <w:t xml:space="preserve">PROMPT_V6 (prompt de base) § 7, § 9</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L2-L11</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LOT_2_Appel_A_Plan_et_Liste_Fédéral__export_GoogleDoc.html</w:t>
            </w:r>
          </w:p>
        </w:tc>
        <w:tc>
          <w:tcPr>
            <w:tcW w:w="2350" w:type="dxa"/>
            <w:vAlign w:val="top"/>
          </w:tcPr>
          <w:p>
            <w:pPr>
              <w:spacing w:after="0"/>
            </w:pPr>
            <w:r>
              <w:rPr>
                <w:sz w:val="17"/>
                <w:szCs w:val="17"/>
              </w:rPr>
              <w:t xml:space="preserve">Bloc 2 › badges de fréquence des DX (10 occurrences, première : D2.1)</w:t>
            </w:r>
          </w:p>
        </w:tc>
        <w:tc>
          <w:tcPr>
            <w:tcW w:w="2600" w:type="dxa"/>
            <w:vAlign w:val="top"/>
          </w:tcPr>
          <w:p>
            <w:pPr>
              <w:spacing w:after="0"/>
            </w:pPr>
            <w:r>
              <w:rPr>
                <w:i/>
                <w:sz w:val="17"/>
                <w:szCs w:val="17"/>
              </w:rPr>
              <w:t xml:space="preserve">« D2.1 — Adénopathie réactionnelle bénigne (bactérienne ou virale non spécifique) 60 % — »</w:t>
            </w:r>
          </w:p>
        </w:tc>
        <w:tc>
          <w:tcPr>
            <w:tcW w:w="3000" w:type="dxa"/>
            <w:vAlign w:val="top"/>
          </w:tcPr>
          <w:p>
            <w:pPr>
              <w:spacing w:after="40"/>
            </w:pPr>
            <w:r>
              <w:rPr>
                <w:sz w:val="17"/>
                <w:szCs w:val="17"/>
              </w:rPr>
              <w:t xml:space="preserve">Les dix pourcentages totalisent exactement 100 % et citent un organisme sans titre, année ni URL (« source : Revue Médicale Suisse ») ; ils sont donc non sourcés et la version V6 du lot reconnaît elle-même qu'ils ne sont pas comparables.</w:t>
            </w:r>
          </w:p>
          <w:p>
            <w:pPr>
              <w:spacing w:after="0"/>
            </w:pPr>
            <w:r>
              <w:rPr>
                <w:b/>
                <w:color w:val="145A32"/>
                <w:sz w:val="17"/>
                <w:szCs w:val="17"/>
              </w:rPr>
              <w:t xml:space="preserve">→ Remplacer chaque pourcentage par « 1er rang — fréquence non quantifiée (Suisse) », « 2e rang — … », etc., sauf si une source lue fournit le chiffre ; annoncer le critère d'ordre (fréquence pondérée par la gravité). Pour le risque global de malignité, citer : 1,1 à 8,1 % des patients [Hanzalová 2024].</w:t>
            </w:r>
          </w:p>
        </w:tc>
        <w:tc>
          <w:tcPr>
            <w:tcW w:w="1800" w:type="dxa"/>
            <w:vAlign w:val="top"/>
          </w:tcPr>
          <w:p>
            <w:pPr>
              <w:spacing w:after="0"/>
            </w:pPr>
            <w:r>
              <w:rPr>
                <w:sz w:val="17"/>
                <w:szCs w:val="17"/>
              </w:rPr>
              <w:t xml:space="preserve">PROMPT_V6 (prompt de base) § 8 ; Hanzalová I, Matter M. Peripheral lymphadenopathy of unknown origin in adults: a diagnostic approach emphasizing the malignancy hypothesis. Swiss Med Wkly. 2024;154:3549 — https://smw.ch/index.php/smw/article/view/3549 —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L2-L12</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LOT_2_Appel_A_Plan_et_Liste_Fédéral__export_GoogleDoc.html</w:t>
            </w:r>
          </w:p>
        </w:tc>
        <w:tc>
          <w:tcPr>
            <w:tcW w:w="2350" w:type="dxa"/>
            <w:vAlign w:val="top"/>
          </w:tcPr>
          <w:p>
            <w:pPr>
              <w:spacing w:after="0"/>
            </w:pPr>
            <w:r>
              <w:rPr>
                <w:sz w:val="17"/>
                <w:szCs w:val="17"/>
              </w:rPr>
              <w:t xml:space="preserve">Bloc 1 › point 2 Épidémiologie</w:t>
            </w:r>
          </w:p>
        </w:tc>
        <w:tc>
          <w:tcPr>
            <w:tcW w:w="2600" w:type="dxa"/>
            <w:vAlign w:val="top"/>
          </w:tcPr>
          <w:p>
            <w:pPr>
              <w:spacing w:after="0"/>
            </w:pPr>
            <w:r>
              <w:rPr>
                <w:i/>
                <w:sz w:val="17"/>
                <w:szCs w:val="17"/>
              </w:rPr>
              <w:t xml:space="preserve">« atteignant 40 % chez les patients âgés présentant une adénopathie inexpliquée. »</w:t>
            </w:r>
          </w:p>
        </w:tc>
        <w:tc>
          <w:tcPr>
            <w:tcW w:w="3000" w:type="dxa"/>
            <w:vAlign w:val="top"/>
          </w:tcPr>
          <w:p>
            <w:pPr>
              <w:spacing w:after="40"/>
            </w:pPr>
            <w:r>
              <w:rPr>
                <w:sz w:val="17"/>
                <w:szCs w:val="17"/>
              </w:rPr>
              <w:t xml:space="preserve">Le chiffre de 40 % n'a aucune source et ne correspond pas à la revue suisse de référence, qui rapporte une malignité chez 1,1 à 8,1 % des patients, plus de 50 % pour une adénopathie cervicale inexpliquée chez le sujet âgé, et 34 à 86 % pour un siège sus-claviculaire.</w:t>
            </w:r>
          </w:p>
          <w:p>
            <w:pPr>
              <w:spacing w:after="0"/>
            </w:pPr>
            <w:r>
              <w:rPr>
                <w:b/>
                <w:color w:val="145A32"/>
                <w:sz w:val="17"/>
                <w:szCs w:val="17"/>
              </w:rPr>
              <w:t xml:space="preserve">→ Écrire : « Une cause maligne concerne 1,1 à 8,1 % des patients ; ce risque augmente avec l'âge et atteint 34 à 86 % pour une adénopathie sus-claviculaire, surtout après 40 ans [Sn]. » Supprimer « croît exponentiellement ».</w:t>
            </w:r>
          </w:p>
        </w:tc>
        <w:tc>
          <w:tcPr>
            <w:tcW w:w="1800" w:type="dxa"/>
            <w:vAlign w:val="top"/>
          </w:tcPr>
          <w:p>
            <w:pPr>
              <w:spacing w:after="0"/>
            </w:pPr>
            <w:r>
              <w:rPr>
                <w:sz w:val="17"/>
                <w:szCs w:val="17"/>
              </w:rPr>
              <w:t xml:space="preserve">Hanzalová I, Matter M. Peripheral lymphadenopathy of unknown origin in adults: a diagnostic approach emphasizing the malignancy hypothesis. Swiss Med Wkly. 2024;154:3549 — https://smw.ch/index.php/smw/article/view/3549 —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L2-L21</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LOT_2_Appel_B_V4_Argon_Partie_1_D2.1_a_D2.2__export_GoogleDoc.html</w:t>
            </w:r>
          </w:p>
        </w:tc>
        <w:tc>
          <w:tcPr>
            <w:tcW w:w="2350" w:type="dxa"/>
            <w:vAlign w:val="top"/>
          </w:tcPr>
          <w:p>
            <w:pPr>
              <w:spacing w:after="0"/>
            </w:pPr>
            <w:r>
              <w:rPr>
                <w:sz w:val="17"/>
                <w:szCs w:val="17"/>
              </w:rPr>
              <w:t xml:space="preserve">Fin de chaque Partie V4 (4 occurrences : Parties 1 à 4)</w:t>
            </w:r>
          </w:p>
        </w:tc>
        <w:tc>
          <w:tcPr>
            <w:tcW w:w="2600" w:type="dxa"/>
            <w:vAlign w:val="top"/>
          </w:tcPr>
          <w:p>
            <w:pPr>
              <w:spacing w:after="0"/>
            </w:pPr>
            <w:r>
              <w:rPr>
                <w:i/>
                <w:sz w:val="17"/>
                <w:szCs w:val="17"/>
              </w:rPr>
              <w:t xml:space="preserve">« touchant dans plus de 80 % des cas les enfants et les adultes de moins de 40 ans (Revue Médicale Suisse). »</w:t>
            </w:r>
          </w:p>
        </w:tc>
        <w:tc>
          <w:tcPr>
            <w:tcW w:w="3000" w:type="dxa"/>
            <w:vAlign w:val="top"/>
          </w:tcPr>
          <w:p>
            <w:pPr>
              <w:spacing w:after="40"/>
            </w:pPr>
            <w:r>
              <w:rPr>
                <w:sz w:val="17"/>
                <w:szCs w:val="17"/>
              </w:rPr>
              <w:t xml:space="preserve">Les Parties V4 n'ont aucune section Sources [S1]…[Sn], aucune mention de non-validation et aucune balise FIN_FICHIER ; les renvois entre parenthèses (« Revue Médicale Suisse », « OFSP », « SSI ») ne citent ni titre, ni année, ni URL.</w:t>
            </w:r>
          </w:p>
          <w:p>
            <w:pPr>
              <w:spacing w:after="0"/>
            </w:pPr>
            <w:r>
              <w:rPr>
                <w:b/>
                <w:color w:val="145A32"/>
                <w:sz w:val="17"/>
                <w:szCs w:val="17"/>
              </w:rPr>
              <w:t xml:space="preserve">→ Remplacer chaque renvoi par un appel [Sn] et ajouter en fin de fichier la section Sources complète, la mention de non-validation et la balise FIN_FICHIER ; à défaut de source lue, écrire « donnée non trouvée dans les sources consultées ».</w:t>
            </w:r>
          </w:p>
        </w:tc>
        <w:tc>
          <w:tcPr>
            <w:tcW w:w="1800" w:type="dxa"/>
            <w:vAlign w:val="top"/>
          </w:tcPr>
          <w:p>
            <w:pPr>
              <w:spacing w:after="0"/>
            </w:pPr>
            <w:r>
              <w:rPr>
                <w:sz w:val="17"/>
                <w:szCs w:val="17"/>
              </w:rPr>
              <w:t xml:space="preserve">PROMPT_V6 (prompt de base) § 3.2, § 3.8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L2-L22</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LOT_2_Appel_B_V4_Argon_Partie_1_D2.1_a_D2.2__export_GoogleDoc.html</w:t>
            </w:r>
          </w:p>
        </w:tc>
        <w:tc>
          <w:tcPr>
            <w:tcW w:w="2350" w:type="dxa"/>
            <w:vAlign w:val="top"/>
          </w:tcPr>
          <w:p>
            <w:pPr>
              <w:spacing w:after="0"/>
            </w:pPr>
            <w:r>
              <w:rPr>
                <w:sz w:val="17"/>
                <w:szCs w:val="17"/>
              </w:rPr>
              <w:t xml:space="preserve">Toutes les monographies V4 (Parties 1 à 4) › points 1 à 14</w:t>
            </w:r>
          </w:p>
        </w:tc>
        <w:tc>
          <w:tcPr>
            <w:tcW w:w="2600" w:type="dxa"/>
            <w:vAlign w:val="top"/>
          </w:tcPr>
          <w:p>
            <w:pPr>
              <w:spacing w:after="0"/>
            </w:pPr>
            <w:r>
              <w:rPr>
                <w:i/>
                <w:sz w:val="17"/>
                <w:szCs w:val="17"/>
              </w:rPr>
              <w:t xml:space="preserve">« la CRP (&lt; 5 mg/L normal) et organise une biopsie chirurgicale excisionnelle. »</w:t>
            </w:r>
          </w:p>
        </w:tc>
        <w:tc>
          <w:tcPr>
            <w:tcW w:w="3000" w:type="dxa"/>
            <w:vAlign w:val="top"/>
          </w:tcPr>
          <w:p>
            <w:pPr>
              <w:spacing w:after="40"/>
            </w:pPr>
            <w:r>
              <w:rPr>
                <w:sz w:val="17"/>
                <w:szCs w:val="17"/>
              </w:rPr>
              <w:t xml:space="preserve">Les Parties V4 ne contiennent aucune fenêtre &lt;details&gt; ni aucun tableau d'interprétation (normal | seuil | signification | conduite) ; chaque examen, signe et médicament reste sans explication.</w:t>
            </w:r>
          </w:p>
          <w:p>
            <w:pPr>
              <w:spacing w:after="0"/>
            </w:pPr>
            <w:r>
              <w:rPr>
                <w:b/>
                <w:color w:val="145A32"/>
                <w:sz w:val="17"/>
                <w:szCs w:val="17"/>
              </w:rPr>
              <w:t xml:space="preserve">→ Pour chaque examen, ajouter un tableau d'interprétation enveloppé et une fenêtre explicative ; pour chaque signe, médicament et score, ajouter une fenêtre &lt;details&gt; conforme au gabarit.</w:t>
            </w:r>
          </w:p>
        </w:tc>
        <w:tc>
          <w:tcPr>
            <w:tcW w:w="1800" w:type="dxa"/>
            <w:vAlign w:val="top"/>
          </w:tcPr>
          <w:p>
            <w:pPr>
              <w:spacing w:after="0"/>
            </w:pPr>
            <w:r>
              <w:rPr>
                <w:sz w:val="17"/>
                <w:szCs w:val="17"/>
              </w:rPr>
              <w:t xml:space="preserve">PROMPT_V6 (prompt de base) § 5.9, § 7</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L2-L23</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LOT_2_Appel_B_V4_Argon_Partie_1_D2.1_a_D2.2__export_GoogleDoc.html</w:t>
            </w:r>
          </w:p>
        </w:tc>
        <w:tc>
          <w:tcPr>
            <w:tcW w:w="2350" w:type="dxa"/>
            <w:vAlign w:val="top"/>
          </w:tcPr>
          <w:p>
            <w:pPr>
              <w:spacing w:after="0"/>
            </w:pPr>
            <w:r>
              <w:rPr>
                <w:sz w:val="17"/>
                <w:szCs w:val="17"/>
              </w:rPr>
              <w:t xml:space="preserve">Toutes les monographies V4 › point 9 (10 occurrences ; première : D2.1 › point 9)</w:t>
            </w:r>
          </w:p>
        </w:tc>
        <w:tc>
          <w:tcPr>
            <w:tcW w:w="2600" w:type="dxa"/>
            <w:vAlign w:val="top"/>
          </w:tcPr>
          <w:p>
            <w:pPr>
              <w:spacing w:after="0"/>
            </w:pPr>
            <w:r>
              <w:rPr>
                <w:i/>
                <w:sz w:val="17"/>
                <w:szCs w:val="17"/>
              </w:rPr>
              <w:t xml:space="preserve">« 2ème intention : En cas de persistance au-delà de 4 semaines »</w:t>
            </w:r>
          </w:p>
        </w:tc>
        <w:tc>
          <w:tcPr>
            <w:tcW w:w="3000" w:type="dxa"/>
            <w:vAlign w:val="top"/>
          </w:tcPr>
          <w:p>
            <w:pPr>
              <w:spacing w:after="40"/>
            </w:pPr>
            <w:r>
              <w:rPr>
                <w:sz w:val="17"/>
                <w:szCs w:val="17"/>
              </w:rPr>
              <w:t xml:space="preserve">Aucune monographie ne comporte la sous-partie 9.c Alternatives (grossesse, enfant, DFGe &lt; 30 mL/min, allergie aux produits de contraste iodés, pacemaker non compatible IRM) ; les sous-parties 9.a–9.d ne sont pas numérotées.</w:t>
            </w:r>
          </w:p>
          <w:p>
            <w:pPr>
              <w:spacing w:after="0"/>
            </w:pPr>
            <w:r>
              <w:rPr>
                <w:b/>
                <w:color w:val="145A32"/>
                <w:sz w:val="17"/>
                <w:szCs w:val="17"/>
              </w:rPr>
              <w:t xml:space="preserve">→ Insérer dans chaque point 9 les intitulés 9.a, 9.b, 9.c, 9.d et rédiger 9.c pour chaque DX (p. ex. D2.7 : IRM cervicale si DFGe &lt; 30 mL/min ou allergie aux produits iodés).</w:t>
            </w:r>
          </w:p>
        </w:tc>
        <w:tc>
          <w:tcPr>
            <w:tcW w:w="1800" w:type="dxa"/>
            <w:vAlign w:val="top"/>
          </w:tcPr>
          <w:p>
            <w:pPr>
              <w:spacing w:after="0"/>
            </w:pPr>
            <w:r>
              <w:rPr>
                <w:sz w:val="17"/>
                <w:szCs w:val="17"/>
              </w:rPr>
              <w:t xml:space="preserve">PROMPT_V6 (prompt de base) § 5.9</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L2-L26</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LOT_2_Appel_B_V4_Argon_Partie_2_D2.3_a_D2.5__export_GoogleDoc.html</w:t>
            </w:r>
          </w:p>
        </w:tc>
        <w:tc>
          <w:tcPr>
            <w:tcW w:w="2350" w:type="dxa"/>
            <w:vAlign w:val="top"/>
          </w:tcPr>
          <w:p>
            <w:pPr>
              <w:spacing w:after="0"/>
            </w:pPr>
            <w:r>
              <w:rPr>
                <w:sz w:val="17"/>
                <w:szCs w:val="17"/>
              </w:rPr>
              <w:t xml:space="preserve">Toutes les monographies V4 › point 11.B (format « Classe : … Molécule : … Posologie : … » ; environ 25 occurrences ; première ici : D2.4)</w:t>
            </w:r>
          </w:p>
        </w:tc>
        <w:tc>
          <w:tcPr>
            <w:tcW w:w="2600" w:type="dxa"/>
            <w:vAlign w:val="top"/>
          </w:tcPr>
          <w:p>
            <w:pPr>
              <w:spacing w:after="0"/>
            </w:pPr>
            <w:r>
              <w:rPr>
                <w:i/>
                <w:sz w:val="17"/>
                <w:szCs w:val="17"/>
              </w:rPr>
              <w:t xml:space="preserve">« Classe : Combinaison fixe d'antituberculeux majeurs. »</w:t>
            </w:r>
          </w:p>
        </w:tc>
        <w:tc>
          <w:tcPr>
            <w:tcW w:w="3000" w:type="dxa"/>
            <w:vAlign w:val="top"/>
          </w:tcPr>
          <w:p>
            <w:pPr>
              <w:spacing w:after="40"/>
            </w:pPr>
            <w:r>
              <w:rPr>
                <w:sz w:val="17"/>
                <w:szCs w:val="17"/>
              </w:rPr>
              <w:t xml:space="preserve">Le point 11.B est rédigé en listes télégraphiques nominales, ce que le prompt interdit (zéro phrase nominale).</w:t>
            </w:r>
          </w:p>
          <w:p>
            <w:pPr>
              <w:spacing w:after="0"/>
            </w:pPr>
            <w:r>
              <w:rPr>
                <w:b/>
                <w:color w:val="145A32"/>
                <w:sz w:val="17"/>
                <w:szCs w:val="17"/>
              </w:rPr>
              <w:t xml:space="preserve">→ Transformer chaque traitement en phrases verbales : « Le médecin prescrit une combinaison fixe d'antituberculeux (Rimstar®) : … ». Conserver la numérotation ①–⑥ dans des phrases complètes.</w:t>
            </w:r>
          </w:p>
        </w:tc>
        <w:tc>
          <w:tcPr>
            <w:tcW w:w="1800" w:type="dxa"/>
            <w:vAlign w:val="top"/>
          </w:tcPr>
          <w:p>
            <w:pPr>
              <w:spacing w:after="0"/>
            </w:pPr>
            <w:r>
              <w:rPr>
                <w:sz w:val="17"/>
                <w:szCs w:val="17"/>
              </w:rPr>
              <w:t xml:space="preserve">PROMPT_V6 (prompt de base) § 6.1</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L2-L38</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LOT_2_Appel_B_V4_Argon_Partie_4_D2.8_a_D2.10__export_GoogleDoc.html</w:t>
            </w:r>
          </w:p>
        </w:tc>
        <w:tc>
          <w:tcPr>
            <w:tcW w:w="2350" w:type="dxa"/>
            <w:vAlign w:val="top"/>
          </w:tcPr>
          <w:p>
            <w:pPr>
              <w:spacing w:after="0"/>
            </w:pPr>
            <w:r>
              <w:rPr>
                <w:sz w:val="17"/>
                <w:szCs w:val="17"/>
              </w:rPr>
              <w:t xml:space="preserve">D2.10 › point 3 Physiopathologie (2 occurrences ; seconde : point 13)</w:t>
            </w:r>
          </w:p>
        </w:tc>
        <w:tc>
          <w:tcPr>
            <w:tcW w:w="2600" w:type="dxa"/>
            <w:vAlign w:val="top"/>
          </w:tcPr>
          <w:p>
            <w:pPr>
              <w:spacing w:after="0"/>
            </w:pPr>
            <w:r>
              <w:rPr>
                <w:i/>
                <w:sz w:val="17"/>
                <w:szCs w:val="17"/>
              </w:rPr>
              <w:t xml:space="preserve">« charge virale souvent &gt; à copies d'ARN/mL »</w:t>
            </w:r>
          </w:p>
        </w:tc>
        <w:tc>
          <w:tcPr>
            <w:tcW w:w="3000" w:type="dxa"/>
            <w:vAlign w:val="top"/>
          </w:tcPr>
          <w:p>
            <w:pPr>
              <w:spacing w:after="40"/>
            </w:pPr>
            <w:r>
              <w:rPr>
                <w:sz w:val="17"/>
                <w:szCs w:val="17"/>
              </w:rPr>
              <w:t xml:space="preserve">Le seuil numérique a disparu lors de la conversion (formule LaTeX perdue) ; la phrase devient incompréhensible et la donnée clé du pic virémique manque.</w:t>
            </w:r>
          </w:p>
          <w:p>
            <w:pPr>
              <w:spacing w:after="0"/>
            </w:pPr>
            <w:r>
              <w:rPr>
                <w:b/>
                <w:color w:val="145A32"/>
                <w:sz w:val="17"/>
                <w:szCs w:val="17"/>
              </w:rPr>
              <w:t xml:space="preserve">→ Rétablir la valeur chiffrée à partir d'une source lue (p. ex. EACS) sous la forme « &gt; X copies d'ARN/mL [Sn] », sans le signe « &gt; à » ; sinon écrire « donnée non trouvée dans les sources consultées ».</w:t>
            </w:r>
          </w:p>
        </w:tc>
        <w:tc>
          <w:tcPr>
            <w:tcW w:w="1800" w:type="dxa"/>
            <w:vAlign w:val="top"/>
          </w:tcPr>
          <w:p>
            <w:pPr>
              <w:spacing w:after="0"/>
            </w:pPr>
            <w:r>
              <w:rPr>
                <w:sz w:val="17"/>
                <w:szCs w:val="17"/>
              </w:rPr>
              <w:t xml:space="preserve">donnée non trouvée dans les sources consultées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L2-L48</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LOT_2_Appel_B_V4_Argon_Partie_2_D2.3_a_D2.5__export_GoogleDoc.html</w:t>
            </w:r>
          </w:p>
        </w:tc>
        <w:tc>
          <w:tcPr>
            <w:tcW w:w="2350" w:type="dxa"/>
            <w:vAlign w:val="top"/>
          </w:tcPr>
          <w:p>
            <w:pPr>
              <w:spacing w:after="0"/>
            </w:pPr>
            <w:r>
              <w:rPr>
                <w:sz w:val="17"/>
                <w:szCs w:val="17"/>
              </w:rPr>
              <w:t xml:space="preserve">D2.3 › point 11.B › Glucocorticoïde (4 occurrences : D2.3 et D2.5 en Partie 2 ; D2.9 point 11.B et point 14 en Partie 4)</w:t>
            </w:r>
          </w:p>
        </w:tc>
        <w:tc>
          <w:tcPr>
            <w:tcW w:w="2600" w:type="dxa"/>
            <w:vAlign w:val="top"/>
          </w:tcPr>
          <w:p>
            <w:pPr>
              <w:spacing w:after="0"/>
            </w:pPr>
            <w:r>
              <w:rPr>
                <w:i/>
                <w:sz w:val="17"/>
                <w:szCs w:val="17"/>
              </w:rPr>
              <w:t xml:space="preserve">« Molécule : Prednisone (Nom commercial suisse : Spiricort®), posologie : 1 mg/kg/jour »</w:t>
            </w:r>
          </w:p>
        </w:tc>
        <w:tc>
          <w:tcPr>
            <w:tcW w:w="3000" w:type="dxa"/>
            <w:vAlign w:val="top"/>
          </w:tcPr>
          <w:p>
            <w:pPr>
              <w:spacing w:after="40"/>
            </w:pPr>
            <w:r>
              <w:rPr>
                <w:sz w:val="17"/>
                <w:szCs w:val="17"/>
              </w:rPr>
              <w:t xml:space="preserve">Spiricort® contient de la prednisolone, non de la prednisone ; la spécialité attribuée à la DCI est donc fausse.</w:t>
            </w:r>
          </w:p>
          <w:p>
            <w:pPr>
              <w:spacing w:after="0"/>
            </w:pPr>
            <w:r>
              <w:rPr>
                <w:b/>
                <w:color w:val="145A32"/>
                <w:sz w:val="17"/>
                <w:szCs w:val="17"/>
              </w:rPr>
              <w:t xml:space="preserve">→ Écrire : « Prednisolone (Spiricort®) » partout, ou conserver la prednisone avec une spécialité suisse de prednisone vérifiée dans AIPS.</w:t>
            </w:r>
          </w:p>
        </w:tc>
        <w:tc>
          <w:tcPr>
            <w:tcW w:w="1800" w:type="dxa"/>
            <w:vAlign w:val="top"/>
          </w:tcPr>
          <w:p>
            <w:pPr>
              <w:spacing w:after="0"/>
            </w:pPr>
            <w:r>
              <w:rPr>
                <w:sz w:val="17"/>
                <w:szCs w:val="17"/>
              </w:rPr>
              <w:t xml:space="preserve">Spiricort® (prednisolonum 5, 20, 50 mg), Spirig HealthCare AG, n° Swissmedic 38840, ATC H02AB06 — information professionnelle suisse, miroir ch.oddb.org — https://ch.oddb.org/de/gcc/fachinfo/reg/38840/chapter/composition —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L2-L51</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LOT_2_V6_Enrichi_8plus_Partie_1_Integral.html</w:t>
            </w:r>
          </w:p>
        </w:tc>
        <w:tc>
          <w:tcPr>
            <w:tcW w:w="2350" w:type="dxa"/>
            <w:vAlign w:val="top"/>
          </w:tcPr>
          <w:p>
            <w:pPr>
              <w:spacing w:after="0"/>
            </w:pPr>
            <w:r>
              <w:rPr>
                <w:sz w:val="17"/>
                <w:szCs w:val="17"/>
              </w:rPr>
              <w:t xml:space="preserve">Toutes les monographies › points 2 à 14 (exemple : D2.5 › point 11.B)</w:t>
            </w:r>
          </w:p>
        </w:tc>
        <w:tc>
          <w:tcPr>
            <w:tcW w:w="2600" w:type="dxa"/>
            <w:vAlign w:val="top"/>
          </w:tcPr>
          <w:p>
            <w:pPr>
              <w:spacing w:after="0"/>
            </w:pPr>
            <w:r>
              <w:rPr>
                <w:i/>
                <w:sz w:val="17"/>
                <w:szCs w:val="17"/>
              </w:rPr>
              <w:t xml:space="preserve">« Certaines formes indolentes sont surveillées, tandis que d'autres nécessitent rapidement une immunochimiothérapie ou une autre stratégie spécialisée. »</w:t>
            </w:r>
          </w:p>
        </w:tc>
        <w:tc>
          <w:tcPr>
            <w:tcW w:w="3000" w:type="dxa"/>
            <w:vAlign w:val="top"/>
          </w:tcPr>
          <w:p>
            <w:pPr>
              <w:spacing w:after="40"/>
            </w:pPr>
            <w:r>
              <w:rPr>
                <w:sz w:val="17"/>
                <w:szCs w:val="17"/>
              </w:rPr>
              <w:t xml:space="preserve">La V6 a supprimé chiffres, seuils, doses, DCI, spécialités suisses, critères et calendriers présents en V4 ; le texte devient vague, contraire aux § 6.7 et 11.B ①–⑥, et perd sa valeur pour l'examen.</w:t>
            </w:r>
          </w:p>
          <w:p>
            <w:pPr>
              <w:spacing w:after="0"/>
            </w:pPr>
            <w:r>
              <w:rPr>
                <w:b/>
                <w:color w:val="145A32"/>
                <w:sz w:val="17"/>
                <w:szCs w:val="17"/>
              </w:rPr>
              <w:t xml:space="preserve">→ Réintégrer, après vérification sur source lue, les données chiffrées de la V4 (protocoles, doses, seuils) au format ①–⑥, dans des phrases courtes, et placer les détails dans des fenêtres et tableaux.</w:t>
            </w:r>
          </w:p>
        </w:tc>
        <w:tc>
          <w:tcPr>
            <w:tcW w:w="1800" w:type="dxa"/>
            <w:vAlign w:val="top"/>
          </w:tcPr>
          <w:p>
            <w:pPr>
              <w:spacing w:after="0"/>
            </w:pPr>
            <w:r>
              <w:rPr>
                <w:sz w:val="17"/>
                <w:szCs w:val="17"/>
              </w:rPr>
              <w:t xml:space="preserve">PROMPT_V6 (prompt de base) § 5.11 B, § 6.7, § 13</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L2-L52</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LOT_2_V6_Enrichi_8plus_Partie_1_Integral.html</w:t>
            </w:r>
          </w:p>
        </w:tc>
        <w:tc>
          <w:tcPr>
            <w:tcW w:w="2350" w:type="dxa"/>
            <w:vAlign w:val="top"/>
          </w:tcPr>
          <w:p>
            <w:pPr>
              <w:spacing w:after="0"/>
            </w:pPr>
            <w:r>
              <w:rPr>
                <w:sz w:val="17"/>
                <w:szCs w:val="17"/>
              </w:rPr>
              <w:t xml:space="preserve">Toutes les monographies (11) › points 1 à 14 (exemple : SSP › point 1)</w:t>
            </w:r>
          </w:p>
        </w:tc>
        <w:tc>
          <w:tcPr>
            <w:tcW w:w="2600" w:type="dxa"/>
            <w:vAlign w:val="top"/>
          </w:tcPr>
          <w:p>
            <w:pPr>
              <w:spacing w:after="0"/>
            </w:pPr>
            <w:r>
              <w:rPr>
                <w:i/>
                <w:sz w:val="17"/>
                <w:szCs w:val="17"/>
              </w:rPr>
              <w:t xml:space="preserve">« Le premier objectif est de préciser la structure qui forme la masse. »</w:t>
            </w:r>
          </w:p>
        </w:tc>
        <w:tc>
          <w:tcPr>
            <w:tcW w:w="3000" w:type="dxa"/>
            <w:vAlign w:val="top"/>
          </w:tcPr>
          <w:p>
            <w:pPr>
              <w:spacing w:after="40"/>
            </w:pPr>
            <w:r>
              <w:rPr>
                <w:sz w:val="17"/>
                <w:szCs w:val="17"/>
              </w:rPr>
              <w:t xml:space="preserve">La V6 ne contient aucune fenêtre sur les termes techniques (les 33 &lt;details&gt; sont des panneaux de navigation) et aucun tableau ; aucun examen ne reçoit son tableau d'interprétation.</w:t>
            </w:r>
          </w:p>
          <w:p>
            <w:pPr>
              <w:spacing w:after="0"/>
            </w:pPr>
            <w:r>
              <w:rPr>
                <w:b/>
                <w:color w:val="145A32"/>
                <w:sz w:val="17"/>
                <w:szCs w:val="17"/>
              </w:rPr>
              <w:t xml:space="preserve">→ Ajouter une fenêtre &lt;details&gt; pour chaque terme, signe, examen et médicament, et un tableau normal | seuil | signification | conduite pour chaque examen.</w:t>
            </w:r>
          </w:p>
        </w:tc>
        <w:tc>
          <w:tcPr>
            <w:tcW w:w="1800" w:type="dxa"/>
            <w:vAlign w:val="top"/>
          </w:tcPr>
          <w:p>
            <w:pPr>
              <w:spacing w:after="0"/>
            </w:pPr>
            <w:r>
              <w:rPr>
                <w:sz w:val="17"/>
                <w:szCs w:val="17"/>
              </w:rPr>
              <w:t xml:space="preserve">PROMPT_V6 (prompt de base) § 5.9, § 7</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L2-L53</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LOT_2_V6_Enrichi_8plus_Partie_1_Integral.html</w:t>
            </w:r>
          </w:p>
        </w:tc>
        <w:tc>
          <w:tcPr>
            <w:tcW w:w="2350" w:type="dxa"/>
            <w:vAlign w:val="top"/>
          </w:tcPr>
          <w:p>
            <w:pPr>
              <w:spacing w:after="0"/>
            </w:pPr>
            <w:r>
              <w:rPr>
                <w:sz w:val="17"/>
                <w:szCs w:val="17"/>
              </w:rPr>
              <w:t xml:space="preserve">Bandeau d'ouverture et rubriques « Consulter les références et leur portée » (11 occurrences)</w:t>
            </w:r>
          </w:p>
        </w:tc>
        <w:tc>
          <w:tcPr>
            <w:tcW w:w="2600" w:type="dxa"/>
            <w:vAlign w:val="top"/>
          </w:tcPr>
          <w:p>
            <w:pPr>
              <w:spacing w:after="0"/>
            </w:pPr>
            <w:r>
              <w:rPr>
                <w:i/>
                <w:sz w:val="17"/>
                <w:szCs w:val="17"/>
              </w:rPr>
              <w:t xml:space="preserve">« Les données quantitatives non vérifiées et les actualités 2026 non établies sont identifiées dans le HELP.Ouvrir le HELP »</w:t>
            </w:r>
          </w:p>
        </w:tc>
        <w:tc>
          <w:tcPr>
            <w:tcW w:w="3000" w:type="dxa"/>
            <w:vAlign w:val="top"/>
          </w:tcPr>
          <w:p>
            <w:pPr>
              <w:spacing w:after="40"/>
            </w:pPr>
            <w:r>
              <w:rPr>
                <w:sz w:val="17"/>
                <w:szCs w:val="17"/>
              </w:rPr>
              <w:t xml:space="preserve">La seule référence citée est le Google Doc de départ ; il n'existe aucune section Sources [S1]…[Sn] ni mention de non-validation, alors que le texte annonce des « références externes » qui n'apparaissent nulle part.</w:t>
            </w:r>
          </w:p>
          <w:p>
            <w:pPr>
              <w:spacing w:after="0"/>
            </w:pPr>
            <w:r>
              <w:rPr>
                <w:b/>
                <w:color w:val="145A32"/>
                <w:sz w:val="17"/>
                <w:szCs w:val="17"/>
              </w:rPr>
              <w:t xml:space="preserve">→ Ajouter la section Sources numérotée (titre, organisme, année, URL, date) et la mention « Contenu produit par IA à partir des sources citées ; non validé cliniquement par un médecin. » ; supprimer l'annonce de références externes absentes.</w:t>
            </w:r>
          </w:p>
        </w:tc>
        <w:tc>
          <w:tcPr>
            <w:tcW w:w="1800" w:type="dxa"/>
            <w:vAlign w:val="top"/>
          </w:tcPr>
          <w:p>
            <w:pPr>
              <w:spacing w:after="0"/>
            </w:pPr>
            <w:r>
              <w:rPr>
                <w:sz w:val="17"/>
                <w:szCs w:val="17"/>
              </w:rPr>
              <w:t xml:space="preserve">PROMPT_V6 (prompt de base) § 3.8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L2-M01</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LOT_2_Appel_A_Plan_et_Liste_Fédéral__export_GoogleDoc.html</w:t>
            </w:r>
          </w:p>
        </w:tc>
        <w:tc>
          <w:tcPr>
            <w:tcW w:w="2350" w:type="dxa"/>
            <w:vAlign w:val="top"/>
          </w:tcPr>
          <w:p>
            <w:pPr>
              <w:spacing w:after="0"/>
            </w:pPr>
            <w:r>
              <w:rPr>
                <w:sz w:val="17"/>
                <w:szCs w:val="17"/>
              </w:rPr>
              <w:t xml:space="preserve">Document entier (5 occurrences : Appel A et Parties 1 à 4 V4 Argon)</w:t>
            </w:r>
          </w:p>
        </w:tc>
        <w:tc>
          <w:tcPr>
            <w:tcW w:w="2600" w:type="dxa"/>
            <w:vAlign w:val="top"/>
          </w:tcPr>
          <w:p>
            <w:pPr>
              <w:spacing w:after="0"/>
            </w:pPr>
            <w:r>
              <w:rPr>
                <w:i/>
                <w:sz w:val="17"/>
                <w:szCs w:val="17"/>
              </w:rPr>
              <w:t xml:space="preserve">« BLOC 1 : PLAN MONOGRAPHIQUE DU SSP PRINCIPAL »</w:t>
            </w:r>
          </w:p>
        </w:tc>
        <w:tc>
          <w:tcPr>
            <w:tcW w:w="3000" w:type="dxa"/>
            <w:vAlign w:val="top"/>
          </w:tcPr>
          <w:p>
            <w:pPr>
              <w:spacing w:after="40"/>
            </w:pPr>
            <w:r>
              <w:rPr>
                <w:sz w:val="17"/>
                <w:szCs w:val="17"/>
              </w:rPr>
              <w:t xml:space="preserve">Les cinq fichiers actifs de l'Appel A et de l'Appel B V4 sont des Google Docs exportés : ils ne contiennent aucune fenêtre &lt;details&gt;, aucune section Sources [S1]…[Sn], aucune mention de non-validation clinique ni balise FIN_FICHIER, ce qui viole les règles 0, 3.8, 7 et 9 du prompt.</w:t>
            </w:r>
          </w:p>
          <w:p>
            <w:pPr>
              <w:spacing w:after="0"/>
            </w:pPr>
            <w:r>
              <w:rPr>
                <w:b/>
                <w:color w:val="145A32"/>
                <w:sz w:val="17"/>
                <w:szCs w:val="17"/>
              </w:rPr>
              <w:t xml:space="preserve">→ Régénérer chacun des cinq fichiers en HTML5 autonome selon le gabarit V6 (section 9), avec fenêtres &lt;details&gt;, tableaux d'interprétation, section Sources numérotée et mention « Contenu produit par IA à partir des sources citées ; non validé cliniquement par un médecin. », puis déposer en text/html sans conversion.</w:t>
            </w:r>
          </w:p>
        </w:tc>
        <w:tc>
          <w:tcPr>
            <w:tcW w:w="1800" w:type="dxa"/>
            <w:vAlign w:val="top"/>
          </w:tcPr>
          <w:p>
            <w:pPr>
              <w:spacing w:after="0"/>
            </w:pPr>
            <w:r>
              <w:rPr>
                <w:sz w:val="17"/>
                <w:szCs w:val="17"/>
              </w:rPr>
              <w:t xml:space="preserve">PROMPT_V6.md, sections 0, 3.8, 7, 9 et 16.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L2-M04</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LOT_2_Appel_A_Plan_et_Liste_Fédéral__export_GoogleDoc.html</w:t>
            </w:r>
          </w:p>
        </w:tc>
        <w:tc>
          <w:tcPr>
            <w:tcW w:w="2350" w:type="dxa"/>
            <w:vAlign w:val="top"/>
          </w:tcPr>
          <w:p>
            <w:pPr>
              <w:spacing w:after="0"/>
            </w:pPr>
            <w:r>
              <w:rPr>
                <w:sz w:val="17"/>
                <w:szCs w:val="17"/>
              </w:rPr>
              <w:t xml:space="preserve">Bloc 2 › liste D2.1 à D2.10 › badges de fréquence (10 badges, repris dans les titres des Parties 1 à 4)</w:t>
            </w:r>
          </w:p>
        </w:tc>
        <w:tc>
          <w:tcPr>
            <w:tcW w:w="2600" w:type="dxa"/>
            <w:vAlign w:val="top"/>
          </w:tcPr>
          <w:p>
            <w:pPr>
              <w:spacing w:after="0"/>
            </w:pPr>
            <w:r>
              <w:rPr>
                <w:i/>
                <w:sz w:val="17"/>
                <w:szCs w:val="17"/>
              </w:rPr>
              <w:t xml:space="preserve">« Prévalence écrasante en médecine de premier recours chez le sujet de moins de 40 ans, source : Revue Médicale Suisse »</w:t>
            </w:r>
          </w:p>
        </w:tc>
        <w:tc>
          <w:tcPr>
            <w:tcW w:w="3000" w:type="dxa"/>
            <w:vAlign w:val="top"/>
          </w:tcPr>
          <w:p>
            <w:pPr>
              <w:spacing w:after="40"/>
            </w:pPr>
            <w:r>
              <w:rPr>
                <w:sz w:val="17"/>
                <w:szCs w:val="17"/>
              </w:rPr>
              <w:t xml:space="preserve">Les dix pourcentages (60 %, 15 %, 8 %… 0,5 %, somme exactement égale à 100 %) ne sont rattachés à aucune publication identifiable : les « sources » citées (Revue Médicale Suisse, ISFM, OFSP, Ligue Pulmonaire, ESMO, « Swiss Oncology ») n'ont ni titre, ni année, ni URL, et « Swiss Oncology » ne désigne aucun organisme identifiable ; ces chiffres sont donc à considérer comme inventés.</w:t>
            </w:r>
          </w:p>
          <w:p>
            <w:pPr>
              <w:spacing w:after="0"/>
            </w:pPr>
            <w:r>
              <w:rPr>
                <w:b/>
                <w:color w:val="145A32"/>
                <w:sz w:val="17"/>
                <w:szCs w:val="17"/>
              </w:rPr>
              <w:t xml:space="preserve">→ Supprimer tous les pourcentages et remplacer chaque badge par « Ne rang — fréquence non quantifiée (Suisse) », en annonçant le critère d'ordre (fréquence en premier recours pondérée par la gravité) ; reporter la question dans le fichier HELP.</w:t>
            </w:r>
          </w:p>
        </w:tc>
        <w:tc>
          <w:tcPr>
            <w:tcW w:w="1800" w:type="dxa"/>
            <w:vAlign w:val="top"/>
          </w:tcPr>
          <w:p>
            <w:pPr>
              <w:spacing w:after="0"/>
            </w:pPr>
            <w:r>
              <w:rPr>
                <w:sz w:val="17"/>
                <w:szCs w:val="17"/>
              </w:rPr>
              <w:t xml:space="preserve">PROMPT_V6.md sections 3 et 8 ; Fijten GH, Blijham GH. Unexplained lymphadenopathy in family practice: an evaluation of the probability of malignant causes and the effectiveness of physicians' workup. J Fam Pract 1988;27(4):373-376 (étude néerlandaise de médecine de famille) — https://cdn.mdedge.com/files/s3fs-public/jfp-archived-issues/1988-volume_26-27/JFP_1988-10_v27_i4_unexplained-lymphadenopathy-in-family-pr.pdf —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L2-M05</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LOT_2_Appel_A_Plan_et_Liste_Fédéral__export_GoogleDoc.html</w:t>
            </w:r>
          </w:p>
        </w:tc>
        <w:tc>
          <w:tcPr>
            <w:tcW w:w="2350" w:type="dxa"/>
            <w:vAlign w:val="top"/>
          </w:tcPr>
          <w:p>
            <w:pPr>
              <w:spacing w:after="0"/>
            </w:pPr>
            <w:r>
              <w:rPr>
                <w:sz w:val="17"/>
                <w:szCs w:val="17"/>
              </w:rPr>
              <w:t xml:space="preserve">Bloc 1 › point 2 Épidémiologie</w:t>
            </w:r>
          </w:p>
        </w:tc>
        <w:tc>
          <w:tcPr>
            <w:tcW w:w="2600" w:type="dxa"/>
            <w:vAlign w:val="top"/>
          </w:tcPr>
          <w:p>
            <w:pPr>
              <w:spacing w:after="0"/>
            </w:pPr>
            <w:r>
              <w:rPr>
                <w:i/>
                <w:sz w:val="17"/>
                <w:szCs w:val="17"/>
              </w:rPr>
              <w:t xml:space="preserve">« atteignant 40 % chez les patients âgés présentant une adénopathie inexpliquée »</w:t>
            </w:r>
          </w:p>
        </w:tc>
        <w:tc>
          <w:tcPr>
            <w:tcW w:w="3000" w:type="dxa"/>
            <w:vAlign w:val="top"/>
          </w:tcPr>
          <w:p>
            <w:pPr>
              <w:spacing w:after="40"/>
            </w:pPr>
            <w:r>
              <w:rPr>
                <w:sz w:val="17"/>
                <w:szCs w:val="17"/>
              </w:rPr>
              <w:t xml:space="preserve">Le chiffre de 40 % de malignité chez le sujet âgé n'est pas sourcé et contredit les données européennes de premier recours, où la probabilité de cause maligne d'une adénopathie inexpliquée est de 1,1 % globalement et d'environ 4 % après 40 ans ; seule la localisation sus-claviculaire atteint environ 50 %.</w:t>
            </w:r>
          </w:p>
          <w:p>
            <w:pPr>
              <w:spacing w:after="0"/>
            </w:pPr>
            <w:r>
              <w:rPr>
                <w:b/>
                <w:color w:val="145A32"/>
                <w:sz w:val="17"/>
                <w:szCs w:val="17"/>
              </w:rPr>
              <w:t xml:space="preserve">→ Écrire : « En médecine de famille, une adénopathie inexpliquée est maligne dans environ 1 % des cas ; ce risque atteint environ 4 % après 40 ans et environ 50 % pour une adénopathie sus-claviculaire [Sn : Fijten et Blijham, 1988]. »</w:t>
            </w:r>
          </w:p>
        </w:tc>
        <w:tc>
          <w:tcPr>
            <w:tcW w:w="1800" w:type="dxa"/>
            <w:vAlign w:val="top"/>
          </w:tcPr>
          <w:p>
            <w:pPr>
              <w:spacing w:after="0"/>
            </w:pPr>
            <w:r>
              <w:rPr>
                <w:sz w:val="17"/>
                <w:szCs w:val="17"/>
              </w:rPr>
              <w:t xml:space="preserve">Fijten GH, Blijham GH. Unexplained lymphadenopathy in family practice: an evaluation of the probability of malignant causes and the effectiveness of physicians' workup. J Fam Pract 1988;27(4):373-376 (étude néerlandaise de médecine de famille) — https://cdn.mdedge.com/files/s3fs-public/jfp-archived-issues/1988-volume_26-27/JFP_1988-10_v27_i4_unexplained-lymphadenopathy-in-family-pr.pdf —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L2-M06</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LOT_2_Appel_A_Plan_et_Liste_Fédéral__export_GoogleDoc.html</w:t>
            </w:r>
          </w:p>
        </w:tc>
        <w:tc>
          <w:tcPr>
            <w:tcW w:w="2350" w:type="dxa"/>
            <w:vAlign w:val="top"/>
          </w:tcPr>
          <w:p>
            <w:pPr>
              <w:spacing w:after="0"/>
            </w:pPr>
            <w:r>
              <w:rPr>
                <w:sz w:val="17"/>
                <w:szCs w:val="17"/>
              </w:rPr>
              <w:t xml:space="preserve">Bloc 1 › point 9 › 2ème intention</w:t>
            </w:r>
          </w:p>
        </w:tc>
        <w:tc>
          <w:tcPr>
            <w:tcW w:w="2600" w:type="dxa"/>
            <w:vAlign w:val="top"/>
          </w:tcPr>
          <w:p>
            <w:pPr>
              <w:spacing w:after="0"/>
            </w:pPr>
            <w:r>
              <w:rPr>
                <w:i/>
                <w:sz w:val="17"/>
                <w:szCs w:val="17"/>
              </w:rPr>
              <w:t xml:space="preserve">« uniquement pour prouver une récidive ou une métastase de carcinome »</w:t>
            </w:r>
          </w:p>
        </w:tc>
        <w:tc>
          <w:tcPr>
            <w:tcW w:w="3000" w:type="dxa"/>
            <w:vAlign w:val="top"/>
          </w:tcPr>
          <w:p>
            <w:pPr>
              <w:spacing w:after="40"/>
            </w:pPr>
            <w:r>
              <w:rPr>
                <w:sz w:val="17"/>
                <w:szCs w:val="17"/>
              </w:rPr>
              <w:t xml:space="preserve">La cytoponction échoguidée (ou la microbiopsie) est l'examen de première ligne d'une masse cervicale suspecte de métastase chez l'adulte, et non un examen de recours réservé aux récidives ; la phrase contredit en outre la monographie D2.7 du même lot, qui en fait le gold standard.</w:t>
            </w:r>
          </w:p>
          <w:p>
            <w:pPr>
              <w:spacing w:after="0"/>
            </w:pPr>
            <w:r>
              <w:rPr>
                <w:b/>
                <w:color w:val="145A32"/>
                <w:sz w:val="17"/>
                <w:szCs w:val="17"/>
              </w:rPr>
              <w:t xml:space="preserve">→ Écrire : « Devant une masse cervicale suspecte de métastase chez l'adulte, le médecin obtient d'abord une cytoponction ou une microbiopsie échoguidée et un examen ORL complet ; la biopsie-exérèse chirurgicale est réservée à la suspicion de lymphome ou aux prélèvements non contributifs. »</w:t>
            </w:r>
          </w:p>
        </w:tc>
        <w:tc>
          <w:tcPr>
            <w:tcW w:w="1800" w:type="dxa"/>
            <w:vAlign w:val="top"/>
          </w:tcPr>
          <w:p>
            <w:pPr>
              <w:spacing w:after="0"/>
            </w:pPr>
            <w:r>
              <w:rPr>
                <w:sz w:val="17"/>
                <w:szCs w:val="17"/>
              </w:rPr>
              <w:t xml:space="preserve">Investigation and management of the unknown primary with metastatic neck disease: United Kingdom National Multidisciplinary Guidelines, J Laryngol Otol 2016 — https://www.ncbi.nlm.nih.gov/pmc/articles/PMC4873921/ — consulté le 22.10.2026 ; monographie D2.7, points 9 et 14 du lot.</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L2-M07</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LOT_2_Appel_A_Plan_et_Liste_Fédéral__export_GoogleDoc.html</w:t>
            </w:r>
          </w:p>
        </w:tc>
        <w:tc>
          <w:tcPr>
            <w:tcW w:w="2350" w:type="dxa"/>
            <w:vAlign w:val="top"/>
          </w:tcPr>
          <w:p>
            <w:pPr>
              <w:spacing w:after="0"/>
            </w:pPr>
            <w:r>
              <w:rPr>
                <w:sz w:val="17"/>
                <w:szCs w:val="17"/>
              </w:rPr>
              <w:t xml:space="preserve">Bloc 1 › point 10 Arbre décisionnel</w:t>
            </w:r>
          </w:p>
        </w:tc>
        <w:tc>
          <w:tcPr>
            <w:tcW w:w="2600" w:type="dxa"/>
            <w:vAlign w:val="top"/>
          </w:tcPr>
          <w:p>
            <w:pPr>
              <w:spacing w:after="0"/>
            </w:pPr>
            <w:r>
              <w:rPr>
                <w:i/>
                <w:sz w:val="17"/>
                <w:szCs w:val="17"/>
              </w:rPr>
              <w:t xml:space="preserve">« le médecin adresse le patient au chirurgien pour une exérèse diagnostique sans délai »</w:t>
            </w:r>
          </w:p>
        </w:tc>
        <w:tc>
          <w:tcPr>
            <w:tcW w:w="3000" w:type="dxa"/>
            <w:vAlign w:val="top"/>
          </w:tcPr>
          <w:p>
            <w:pPr>
              <w:spacing w:after="40"/>
            </w:pPr>
            <w:r>
              <w:rPr>
                <w:sz w:val="17"/>
                <w:szCs w:val="17"/>
              </w:rPr>
              <w:t xml:space="preserve">L'arbre envoie toute masse persistante ou suspecte vers une exérèse chirurgicale d'emblée, sans étape ORL ni cytoponction, alors que le lot lui-même qualifie cette biopsie ouverte d'une métastase cervicale d'« erreur majeure » (D2.7, point 14) ; le premier recours reçoit donc une conduite contradictoire et potentiellement préjudiciable.</w:t>
            </w:r>
          </w:p>
          <w:p>
            <w:pPr>
              <w:spacing w:after="0"/>
            </w:pPr>
            <w:r>
              <w:rPr>
                <w:b/>
                <w:color w:val="145A32"/>
                <w:sz w:val="17"/>
                <w:szCs w:val="17"/>
              </w:rPr>
              <w:t xml:space="preserve">→ Remplacer par : « Si la masse persiste au-delà de 3 à 4 semaines ou présente des critères de malignité, le médecin adresse le patient sans délai : à l'ORL pour une masse cervicale de l'adulte (examen endoscopique, cytoponction échoguidée), à l'hématologue ou au chirurgien pour une exérèse ganglionnaire si un lymphome est suspecté. »</w:t>
            </w:r>
          </w:p>
        </w:tc>
        <w:tc>
          <w:tcPr>
            <w:tcW w:w="1800" w:type="dxa"/>
            <w:vAlign w:val="top"/>
          </w:tcPr>
          <w:p>
            <w:pPr>
              <w:spacing w:after="0"/>
            </w:pPr>
            <w:r>
              <w:rPr>
                <w:sz w:val="17"/>
                <w:szCs w:val="17"/>
              </w:rPr>
              <w:t xml:space="preserve">UK National Multidisciplinary Guidelines 2016 (PMC4873921), consulté le 22.10.2026 ; cohérence interne avec D2.7 (points 10 et 14).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L2-M08</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LOT_2_Appel_A_Plan_et_Liste_Fédéral__export_GoogleDoc.html</w:t>
            </w:r>
          </w:p>
        </w:tc>
        <w:tc>
          <w:tcPr>
            <w:tcW w:w="2350" w:type="dxa"/>
            <w:vAlign w:val="top"/>
          </w:tcPr>
          <w:p>
            <w:pPr>
              <w:spacing w:after="0"/>
            </w:pPr>
            <w:r>
              <w:rPr>
                <w:sz w:val="17"/>
                <w:szCs w:val="17"/>
              </w:rPr>
              <w:t xml:space="preserve">Bloc 2 › liste des 10 DX (ensemble)</w:t>
            </w:r>
          </w:p>
        </w:tc>
        <w:tc>
          <w:tcPr>
            <w:tcW w:w="2600" w:type="dxa"/>
            <w:vAlign w:val="top"/>
          </w:tcPr>
          <w:p>
            <w:pPr>
              <w:spacing w:after="0"/>
            </w:pPr>
            <w:r>
              <w:rPr>
                <w:i/>
                <w:sz w:val="17"/>
                <w:szCs w:val="17"/>
              </w:rPr>
              <w:t xml:space="preserve">« D2.10 — Primo-infection par le VIH »</w:t>
            </w:r>
          </w:p>
        </w:tc>
        <w:tc>
          <w:tcPr>
            <w:tcW w:w="3000" w:type="dxa"/>
            <w:vAlign w:val="top"/>
          </w:tcPr>
          <w:p>
            <w:pPr>
              <w:spacing w:after="40"/>
            </w:pPr>
            <w:r>
              <w:rPr>
                <w:sz w:val="17"/>
                <w:szCs w:val="17"/>
              </w:rPr>
              <w:t xml:space="preserve">La liste omet plusieurs diagnostics à ne pas manquer du SSP « tuméfaction » que le lot cite pourtant lui-même ailleurs : leucémie lymphoïde chronique et leucémie aiguë (citées en D2.3 et D2.5), sarcome des tissus mous (cité en D2.2), ainsi que des tuméfactions non ganglionnaires fréquentes (goitre ou nodule thyroïdien, tumeur salivaire, hernie inguinale, abcès).</w:t>
            </w:r>
          </w:p>
          <w:p>
            <w:pPr>
              <w:spacing w:after="0"/>
            </w:pPr>
            <w:r>
              <w:rPr>
                <w:b/>
                <w:color w:val="145A32"/>
                <w:sz w:val="17"/>
                <w:szCs w:val="17"/>
              </w:rPr>
              <w:t xml:space="preserve">→ Ajouter une fenêtre « Diagnostics à ne pas manquer hors top 10 » listant LLC et leucémies aiguës, sarcome des tissus mous, nodule thyroïdien, tumeur parotidienne, hernie et abcès, avec pour chacun le signe ou l'examen discriminant ; envisager de remplacer la sarcoïdose (adénopathies hilaires non palpables) par la LLC dans le top 10.</w:t>
            </w:r>
          </w:p>
        </w:tc>
        <w:tc>
          <w:tcPr>
            <w:tcW w:w="1800" w:type="dxa"/>
            <w:vAlign w:val="top"/>
          </w:tcPr>
          <w:p>
            <w:pPr>
              <w:spacing w:after="0"/>
            </w:pPr>
            <w:r>
              <w:rPr>
                <w:sz w:val="17"/>
                <w:szCs w:val="17"/>
              </w:rPr>
              <w:t xml:space="preserve">Cohérence interne du lot (D2.2 point 4, D2.3 point 4, D2.5 point 4) ; PROMPT_V6.md section 8 et consigne d'audit « absence d'oubli grave ».</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L2-M14</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LOT_2_Appel_B_V4_Argon_Partie_2_D2.3_a_D2.5__export_GoogleDoc.html</w:t>
            </w:r>
          </w:p>
        </w:tc>
        <w:tc>
          <w:tcPr>
            <w:tcW w:w="2350" w:type="dxa"/>
            <w:vAlign w:val="top"/>
          </w:tcPr>
          <w:p>
            <w:pPr>
              <w:spacing w:after="0"/>
            </w:pPr>
            <w:r>
              <w:rPr>
                <w:sz w:val="17"/>
                <w:szCs w:val="17"/>
              </w:rPr>
              <w:t xml:space="preserve">D2.3 › point 11.B › corticoïdes (4 autres occurrences : D2.5 point 11.B R-CHOP ; D2.9 point 11.B et point 14 ; D2.1 point 14)</w:t>
            </w:r>
          </w:p>
        </w:tc>
        <w:tc>
          <w:tcPr>
            <w:tcW w:w="2600" w:type="dxa"/>
            <w:vAlign w:val="top"/>
          </w:tcPr>
          <w:p>
            <w:pPr>
              <w:spacing w:after="0"/>
            </w:pPr>
            <w:r>
              <w:rPr>
                <w:i/>
                <w:sz w:val="17"/>
                <w:szCs w:val="17"/>
              </w:rPr>
              <w:t xml:space="preserve">« Molécule : Prednisone (Nom commercial suisse : Spiricort® ) »</w:t>
            </w:r>
          </w:p>
        </w:tc>
        <w:tc>
          <w:tcPr>
            <w:tcW w:w="3000" w:type="dxa"/>
            <w:vAlign w:val="top"/>
          </w:tcPr>
          <w:p>
            <w:pPr>
              <w:spacing w:after="40"/>
            </w:pPr>
            <w:r>
              <w:rPr>
                <w:sz w:val="17"/>
                <w:szCs w:val="17"/>
              </w:rPr>
              <w:t xml:space="preserve">Spiricort® (Spirig HealthCare) contient de la prednisolone (ATC H02AB06), et non de la prednisone ; la spécialité attribuée à la prednisone est donc fausse.</w:t>
            </w:r>
          </w:p>
          <w:p>
            <w:pPr>
              <w:spacing w:after="0"/>
            </w:pPr>
            <w:r>
              <w:rPr>
                <w:b/>
                <w:color w:val="145A32"/>
                <w:sz w:val="17"/>
                <w:szCs w:val="17"/>
              </w:rPr>
              <w:t xml:space="preserve">→ Écrire « Prednisone (Prednison Streuli® ou Prednison Galepharm®) » ou bien « Prednisolone (Spiricort®) » en conservant la même équivalence de dose, dans les 5 occurrences.</w:t>
            </w:r>
          </w:p>
        </w:tc>
        <w:tc>
          <w:tcPr>
            <w:tcW w:w="1800" w:type="dxa"/>
            <w:vAlign w:val="top"/>
          </w:tcPr>
          <w:p>
            <w:pPr>
              <w:spacing w:after="0"/>
            </w:pPr>
            <w:r>
              <w:rPr>
                <w:sz w:val="17"/>
                <w:szCs w:val="17"/>
              </w:rPr>
              <w:t xml:space="preserve">ch.oddb.org (données Swissmedic/compendium) : Spiricort®, prednisolone, H02AB06 — https://ch.oddb.org/de/gcc/fachinfo/reg/38840/chapter/composition ; Prednison Streuli/Galepharm, H02AB07 — https://ch.oddb.org/en/gcc/show/reg/29349/seq/04 — consultés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L2-M21</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LOT_2_Appel_B_V4_Argon_Partie_2_D2.3_a_D2.5__export_GoogleDoc.html</w:t>
            </w:r>
          </w:p>
        </w:tc>
        <w:tc>
          <w:tcPr>
            <w:tcW w:w="2350" w:type="dxa"/>
            <w:vAlign w:val="top"/>
          </w:tcPr>
          <w:p>
            <w:pPr>
              <w:spacing w:after="0"/>
            </w:pPr>
            <w:r>
              <w:rPr>
                <w:sz w:val="17"/>
                <w:szCs w:val="17"/>
              </w:rPr>
              <w:t xml:space="preserve">D2.5 › point 11.D › thérapies cellulaires CAR-T</w:t>
            </w:r>
          </w:p>
        </w:tc>
        <w:tc>
          <w:tcPr>
            <w:tcW w:w="2600" w:type="dxa"/>
            <w:vAlign w:val="top"/>
          </w:tcPr>
          <w:p>
            <w:pPr>
              <w:spacing w:after="0"/>
            </w:pPr>
            <w:r>
              <w:rPr>
                <w:i/>
                <w:sz w:val="17"/>
                <w:szCs w:val="17"/>
              </w:rPr>
              <w:t xml:space="preserve">« dès la 2e ligne »</w:t>
            </w:r>
          </w:p>
        </w:tc>
        <w:tc>
          <w:tcPr>
            <w:tcW w:w="3000" w:type="dxa"/>
            <w:vAlign w:val="top"/>
          </w:tcPr>
          <w:p>
            <w:pPr>
              <w:spacing w:after="40"/>
            </w:pPr>
            <w:r>
              <w:rPr>
                <w:sz w:val="17"/>
                <w:szCs w:val="17"/>
              </w:rPr>
              <w:t xml:space="preserve">Le tisagenlecleucel (Kymriah®) n'est autorisé par Swissmedic dans le lymphome diffus à grandes cellules B qu'après deux lignes ou plus de traitement systémique ; il ne fait pas partie des CAR-T de 2e ligne.</w:t>
            </w:r>
          </w:p>
          <w:p>
            <w:pPr>
              <w:spacing w:after="0"/>
            </w:pPr>
            <w:r>
              <w:rPr>
                <w:b/>
                <w:color w:val="145A32"/>
                <w:sz w:val="17"/>
                <w:szCs w:val="17"/>
              </w:rPr>
              <w:t xml:space="preserve">→ Écrire : « En 2e ligne (rechute précoce ou réfractaire), l'axicabtagène ciloleucel (Yescarta®) ou le lisocabtagène maraleucel (Breyanzi®) ; à partir de la 3e ligne, également le tisagenlecleucel (Kymriah®) », après vérification des indications de Yescarta® et Breyanzi® dans l'AIPS.</w:t>
            </w:r>
          </w:p>
        </w:tc>
        <w:tc>
          <w:tcPr>
            <w:tcW w:w="1800" w:type="dxa"/>
            <w:vAlign w:val="top"/>
          </w:tcPr>
          <w:p>
            <w:pPr>
              <w:spacing w:after="0"/>
            </w:pPr>
            <w:r>
              <w:rPr>
                <w:sz w:val="17"/>
                <w:szCs w:val="17"/>
              </w:rPr>
              <w:t xml:space="preserve">Swissmedic, Kymriah™ (tisagenlecleucel), indication « DLBCL nach zwei oder mehr Linien einer systemischen Therapie » — https://www.swissmedic.ch/swissmedic/de/home/humanarzneimittel/authorisations/new-medicines/kymriahtm_zellsuspensionzurinfusiontisagenlecleucelum.html —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L2-M25</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LOT_2_Appel_B_V4_Argon_Partie_4_D2.8_a_D2.10__export_GoogleDoc.html</w:t>
            </w:r>
          </w:p>
        </w:tc>
        <w:tc>
          <w:tcPr>
            <w:tcW w:w="2350" w:type="dxa"/>
            <w:vAlign w:val="top"/>
          </w:tcPr>
          <w:p>
            <w:pPr>
              <w:spacing w:after="0"/>
            </w:pPr>
            <w:r>
              <w:rPr>
                <w:sz w:val="17"/>
                <w:szCs w:val="17"/>
              </w:rPr>
              <w:t xml:space="preserve">D2.8 › point 11.D › Recherche 2026</w:t>
            </w:r>
          </w:p>
        </w:tc>
        <w:tc>
          <w:tcPr>
            <w:tcW w:w="2600" w:type="dxa"/>
            <w:vAlign w:val="top"/>
          </w:tcPr>
          <w:p>
            <w:pPr>
              <w:spacing w:after="0"/>
            </w:pPr>
            <w:r>
              <w:rPr>
                <w:i/>
                <w:sz w:val="17"/>
                <w:szCs w:val="17"/>
              </w:rPr>
              <w:t xml:space="preserve">« qui surpassent l'ABVD et le BEACOPP en survie sans progression »</w:t>
            </w:r>
          </w:p>
        </w:tc>
        <w:tc>
          <w:tcPr>
            <w:tcW w:w="3000" w:type="dxa"/>
            <w:vAlign w:val="top"/>
          </w:tcPr>
          <w:p>
            <w:pPr>
              <w:spacing w:after="40"/>
            </w:pPr>
            <w:r>
              <w:rPr>
                <w:sz w:val="17"/>
                <w:szCs w:val="17"/>
              </w:rPr>
              <w:t xml:space="preserve">L'essai SWOG S1826 a comparé N-AVD à BV-AVD (et non à l'ABVD), et l'essai GHSG HD21 a comparé BrECADD à l'eBEACOPP ; aucun de ces deux essais n'a démontré une supériorité « sur l'ABVD et le BEACOPP » à la fois.</w:t>
            </w:r>
          </w:p>
          <w:p>
            <w:pPr>
              <w:spacing w:after="0"/>
            </w:pPr>
            <w:r>
              <w:rPr>
                <w:b/>
                <w:color w:val="145A32"/>
                <w:sz w:val="17"/>
                <w:szCs w:val="17"/>
              </w:rPr>
              <w:t xml:space="preserve">→ Écrire : « N-AVD a amélioré la survie sans progression par rapport à BV-AVD (SWOG S1826 ; PFS à 1 an 94 % contre 86 %, HR 0,48) et BrECADD a été comparé à l'eBEACOPP (GHSG HD21), avec une toxicité moindre. » ; indiquer que S1826 est un essai nord-américain et non une recommandation.</w:t>
            </w:r>
          </w:p>
        </w:tc>
        <w:tc>
          <w:tcPr>
            <w:tcW w:w="1800" w:type="dxa"/>
            <w:vAlign w:val="top"/>
          </w:tcPr>
          <w:p>
            <w:pPr>
              <w:spacing w:after="0"/>
            </w:pPr>
            <w:r>
              <w:rPr>
                <w:sz w:val="17"/>
                <w:szCs w:val="17"/>
              </w:rPr>
              <w:t xml:space="preserve">Herrera AF et al., SWOG S1826 — ASCO Post 2023 (https://ascopost.com/issues/august-10-2023-supplement-hematologic-oncology-almanac/nivolumab-plus-avd-surpasses-standard-of-care-combination-regimen-in-patients-with-advanced-hodgkin-lymphoma/) —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L2-M34</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LOT_2_V6_Enrichi_8plus_Partie_1_Integral.html</w:t>
            </w:r>
          </w:p>
        </w:tc>
        <w:tc>
          <w:tcPr>
            <w:tcW w:w="2350" w:type="dxa"/>
            <w:vAlign w:val="top"/>
          </w:tcPr>
          <w:p>
            <w:pPr>
              <w:spacing w:after="0"/>
            </w:pPr>
            <w:r>
              <w:rPr>
                <w:sz w:val="17"/>
                <w:szCs w:val="17"/>
              </w:rPr>
              <w:t xml:space="preserve">D2.7 › point 2 Épidémiologie (et points 5, 9 › Alternatives, 11.C, 11.D de la même monographie)</w:t>
            </w:r>
          </w:p>
        </w:tc>
        <w:tc>
          <w:tcPr>
            <w:tcW w:w="2600" w:type="dxa"/>
            <w:vAlign w:val="top"/>
          </w:tcPr>
          <w:p>
            <w:pPr>
              <w:spacing w:after="0"/>
            </w:pPr>
            <w:r>
              <w:rPr>
                <w:i/>
                <w:sz w:val="17"/>
                <w:szCs w:val="17"/>
              </w:rPr>
              <w:t xml:space="preserve">« Les cancers représentent une cause possible de fièvre prolongée, mais une infection reste à rechercher même chez un patient atteint de cancer. »</w:t>
            </w:r>
          </w:p>
        </w:tc>
        <w:tc>
          <w:tcPr>
            <w:tcW w:w="3000" w:type="dxa"/>
            <w:vAlign w:val="top"/>
          </w:tcPr>
          <w:p>
            <w:pPr>
              <w:spacing w:after="40"/>
            </w:pPr>
            <w:r>
              <w:rPr>
                <w:sz w:val="17"/>
                <w:szCs w:val="17"/>
              </w:rPr>
              <w:t xml:space="preserve">La monographie D2.7 de la version V6 contient des phrases issues d'un autre SSP (fièvre prolongée, neutropénie fébrile, frottis sanguin, surveillance des neutrophiles) qui n'ont aucun rapport avec une métastase ganglionnaire et égarent l'étudiant.</w:t>
            </w:r>
          </w:p>
          <w:p>
            <w:pPr>
              <w:spacing w:after="0"/>
            </w:pPr>
            <w:r>
              <w:rPr>
                <w:b/>
                <w:color w:val="145A32"/>
                <w:sz w:val="17"/>
                <w:szCs w:val="17"/>
              </w:rPr>
              <w:t xml:space="preserve">→ Réécrire D2.7 points 2, 5, 9 (Alternatives), 11.C et 11.D à partir du contenu sourcé de la V4 Partie 3 (topographie du primitif, examen ORL, cytoponction échoguidée, bilan d'extension), en supprimant toute mention de fièvre ou de neutropénie.</w:t>
            </w:r>
          </w:p>
        </w:tc>
        <w:tc>
          <w:tcPr>
            <w:tcW w:w="1800" w:type="dxa"/>
            <w:vAlign w:val="top"/>
          </w:tcPr>
          <w:p>
            <w:pPr>
              <w:spacing w:after="0"/>
            </w:pPr>
            <w:r>
              <w:rPr>
                <w:sz w:val="17"/>
                <w:szCs w:val="17"/>
              </w:rPr>
              <w:t xml:space="preserve">Comparaison avec LOT_2_Appel_B_V4_Argon_Partie_3 (D2.7) ; PROMPT_V6.md section 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L2-M35</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LOT_2_V6_Enrichi_8plus_Partie_1_Integral.html</w:t>
            </w:r>
          </w:p>
        </w:tc>
        <w:tc>
          <w:tcPr>
            <w:tcW w:w="2350" w:type="dxa"/>
            <w:vAlign w:val="top"/>
          </w:tcPr>
          <w:p>
            <w:pPr>
              <w:spacing w:after="0"/>
            </w:pPr>
            <w:r>
              <w:rPr>
                <w:sz w:val="17"/>
                <w:szCs w:val="17"/>
              </w:rPr>
              <w:t xml:space="preserve">D2.4 › point 2 Épidémiologie (et point 11.B)</w:t>
            </w:r>
          </w:p>
        </w:tc>
        <w:tc>
          <w:tcPr>
            <w:tcW w:w="2600" w:type="dxa"/>
            <w:vAlign w:val="top"/>
          </w:tcPr>
          <w:p>
            <w:pPr>
              <w:spacing w:after="0"/>
            </w:pPr>
            <w:r>
              <w:rPr>
                <w:i/>
                <w:sz w:val="17"/>
                <w:szCs w:val="17"/>
              </w:rPr>
              <w:t xml:space="preserve">« Les mycoses pulmonaires dépendent aussi de la géographie et du terrain. »</w:t>
            </w:r>
          </w:p>
        </w:tc>
        <w:tc>
          <w:tcPr>
            <w:tcW w:w="3000" w:type="dxa"/>
            <w:vAlign w:val="top"/>
          </w:tcPr>
          <w:p>
            <w:pPr>
              <w:spacing w:after="40"/>
            </w:pPr>
            <w:r>
              <w:rPr>
                <w:sz w:val="17"/>
                <w:szCs w:val="17"/>
              </w:rPr>
              <w:t xml:space="preserve">Des phrases sur les mycoses pulmonaires et invasives, sans lien avec la tuberculose ganglionnaire, ont été insérées dans D2.4 ; en outre, le texte affirme qu'aucune donnée chiffrée n'existe alors que l'OFSP publie le nombre annuel de cas (432 cas en 2023).</w:t>
            </w:r>
          </w:p>
          <w:p>
            <w:pPr>
              <w:spacing w:after="0"/>
            </w:pPr>
            <w:r>
              <w:rPr>
                <w:b/>
                <w:color w:val="145A32"/>
                <w:sz w:val="17"/>
                <w:szCs w:val="17"/>
              </w:rPr>
              <w:t xml:space="preserve">→ Supprimer les deux phrases sur les mycoses et écrire : « La Suisse a déclaré 432 cas de tuberculose en 2023, surtout chez des personnes nées dans des pays de forte incidence [Sn : OFSP, Bulletin 27/2025]. »</w:t>
            </w:r>
          </w:p>
        </w:tc>
        <w:tc>
          <w:tcPr>
            <w:tcW w:w="1800" w:type="dxa"/>
            <w:vAlign w:val="top"/>
          </w:tcPr>
          <w:p>
            <w:pPr>
              <w:spacing w:after="0"/>
            </w:pPr>
            <w:r>
              <w:rPr>
                <w:sz w:val="17"/>
                <w:szCs w:val="17"/>
              </w:rPr>
              <w:t xml:space="preserve">OFSP, La tuberculose en Suisse en 2023, Bulletin OFSP 27/2025 — https://www.bag.admin.ch/dam/fr/sd-web/StKoBk25GQ-t/BU_27_25_FR.pdf —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L2-M36</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LOT_2_V6_Enrichi_8plus_Partie_1_Integral.html</w:t>
            </w:r>
          </w:p>
        </w:tc>
        <w:tc>
          <w:tcPr>
            <w:tcW w:w="2350" w:type="dxa"/>
            <w:vAlign w:val="top"/>
          </w:tcPr>
          <w:p>
            <w:pPr>
              <w:spacing w:after="0"/>
            </w:pPr>
            <w:r>
              <w:rPr>
                <w:sz w:val="17"/>
                <w:szCs w:val="17"/>
              </w:rPr>
              <w:t xml:space="preserve">Toutes les monographies › points 9 et 11 (11 monographies ; exemple D2.5 › point 11.B)</w:t>
            </w:r>
          </w:p>
        </w:tc>
        <w:tc>
          <w:tcPr>
            <w:tcW w:w="2600" w:type="dxa"/>
            <w:vAlign w:val="top"/>
          </w:tcPr>
          <w:p>
            <w:pPr>
              <w:spacing w:after="0"/>
            </w:pPr>
            <w:r>
              <w:rPr>
                <w:i/>
                <w:sz w:val="17"/>
                <w:szCs w:val="17"/>
              </w:rPr>
              <w:t xml:space="preserve">« Certaines formes indolentes sont surveillées, tandis que d'autres nécessitent rapidement une immunochimiothérapie ou une autre stratégie spécialisée. »</w:t>
            </w:r>
          </w:p>
        </w:tc>
        <w:tc>
          <w:tcPr>
            <w:tcW w:w="3000" w:type="dxa"/>
            <w:vAlign w:val="top"/>
          </w:tcPr>
          <w:p>
            <w:pPr>
              <w:spacing w:after="40"/>
            </w:pPr>
            <w:r>
              <w:rPr>
                <w:sz w:val="17"/>
                <w:szCs w:val="17"/>
              </w:rPr>
              <w:t xml:space="preserve">La version V6 supprime toutes les valeurs chiffrées, DCI, spécialités ®, doses, durées, tableaux d'interprétation et fenêtres de mécanisme présents en V4 ; elle ne respecte plus les règles 6.7, 9 et 11.B du prompt et n'apporte aucune aide décisionnelle à l'examen.</w:t>
            </w:r>
          </w:p>
          <w:p>
            <w:pPr>
              <w:spacing w:after="0"/>
            </w:pPr>
            <w:r>
              <w:rPr>
                <w:b/>
                <w:color w:val="145A32"/>
                <w:sz w:val="17"/>
                <w:szCs w:val="17"/>
              </w:rPr>
              <w:t xml:space="preserve">→ Reconstruire chaque monographie à partir de la V4 corrigée selon le présent audit, en conservant les précautions de langage de la V6, et ajouter pour chaque examen le tableau normal SI | seuil | signification | conduite.</w:t>
            </w:r>
          </w:p>
        </w:tc>
        <w:tc>
          <w:tcPr>
            <w:tcW w:w="1800" w:type="dxa"/>
            <w:vAlign w:val="top"/>
          </w:tcPr>
          <w:p>
            <w:pPr>
              <w:spacing w:after="0"/>
            </w:pPr>
            <w:r>
              <w:rPr>
                <w:sz w:val="17"/>
                <w:szCs w:val="17"/>
              </w:rPr>
              <w:t xml:space="preserve">PROMPT_V6.md sections 5 (points 9 et 11), 6.7 et 13.</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L2-M37</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LOT_2_V6_Enrichi_8plus_Partie_1_Integral.html</w:t>
            </w:r>
          </w:p>
        </w:tc>
        <w:tc>
          <w:tcPr>
            <w:tcW w:w="2350" w:type="dxa"/>
            <w:vAlign w:val="top"/>
          </w:tcPr>
          <w:p>
            <w:pPr>
              <w:spacing w:after="0"/>
            </w:pPr>
            <w:r>
              <w:rPr>
                <w:sz w:val="17"/>
                <w:szCs w:val="17"/>
              </w:rPr>
              <w:t xml:space="preserve">Toutes les monographies › fenêtre « Consulter les références et leur portée » (11 occurrences ; première : SSP G2 après le point 14)</w:t>
            </w:r>
          </w:p>
        </w:tc>
        <w:tc>
          <w:tcPr>
            <w:tcW w:w="2600" w:type="dxa"/>
            <w:vAlign w:val="top"/>
          </w:tcPr>
          <w:p>
            <w:pPr>
              <w:spacing w:after="0"/>
            </w:pPr>
            <w:r>
              <w:rPr>
                <w:i/>
                <w:sz w:val="17"/>
                <w:szCs w:val="17"/>
              </w:rPr>
              <w:t xml:space="preserve">« Une cytoponction négative ne permet pas d'exclure un lymphome. Consulter les références et leur portée »</w:t>
            </w:r>
          </w:p>
        </w:tc>
        <w:tc>
          <w:tcPr>
            <w:tcW w:w="3000" w:type="dxa"/>
            <w:vAlign w:val="top"/>
          </w:tcPr>
          <w:p>
            <w:pPr>
              <w:spacing w:after="40"/>
            </w:pPr>
            <w:r>
              <w:rPr>
                <w:sz w:val="17"/>
                <w:szCs w:val="17"/>
              </w:rPr>
              <w:t xml:space="preserve">Chaque fenêtre de références ne renvoie qu'au document Drive de départ et annonce des « références externes » qui ne sont jamais listées : le fichier ne comporte aucune source [S1]…[Sn] réelle et datée.</w:t>
            </w:r>
          </w:p>
          <w:p>
            <w:pPr>
              <w:spacing w:after="0"/>
            </w:pPr>
            <w:r>
              <w:rPr>
                <w:b/>
                <w:color w:val="145A32"/>
                <w:sz w:val="17"/>
                <w:szCs w:val="17"/>
              </w:rPr>
              <w:t xml:space="preserve">→ Ajouter une section Sources numérotée [S1]…[Sn] (titre, organisme, année, URL, date de consultation) et rattacher chaque affirmation chiffrée à sa source ; supprimer la phrase sur des références externes absentes.</w:t>
            </w:r>
          </w:p>
        </w:tc>
        <w:tc>
          <w:tcPr>
            <w:tcW w:w="1800" w:type="dxa"/>
            <w:vAlign w:val="top"/>
          </w:tcPr>
          <w:p>
            <w:pPr>
              <w:spacing w:after="0"/>
            </w:pPr>
            <w:r>
              <w:rPr>
                <w:sz w:val="17"/>
                <w:szCs w:val="17"/>
              </w:rPr>
              <w:t xml:space="preserve">PROMPT_V6.md section 3.8.</w:t>
            </w:r>
          </w:p>
        </w:tc>
      </w:tr>
    </w:tbl>
    <w:p>
      <w:pPr>
        <w:spacing w:after="120"/>
      </w:pPr>
    </w:p>
    <w:p>
      <w:pPr>
        <w:pStyle w:val="Titre1"/>
        <w:keepNext/>
      </w:pPr>
      <w:r>
        <w:rPr>
          <w:b/>
          <w:color w:val="B9770E"/>
          <w:sz w:val="26"/>
          <w:szCs w:val="26"/>
        </w:rPr>
        <w:t xml:space="preserve">Moyen — 47 problème(s)</w:t>
      </w:r>
    </w:p>
    <w:tbl>
      <w:tblPr>
        <w:tblW w:w="144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600"/>
        <w:gridCol w:w="900"/>
        <w:gridCol w:w="1250"/>
        <w:gridCol w:w="1900"/>
        <w:gridCol w:w="2350"/>
        <w:gridCol w:w="2600"/>
        <w:gridCol w:w="3000"/>
        <w:gridCol w:w="1800"/>
      </w:tblGrid>
      <w:tr>
        <w:trPr>
          <w:tblHeader/>
          <w:cantSplit/>
        </w:trPr>
        <w:tc>
          <w:tcPr>
            <w:tcW w:w="600" w:type="dxa"/>
            <w:shd w:val="clear" w:color="auto" w:fill="B9770E"/>
            <w:vAlign w:val="top"/>
          </w:tcPr>
          <w:p>
            <w:pPr>
              <w:spacing w:after="0"/>
            </w:pPr>
            <w:r>
              <w:rPr>
                <w:b/>
                <w:color w:val="FFFFFF"/>
                <w:sz w:val="17"/>
                <w:szCs w:val="17"/>
              </w:rPr>
              <w:t xml:space="preserve">Fait</w:t>
            </w:r>
          </w:p>
        </w:tc>
        <w:tc>
          <w:tcPr>
            <w:tcW w:w="900" w:type="dxa"/>
            <w:shd w:val="clear" w:color="auto" w:fill="B9770E"/>
            <w:vAlign w:val="top"/>
          </w:tcPr>
          <w:p>
            <w:pPr>
              <w:spacing w:after="0"/>
            </w:pPr>
            <w:r>
              <w:rPr>
                <w:b/>
                <w:color w:val="FFFFFF"/>
                <w:sz w:val="17"/>
                <w:szCs w:val="17"/>
              </w:rPr>
              <w:t xml:space="preserve">N°</w:t>
            </w:r>
          </w:p>
        </w:tc>
        <w:tc>
          <w:tcPr>
            <w:tcW w:w="1250" w:type="dxa"/>
            <w:shd w:val="clear" w:color="auto" w:fill="B9770E"/>
            <w:vAlign w:val="top"/>
          </w:tcPr>
          <w:p>
            <w:pPr>
              <w:spacing w:after="0"/>
            </w:pPr>
            <w:r>
              <w:rPr>
                <w:b/>
                <w:color w:val="FFFFFF"/>
                <w:sz w:val="17"/>
                <w:szCs w:val="17"/>
              </w:rPr>
              <w:t xml:space="preserve">Domaine</w:t>
            </w:r>
          </w:p>
        </w:tc>
        <w:tc>
          <w:tcPr>
            <w:tcW w:w="1900" w:type="dxa"/>
            <w:shd w:val="clear" w:color="auto" w:fill="B9770E"/>
            <w:vAlign w:val="top"/>
          </w:tcPr>
          <w:p>
            <w:pPr>
              <w:spacing w:after="0"/>
            </w:pPr>
            <w:r>
              <w:rPr>
                <w:b/>
                <w:color w:val="FFFFFF"/>
                <w:sz w:val="17"/>
                <w:szCs w:val="17"/>
              </w:rPr>
              <w:t xml:space="preserve">Fichier</w:t>
            </w:r>
          </w:p>
        </w:tc>
        <w:tc>
          <w:tcPr>
            <w:tcW w:w="2350" w:type="dxa"/>
            <w:shd w:val="clear" w:color="auto" w:fill="B9770E"/>
            <w:vAlign w:val="top"/>
          </w:tcPr>
          <w:p>
            <w:pPr>
              <w:spacing w:after="0"/>
            </w:pPr>
            <w:r>
              <w:rPr>
                <w:b/>
                <w:color w:val="FFFFFF"/>
                <w:sz w:val="17"/>
                <w:szCs w:val="17"/>
              </w:rPr>
              <w:t xml:space="preserve">Emplacement</w:t>
            </w:r>
          </w:p>
        </w:tc>
        <w:tc>
          <w:tcPr>
            <w:tcW w:w="2600" w:type="dxa"/>
            <w:shd w:val="clear" w:color="auto" w:fill="B9770E"/>
            <w:vAlign w:val="top"/>
          </w:tcPr>
          <w:p>
            <w:pPr>
              <w:spacing w:after="0"/>
            </w:pPr>
            <w:r>
              <w:rPr>
                <w:b/>
                <w:color w:val="FFFFFF"/>
                <w:sz w:val="17"/>
                <w:szCs w:val="17"/>
              </w:rPr>
              <w:t xml:space="preserve">Extrait exact</w:t>
            </w:r>
          </w:p>
        </w:tc>
        <w:tc>
          <w:tcPr>
            <w:tcW w:w="3000" w:type="dxa"/>
            <w:shd w:val="clear" w:color="auto" w:fill="B9770E"/>
            <w:vAlign w:val="top"/>
          </w:tcPr>
          <w:p>
            <w:pPr>
              <w:spacing w:after="0"/>
            </w:pPr>
            <w:r>
              <w:rPr>
                <w:b/>
                <w:color w:val="FFFFFF"/>
                <w:sz w:val="17"/>
                <w:szCs w:val="17"/>
              </w:rPr>
              <w:t xml:space="preserve">Problème → correction</w:t>
            </w:r>
          </w:p>
        </w:tc>
        <w:tc>
          <w:tcPr>
            <w:tcW w:w="1800" w:type="dxa"/>
            <w:shd w:val="clear" w:color="auto" w:fill="B9770E"/>
            <w:vAlign w:val="top"/>
          </w:tcPr>
          <w:p>
            <w:pPr>
              <w:spacing w:after="0"/>
            </w:pPr>
            <w:r>
              <w:rPr>
                <w:b/>
                <w:color w:val="FFFFFF"/>
                <w:sz w:val="17"/>
                <w:szCs w:val="17"/>
              </w:rPr>
              <w:t xml:space="preserve">Source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L2-L04</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LOT_2_Appel_B_V4_Argon_Partie_1_D2.1_a_D2.2__export_GoogleDoc.html</w:t>
            </w:r>
          </w:p>
        </w:tc>
        <w:tc>
          <w:tcPr>
            <w:tcW w:w="2350" w:type="dxa"/>
            <w:vAlign w:val="top"/>
          </w:tcPr>
          <w:p>
            <w:pPr>
              <w:spacing w:after="0"/>
            </w:pPr>
            <w:r>
              <w:rPr>
                <w:sz w:val="17"/>
                <w:szCs w:val="17"/>
              </w:rPr>
              <w:t xml:space="preserve">Partie 1 › titre D2.1 (doublon de versions avec le fichier V6)</w:t>
            </w:r>
          </w:p>
        </w:tc>
        <w:tc>
          <w:tcPr>
            <w:tcW w:w="2600" w:type="dxa"/>
            <w:vAlign w:val="top"/>
          </w:tcPr>
          <w:p>
            <w:pPr>
              <w:spacing w:after="0"/>
            </w:pPr>
            <w:r>
              <w:rPr>
                <w:i/>
                <w:sz w:val="17"/>
                <w:szCs w:val="17"/>
              </w:rPr>
              <w:t xml:space="preserve">« D2.1 — Adénopathie réactionnelle bénigne et adénite aiguë [60 %] »</w:t>
            </w:r>
          </w:p>
        </w:tc>
        <w:tc>
          <w:tcPr>
            <w:tcW w:w="3000" w:type="dxa"/>
            <w:vAlign w:val="top"/>
          </w:tcPr>
          <w:p>
            <w:pPr>
              <w:spacing w:after="40"/>
            </w:pPr>
            <w:r>
              <w:rPr>
                <w:sz w:val="17"/>
                <w:szCs w:val="17"/>
              </w:rPr>
              <w:t xml:space="preserve">Deux versions concurrentes (V4 Argon et V6) traitent les mêmes DX dans le même dossier de lot ; l'une est périmée mais n'a pas été archivée, et le nommage « V4_Argon » ne suit pas le gabarit « Appel_B_V5_Ultra_Pedagogique ».</w:t>
            </w:r>
          </w:p>
          <w:p>
            <w:pPr>
              <w:spacing w:after="0"/>
            </w:pPr>
            <w:r>
              <w:rPr>
                <w:b/>
                <w:color w:val="145A32"/>
                <w:sz w:val="17"/>
                <w:szCs w:val="17"/>
              </w:rPr>
              <w:t xml:space="preserve">→ Désigner une seule version active par Partie ; déplacer l'autre dans CORBEILLE_DOUBLONS_OBSOLETES avec le suffixe _OBSOLETE_ ; renommer la version active selon le § 4.</w:t>
            </w:r>
          </w:p>
        </w:tc>
        <w:tc>
          <w:tcPr>
            <w:tcW w:w="1800" w:type="dxa"/>
            <w:vAlign w:val="top"/>
          </w:tcPr>
          <w:p>
            <w:pPr>
              <w:spacing w:after="0"/>
            </w:pPr>
            <w:r>
              <w:rPr>
                <w:sz w:val="17"/>
                <w:szCs w:val="17"/>
              </w:rPr>
              <w:t xml:space="preserve">PROMPT_V6 (prompt de base) § 4, § 12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L2-L06</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LOT_2_V6_Enrichi_8plus_Partie_1_Integral.html</w:t>
            </w:r>
          </w:p>
        </w:tc>
        <w:tc>
          <w:tcPr>
            <w:tcW w:w="2350" w:type="dxa"/>
            <w:vAlign w:val="top"/>
          </w:tcPr>
          <w:p>
            <w:pPr>
              <w:spacing w:after="0"/>
            </w:pPr>
            <w:r>
              <w:rPr>
                <w:sz w:val="17"/>
                <w:szCs w:val="17"/>
              </w:rPr>
              <w:t xml:space="preserve">Code source (fichier entier)</w:t>
            </w:r>
          </w:p>
        </w:tc>
        <w:tc>
          <w:tcPr>
            <w:tcW w:w="2600" w:type="dxa"/>
            <w:vAlign w:val="top"/>
          </w:tcPr>
          <w:p>
            <w:pPr>
              <w:spacing w:after="0"/>
            </w:pPr>
            <w:r>
              <w:rPr>
                <w:i/>
                <w:sz w:val="17"/>
                <w:szCs w:val="17"/>
              </w:rPr>
              <w:t xml:space="preserve">« Les pourcentages des anciens plans ne sont pas repris comme des probabilités comparables. »</w:t>
            </w:r>
          </w:p>
        </w:tc>
        <w:tc>
          <w:tcPr>
            <w:tcW w:w="3000" w:type="dxa"/>
            <w:vAlign w:val="top"/>
          </w:tcPr>
          <w:p>
            <w:pPr>
              <w:spacing w:after="40"/>
            </w:pPr>
            <w:r>
              <w:rPr>
                <w:sz w:val="17"/>
                <w:szCs w:val="17"/>
              </w:rPr>
              <w:t xml:space="preserve">Le code HTML tient sur des lignes de plus de 77 000 caractères, alors que le prompt limite chaque ligne à 3 000 caractères ; le fichier devient fragile au dépôt et à la relecture.</w:t>
            </w:r>
          </w:p>
          <w:p>
            <w:pPr>
              <w:spacing w:after="0"/>
            </w:pPr>
            <w:r>
              <w:rPr>
                <w:b/>
                <w:color w:val="145A32"/>
                <w:sz w:val="17"/>
                <w:szCs w:val="17"/>
              </w:rPr>
              <w:t xml:space="preserve">→ Réindenter le fichier avec un retour à la ligne au moins à chaque bloc (&lt;section&gt;, &lt;details&gt;, &lt;p&gt;, &lt;tr&gt;) afin qu'aucune ligne ne dépasse 3 000 caractères.</w:t>
            </w:r>
          </w:p>
        </w:tc>
        <w:tc>
          <w:tcPr>
            <w:tcW w:w="1800" w:type="dxa"/>
            <w:vAlign w:val="top"/>
          </w:tcPr>
          <w:p>
            <w:pPr>
              <w:spacing w:after="0"/>
            </w:pPr>
            <w:r>
              <w:rPr>
                <w:sz w:val="17"/>
                <w:szCs w:val="17"/>
              </w:rPr>
              <w:t xml:space="preserve">PROMPT_V6 (prompt de base) § 9 (règles techniques)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L2-L13</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LOT_2_Appel_A_Plan_et_Liste_Fédéral__export_GoogleDoc.html</w:t>
            </w:r>
          </w:p>
        </w:tc>
        <w:tc>
          <w:tcPr>
            <w:tcW w:w="2350" w:type="dxa"/>
            <w:vAlign w:val="top"/>
          </w:tcPr>
          <w:p>
            <w:pPr>
              <w:spacing w:after="0"/>
            </w:pPr>
            <w:r>
              <w:rPr>
                <w:sz w:val="17"/>
                <w:szCs w:val="17"/>
              </w:rPr>
              <w:t xml:space="preserve">Bloc 1 › point 5 Anamnèse et drapeaux rouges</w:t>
            </w:r>
          </w:p>
        </w:tc>
        <w:tc>
          <w:tcPr>
            <w:tcW w:w="2600" w:type="dxa"/>
            <w:vAlign w:val="top"/>
          </w:tcPr>
          <w:p>
            <w:pPr>
              <w:spacing w:after="0"/>
            </w:pPr>
            <w:r>
              <w:rPr>
                <w:i/>
                <w:sz w:val="17"/>
                <w:szCs w:val="17"/>
              </w:rPr>
              <w:t xml:space="preserve">« une évolution excédant quatre semaines »</w:t>
            </w:r>
          </w:p>
        </w:tc>
        <w:tc>
          <w:tcPr>
            <w:tcW w:w="3000" w:type="dxa"/>
            <w:vAlign w:val="top"/>
          </w:tcPr>
          <w:p>
            <w:pPr>
              <w:spacing w:after="40"/>
            </w:pPr>
            <w:r>
              <w:rPr>
                <w:sz w:val="17"/>
                <w:szCs w:val="17"/>
              </w:rPr>
              <w:t xml:space="preserve">Le seuil de quatre semaines n'est pas sourcé ; la revue suisse considère suspecte toute adénopathie persistant plus de 2 semaines (2 semaines à 1 mois pour le cou). Le même seuil de 4 semaines est repris dans les Parties V4.</w:t>
            </w:r>
          </w:p>
          <w:p>
            <w:pPr>
              <w:spacing w:after="0"/>
            </w:pPr>
            <w:r>
              <w:rPr>
                <w:b/>
                <w:color w:val="145A32"/>
                <w:sz w:val="17"/>
                <w:szCs w:val="17"/>
              </w:rPr>
              <w:t xml:space="preserve">→ Écrire : « une persistance au-delà de 2 semaines (jusqu'à 1 mois pour une adénopathie cervicale) [Sn] » et harmoniser les Parties 1 à 4.</w:t>
            </w:r>
          </w:p>
        </w:tc>
        <w:tc>
          <w:tcPr>
            <w:tcW w:w="1800" w:type="dxa"/>
            <w:vAlign w:val="top"/>
          </w:tcPr>
          <w:p>
            <w:pPr>
              <w:spacing w:after="0"/>
            </w:pPr>
            <w:r>
              <w:rPr>
                <w:sz w:val="17"/>
                <w:szCs w:val="17"/>
              </w:rPr>
              <w:t xml:space="preserve">Hanzalová I, Matter M. Peripheral lymphadenopathy of unknown origin in adults: a diagnostic approach emphasizing the malignancy hypothesis. Swiss Med Wkly. 2024;154:3549 — https://smw.ch/index.php/smw/article/view/3549 —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L2-L14</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LOT_2_Appel_A_Plan_et_Liste_Fédéral__export_GoogleDoc.html</w:t>
            </w:r>
          </w:p>
        </w:tc>
        <w:tc>
          <w:tcPr>
            <w:tcW w:w="2350" w:type="dxa"/>
            <w:vAlign w:val="top"/>
          </w:tcPr>
          <w:p>
            <w:pPr>
              <w:spacing w:after="0"/>
            </w:pPr>
            <w:r>
              <w:rPr>
                <w:sz w:val="17"/>
                <w:szCs w:val="17"/>
              </w:rPr>
              <w:t xml:space="preserve">Bloc 1 › point 9 Examens › Gold Standard et 2e intention</w:t>
            </w:r>
          </w:p>
        </w:tc>
        <w:tc>
          <w:tcPr>
            <w:tcW w:w="2600" w:type="dxa"/>
            <w:vAlign w:val="top"/>
          </w:tcPr>
          <w:p>
            <w:pPr>
              <w:spacing w:after="0"/>
            </w:pPr>
            <w:r>
              <w:rPr>
                <w:i/>
                <w:sz w:val="17"/>
                <w:szCs w:val="17"/>
              </w:rPr>
              <w:t xml:space="preserve">« La Biopsie ganglionnaire excisionnelle reste l'unique examen de certitude face à une suspicion de lymphome. »</w:t>
            </w:r>
          </w:p>
        </w:tc>
        <w:tc>
          <w:tcPr>
            <w:tcW w:w="3000" w:type="dxa"/>
            <w:vAlign w:val="top"/>
          </w:tcPr>
          <w:p>
            <w:pPr>
              <w:spacing w:after="40"/>
            </w:pPr>
            <w:r>
              <w:rPr>
                <w:sz w:val="17"/>
                <w:szCs w:val="17"/>
              </w:rPr>
              <w:t xml:space="preserve">L'adjectif « unique » est inexact : en région cervicale, la revue suisse recommande désormais la biopsie au trocart échoguidée en cas de suspicion de lymphome, la biopsie ouverte restant le meilleur choix hors tête et cou.</w:t>
            </w:r>
          </w:p>
          <w:p>
            <w:pPr>
              <w:spacing w:after="0"/>
            </w:pPr>
            <w:r>
              <w:rPr>
                <w:b/>
                <w:color w:val="145A32"/>
                <w:sz w:val="17"/>
                <w:szCs w:val="17"/>
              </w:rPr>
              <w:t xml:space="preserve">→ Écrire : « La biopsie excisionnelle constitue l'examen de référence d'un lymphome suspecté ; en région cervicale, une biopsie au trocart échoguidée est recommandée en première intention [Sn]. »</w:t>
            </w:r>
          </w:p>
        </w:tc>
        <w:tc>
          <w:tcPr>
            <w:tcW w:w="1800" w:type="dxa"/>
            <w:vAlign w:val="top"/>
          </w:tcPr>
          <w:p>
            <w:pPr>
              <w:spacing w:after="0"/>
            </w:pPr>
            <w:r>
              <w:rPr>
                <w:sz w:val="17"/>
                <w:szCs w:val="17"/>
              </w:rPr>
              <w:t xml:space="preserve">Hanzalová I, Matter M. Peripheral lymphadenopathy of unknown origin in adults: a diagnostic approach emphasizing the malignancy hypothesis. Swiss Med Wkly. 2024;154:3549 — https://smw.ch/index.php/smw/article/view/3549 —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L2-L15</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LOT_2_Appel_A_Plan_et_Liste_Fédéral__export_GoogleDoc.html</w:t>
            </w:r>
          </w:p>
        </w:tc>
        <w:tc>
          <w:tcPr>
            <w:tcW w:w="2350" w:type="dxa"/>
            <w:vAlign w:val="top"/>
          </w:tcPr>
          <w:p>
            <w:pPr>
              <w:spacing w:after="0"/>
            </w:pPr>
            <w:r>
              <w:rPr>
                <w:sz w:val="17"/>
                <w:szCs w:val="17"/>
              </w:rPr>
              <w:t xml:space="preserve">Bloc 1 › point 14 Pièges</w:t>
            </w:r>
          </w:p>
        </w:tc>
        <w:tc>
          <w:tcPr>
            <w:tcW w:w="2600" w:type="dxa"/>
            <w:vAlign w:val="top"/>
          </w:tcPr>
          <w:p>
            <w:pPr>
              <w:spacing w:after="0"/>
            </w:pPr>
            <w:r>
              <w:rPr>
                <w:i/>
                <w:sz w:val="17"/>
                <w:szCs w:val="17"/>
              </w:rPr>
              <w:t xml:space="preserve">« cet examen détruit l'architecture tissulaire indispensable à l'hématopathologiste »</w:t>
            </w:r>
          </w:p>
        </w:tc>
        <w:tc>
          <w:tcPr>
            <w:tcW w:w="3000" w:type="dxa"/>
            <w:vAlign w:val="top"/>
          </w:tcPr>
          <w:p>
            <w:pPr>
              <w:spacing w:after="40"/>
            </w:pPr>
            <w:r>
              <w:rPr>
                <w:sz w:val="17"/>
                <w:szCs w:val="17"/>
              </w:rPr>
              <w:t xml:space="preserve">Le verbe « détruit » est faux : la cytoponction ne prélève que des cellules dissociées et ne fournit donc pas l'architecture ; la revue suisse précise aussi que sa sensibilité reste limitée pour les lymphomes T et de Hodgkin.</w:t>
            </w:r>
          </w:p>
          <w:p>
            <w:pPr>
              <w:spacing w:after="0"/>
            </w:pPr>
            <w:r>
              <w:rPr>
                <w:b/>
                <w:color w:val="145A32"/>
                <w:sz w:val="17"/>
                <w:szCs w:val="17"/>
              </w:rPr>
              <w:t xml:space="preserve">→ Écrire : « cet examen ne recueille que des cellules isolées et ne montre pas l'architecture ganglionnaire, dont l'hématopathologiste a besoin ; sa sensibilité reste faible pour les lymphomes T et de Hodgkin [Sn]. »</w:t>
            </w:r>
          </w:p>
        </w:tc>
        <w:tc>
          <w:tcPr>
            <w:tcW w:w="1800" w:type="dxa"/>
            <w:vAlign w:val="top"/>
          </w:tcPr>
          <w:p>
            <w:pPr>
              <w:spacing w:after="0"/>
            </w:pPr>
            <w:r>
              <w:rPr>
                <w:sz w:val="17"/>
                <w:szCs w:val="17"/>
              </w:rPr>
              <w:t xml:space="preserve">Hanzalová I, Matter M. Peripheral lymphadenopathy of unknown origin in adults: a diagnostic approach emphasizing the malignancy hypothesis. Swiss Med Wkly. 2024;154:3549 — https://smw.ch/index.php/smw/article/view/3549 —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L2-L16</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LOT_2_Appel_A_Plan_et_Liste_Fédéral__export_GoogleDoc.html</w:t>
            </w:r>
          </w:p>
        </w:tc>
        <w:tc>
          <w:tcPr>
            <w:tcW w:w="2350" w:type="dxa"/>
            <w:vAlign w:val="top"/>
          </w:tcPr>
          <w:p>
            <w:pPr>
              <w:spacing w:after="0"/>
            </w:pPr>
            <w:r>
              <w:rPr>
                <w:sz w:val="17"/>
                <w:szCs w:val="17"/>
              </w:rPr>
              <w:t xml:space="preserve">Bloc 1 › point 13 Points clés</w:t>
            </w:r>
          </w:p>
        </w:tc>
        <w:tc>
          <w:tcPr>
            <w:tcW w:w="2600" w:type="dxa"/>
            <w:vAlign w:val="top"/>
          </w:tcPr>
          <w:p>
            <w:pPr>
              <w:spacing w:after="0"/>
            </w:pPr>
            <w:r>
              <w:rPr>
                <w:i/>
                <w:sz w:val="17"/>
                <w:szCs w:val="17"/>
              </w:rPr>
              <w:t xml:space="preserve">« est formellement considérée comme néoplasique jusqu'à preuve histologique absolue du contraire. »</w:t>
            </w:r>
          </w:p>
        </w:tc>
        <w:tc>
          <w:tcPr>
            <w:tcW w:w="3000" w:type="dxa"/>
            <w:vAlign w:val="top"/>
          </w:tcPr>
          <w:p>
            <w:pPr>
              <w:spacing w:after="40"/>
            </w:pPr>
            <w:r>
              <w:rPr>
                <w:sz w:val="17"/>
                <w:szCs w:val="17"/>
              </w:rPr>
              <w:t xml:space="preserve">La formule absolue surestime le risque : la revue suisse chiffre la malignité sus-claviculaire à 34–86 % ; de plus, le point 13 ne contient qu'une phrase au lieu des 3 à 6 phrases exigées.</w:t>
            </w:r>
          </w:p>
          <w:p>
            <w:pPr>
              <w:spacing w:after="0"/>
            </w:pPr>
            <w:r>
              <w:rPr>
                <w:b/>
                <w:color w:val="145A32"/>
                <w:sz w:val="17"/>
                <w:szCs w:val="17"/>
              </w:rPr>
              <w:t xml:space="preserve">→ Écrire : « Une adénopathie sus-claviculaire comporte un risque de malignité de 34 à 86 % et impose une preuve tissulaire rapide [Sn]. » puis ajouter 2 à 5 phrases verbales (seuils de taille, durée, piège de la corticothérapie, preuve histologique).</w:t>
            </w:r>
          </w:p>
        </w:tc>
        <w:tc>
          <w:tcPr>
            <w:tcW w:w="1800" w:type="dxa"/>
            <w:vAlign w:val="top"/>
          </w:tcPr>
          <w:p>
            <w:pPr>
              <w:spacing w:after="0"/>
            </w:pPr>
            <w:r>
              <w:rPr>
                <w:sz w:val="17"/>
                <w:szCs w:val="17"/>
              </w:rPr>
              <w:t xml:space="preserve">Hanzalová I, Matter M. Peripheral lymphadenopathy of unknown origin in adults: a diagnostic approach emphasizing the malignancy hypothesis. Swiss Med Wkly. 2024;154:3549 — https://smw.ch/index.php/smw/article/view/3549 — consulté le 22.10.2026 ; PROMPT_V6 (prompt de base) § 5.13</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L2-L17</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LOT_2_Appel_A_Plan_et_Liste_Fédéral__export_GoogleDoc.html</w:t>
            </w:r>
          </w:p>
        </w:tc>
        <w:tc>
          <w:tcPr>
            <w:tcW w:w="2350" w:type="dxa"/>
            <w:vAlign w:val="top"/>
          </w:tcPr>
          <w:p>
            <w:pPr>
              <w:spacing w:after="0"/>
            </w:pPr>
            <w:r>
              <w:rPr>
                <w:sz w:val="17"/>
                <w:szCs w:val="17"/>
              </w:rPr>
              <w:t xml:space="preserve">Bloc 1 › point 11 › B- Moyens et méthodes</w:t>
            </w:r>
          </w:p>
        </w:tc>
        <w:tc>
          <w:tcPr>
            <w:tcW w:w="2600" w:type="dxa"/>
            <w:vAlign w:val="top"/>
          </w:tcPr>
          <w:p>
            <w:pPr>
              <w:spacing w:after="0"/>
            </w:pPr>
            <w:r>
              <w:rPr>
                <w:i/>
                <w:sz w:val="17"/>
                <w:szCs w:val="17"/>
              </w:rPr>
              <w:t xml:space="preserve">« Le praticien prescrit des antibiotiques (ex: Amoxicilline-Acide clavulanique) en cas de suspicion d'adénite bactérienne suppurative. »</w:t>
            </w:r>
          </w:p>
        </w:tc>
        <w:tc>
          <w:tcPr>
            <w:tcW w:w="3000" w:type="dxa"/>
            <w:vAlign w:val="top"/>
          </w:tcPr>
          <w:p>
            <w:pPr>
              <w:spacing w:after="40"/>
            </w:pPr>
            <w:r>
              <w:rPr>
                <w:sz w:val="17"/>
                <w:szCs w:val="17"/>
              </w:rPr>
              <w:t xml:space="preserve">Le traitement omet la spécialité suisse, la dose, la voie, la durée et les contre-indications exigées (①–⑥) ; « ex: » et la majuscule de la DCI sont fautifs.</w:t>
            </w:r>
          </w:p>
          <w:p>
            <w:pPr>
              <w:spacing w:after="0"/>
            </w:pPr>
            <w:r>
              <w:rPr>
                <w:b/>
                <w:color w:val="145A32"/>
                <w:sz w:val="17"/>
                <w:szCs w:val="17"/>
              </w:rPr>
              <w:t xml:space="preserve">→ Compléter selon le schéma ①–⑥ avec la posologie de l'information professionnelle suisse vérifiée dans AIPS, ou renvoyer explicitement à D2.1 ; écrire « (p. ex. amoxicilline-acide clavulanique) ».</w:t>
            </w:r>
          </w:p>
        </w:tc>
        <w:tc>
          <w:tcPr>
            <w:tcW w:w="1800" w:type="dxa"/>
            <w:vAlign w:val="top"/>
          </w:tcPr>
          <w:p>
            <w:pPr>
              <w:spacing w:after="0"/>
            </w:pPr>
            <w:r>
              <w:rPr>
                <w:sz w:val="17"/>
                <w:szCs w:val="17"/>
              </w:rPr>
              <w:t xml:space="preserve">PROMPT_V6 (prompt de base) § 5.11 B, § 3.3</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L2-L24</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LOT_2_Appel_B_V4_Argon_Partie_1_D2.1_a_D2.2__export_GoogleDoc.html</w:t>
            </w:r>
          </w:p>
        </w:tc>
        <w:tc>
          <w:tcPr>
            <w:tcW w:w="2350" w:type="dxa"/>
            <w:vAlign w:val="top"/>
          </w:tcPr>
          <w:p>
            <w:pPr>
              <w:spacing w:after="0"/>
            </w:pPr>
            <w:r>
              <w:rPr>
                <w:sz w:val="17"/>
                <w:szCs w:val="17"/>
              </w:rPr>
              <w:t xml:space="preserve">D2.1 › point 11 › C- Surveillance (absence de volet radiologique ; idem D2.2, D2.6)</w:t>
            </w:r>
          </w:p>
        </w:tc>
        <w:tc>
          <w:tcPr>
            <w:tcW w:w="2600" w:type="dxa"/>
            <w:vAlign w:val="top"/>
          </w:tcPr>
          <w:p>
            <w:pPr>
              <w:spacing w:after="0"/>
            </w:pPr>
            <w:r>
              <w:rPr>
                <w:i/>
                <w:sz w:val="17"/>
                <w:szCs w:val="17"/>
              </w:rPr>
              <w:t xml:space="preserve">« Contrôle à 48-72h de la défervescence thermique sous antibiotique, puis palpation obligatoire à 4 semaines. »</w:t>
            </w:r>
          </w:p>
        </w:tc>
        <w:tc>
          <w:tcPr>
            <w:tcW w:w="3000" w:type="dxa"/>
            <w:vAlign w:val="top"/>
          </w:tcPr>
          <w:p>
            <w:pPr>
              <w:spacing w:after="40"/>
            </w:pPr>
            <w:r>
              <w:rPr>
                <w:sz w:val="17"/>
                <w:szCs w:val="17"/>
              </w:rPr>
              <w:t xml:space="preserve">La surveillance omet le calendrier biologique et radiologique exigé, et la phrase est nominale.</w:t>
            </w:r>
          </w:p>
          <w:p>
            <w:pPr>
              <w:spacing w:after="0"/>
            </w:pPr>
            <w:r>
              <w:rPr>
                <w:b/>
                <w:color w:val="145A32"/>
                <w:sz w:val="17"/>
                <w:szCs w:val="17"/>
              </w:rPr>
              <w:t xml:space="preserve">→ Écrire : « Le médecin contrôle la défervescence à 48–72 h, puis palpe le ganglion à 4 semaines ; il demande une échographie de contrôle si le ganglion persiste. »</w:t>
            </w:r>
          </w:p>
        </w:tc>
        <w:tc>
          <w:tcPr>
            <w:tcW w:w="1800" w:type="dxa"/>
            <w:vAlign w:val="top"/>
          </w:tcPr>
          <w:p>
            <w:pPr>
              <w:spacing w:after="0"/>
            </w:pPr>
            <w:r>
              <w:rPr>
                <w:sz w:val="17"/>
                <w:szCs w:val="17"/>
              </w:rPr>
              <w:t xml:space="preserve">PROMPT_V6 (prompt de base) § 5.11 C, § 6.1</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L2-L25</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LOT_2_Appel_B_V4_Argon_Partie_1_D2.1_a_D2.2__export_GoogleDoc.html</w:t>
            </w:r>
          </w:p>
        </w:tc>
        <w:tc>
          <w:tcPr>
            <w:tcW w:w="2350" w:type="dxa"/>
            <w:vAlign w:val="top"/>
          </w:tcPr>
          <w:p>
            <w:pPr>
              <w:spacing w:after="0"/>
            </w:pPr>
            <w:r>
              <w:rPr>
                <w:sz w:val="17"/>
                <w:szCs w:val="17"/>
              </w:rPr>
              <w:t xml:space="preserve">D2.1 › point 8 Diagnostic positif</w:t>
            </w:r>
          </w:p>
        </w:tc>
        <w:tc>
          <w:tcPr>
            <w:tcW w:w="2600" w:type="dxa"/>
            <w:vAlign w:val="top"/>
          </w:tcPr>
          <w:p>
            <w:pPr>
              <w:spacing w:after="0"/>
            </w:pPr>
            <w:r>
              <w:rPr>
                <w:i/>
                <w:sz w:val="17"/>
                <w:szCs w:val="17"/>
              </w:rPr>
              <w:t xml:space="preserve">« Le diagnostic repose sur les critères cliniques de la SSMIG »</w:t>
            </w:r>
          </w:p>
        </w:tc>
        <w:tc>
          <w:tcPr>
            <w:tcW w:w="3000" w:type="dxa"/>
            <w:vAlign w:val="top"/>
          </w:tcPr>
          <w:p>
            <w:pPr>
              <w:spacing w:after="40"/>
            </w:pPr>
            <w:r>
              <w:rPr>
                <w:sz w:val="17"/>
                <w:szCs w:val="17"/>
              </w:rPr>
              <w:t xml:space="preserve">L'attribution de critères formels à la SSMIG n'est appuyée par aucune référence vérifiable.</w:t>
            </w:r>
          </w:p>
          <w:p>
            <w:pPr>
              <w:spacing w:after="0"/>
            </w:pPr>
            <w:r>
              <w:rPr>
                <w:b/>
                <w:color w:val="145A32"/>
                <w:sz w:val="17"/>
                <w:szCs w:val="17"/>
              </w:rPr>
              <w:t xml:space="preserve">→ Citer le document SSMIG exact [Sn] ou écrire « donnée non trouvée dans les sources consultées » et poser la question dans le fichier HELP.</w:t>
            </w:r>
          </w:p>
        </w:tc>
        <w:tc>
          <w:tcPr>
            <w:tcW w:w="1800" w:type="dxa"/>
            <w:vAlign w:val="top"/>
          </w:tcPr>
          <w:p>
            <w:pPr>
              <w:spacing w:after="0"/>
            </w:pPr>
            <w:r>
              <w:rPr>
                <w:sz w:val="17"/>
                <w:szCs w:val="17"/>
              </w:rPr>
              <w:t xml:space="preserve">donnée non trouvée dans les sources consultées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L2-L27</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LOT_2_Appel_B_V4_Argon_Partie_1_D2.1_a_D2.2__export_GoogleDoc.html</w:t>
            </w:r>
          </w:p>
        </w:tc>
        <w:tc>
          <w:tcPr>
            <w:tcW w:w="2350" w:type="dxa"/>
            <w:vAlign w:val="top"/>
          </w:tcPr>
          <w:p>
            <w:pPr>
              <w:spacing w:after="0"/>
            </w:pPr>
            <w:r>
              <w:rPr>
                <w:sz w:val="17"/>
                <w:szCs w:val="17"/>
              </w:rPr>
              <w:t xml:space="preserve">D2.2 › point 9 › Gold Standard (et 1re intention)</w:t>
            </w:r>
          </w:p>
        </w:tc>
        <w:tc>
          <w:tcPr>
            <w:tcW w:w="2600" w:type="dxa"/>
            <w:vAlign w:val="top"/>
          </w:tcPr>
          <w:p>
            <w:pPr>
              <w:spacing w:after="0"/>
            </w:pPr>
            <w:r>
              <w:rPr>
                <w:i/>
                <w:sz w:val="17"/>
                <w:szCs w:val="17"/>
              </w:rPr>
              <w:t xml:space="preserve">« Gold Standard diagnostique : L'Analyse histopathologique de la pièce d'exérèse. »</w:t>
            </w:r>
          </w:p>
        </w:tc>
        <w:tc>
          <w:tcPr>
            <w:tcW w:w="3000" w:type="dxa"/>
            <w:vAlign w:val="top"/>
          </w:tcPr>
          <w:p>
            <w:pPr>
              <w:spacing w:after="40"/>
            </w:pPr>
            <w:r>
              <w:rPr>
                <w:sz w:val="17"/>
                <w:szCs w:val="17"/>
              </w:rPr>
              <w:t xml:space="preserve">La phrase est nominale, l'anglicisme « Gold Standard » n'est pas traduit et « L'Analyse » porte une majuscule fautive.</w:t>
            </w:r>
          </w:p>
          <w:p>
            <w:pPr>
              <w:spacing w:after="0"/>
            </w:pPr>
            <w:r>
              <w:rPr>
                <w:b/>
                <w:color w:val="145A32"/>
                <w:sz w:val="17"/>
                <w:szCs w:val="17"/>
              </w:rPr>
              <w:t xml:space="preserve">→ Écrire : « Examen de référence : l'analyse histopathologique de la pièce d'exérèse établit le diagnostic. »</w:t>
            </w:r>
          </w:p>
        </w:tc>
        <w:tc>
          <w:tcPr>
            <w:tcW w:w="1800" w:type="dxa"/>
            <w:vAlign w:val="top"/>
          </w:tcPr>
          <w:p>
            <w:pPr>
              <w:spacing w:after="0"/>
            </w:pPr>
            <w:r>
              <w:rPr>
                <w:sz w:val="17"/>
                <w:szCs w:val="17"/>
              </w:rPr>
              <w:t xml:space="preserve">PROMPT_V6 (prompt de base) § 6.1</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L2-L28</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LOT_2_Appel_B_V4_Argon_Partie_1_D2.1_a_D2.2__export_GoogleDoc.html</w:t>
            </w:r>
          </w:p>
        </w:tc>
        <w:tc>
          <w:tcPr>
            <w:tcW w:w="2350" w:type="dxa"/>
            <w:vAlign w:val="top"/>
          </w:tcPr>
          <w:p>
            <w:pPr>
              <w:spacing w:after="0"/>
            </w:pPr>
            <w:r>
              <w:rPr>
                <w:sz w:val="17"/>
                <w:szCs w:val="17"/>
              </w:rPr>
              <w:t xml:space="preserve">D2.1 › point 11 › D- Pronostic</w:t>
            </w:r>
          </w:p>
        </w:tc>
        <w:tc>
          <w:tcPr>
            <w:tcW w:w="2600" w:type="dxa"/>
            <w:vAlign w:val="top"/>
          </w:tcPr>
          <w:p>
            <w:pPr>
              <w:spacing w:after="0"/>
            </w:pPr>
            <w:r>
              <w:rPr>
                <w:i/>
                <w:sz w:val="17"/>
                <w:szCs w:val="17"/>
              </w:rPr>
              <w:t xml:space="preserve">« Pathologie intégralement curable. Le critère formel de guérison est l'apyrexie durable »</w:t>
            </w:r>
          </w:p>
        </w:tc>
        <w:tc>
          <w:tcPr>
            <w:tcW w:w="3000" w:type="dxa"/>
            <w:vAlign w:val="top"/>
          </w:tcPr>
          <w:p>
            <w:pPr>
              <w:spacing w:after="40"/>
            </w:pPr>
            <w:r>
              <w:rPr>
                <w:sz w:val="17"/>
                <w:szCs w:val="17"/>
              </w:rPr>
              <w:t xml:space="preserve">La première phrase est nominale.</w:t>
            </w:r>
          </w:p>
          <w:p>
            <w:pPr>
              <w:spacing w:after="0"/>
            </w:pPr>
            <w:r>
              <w:rPr>
                <w:b/>
                <w:color w:val="145A32"/>
                <w:sz w:val="17"/>
                <w:szCs w:val="17"/>
              </w:rPr>
              <w:t xml:space="preserve">→ Écrire : « Cette affection guérit complètement. Le critère formel de guérison est l'apyrexie durable… »</w:t>
            </w:r>
          </w:p>
        </w:tc>
        <w:tc>
          <w:tcPr>
            <w:tcW w:w="1800" w:type="dxa"/>
            <w:vAlign w:val="top"/>
          </w:tcPr>
          <w:p>
            <w:pPr>
              <w:spacing w:after="0"/>
            </w:pPr>
            <w:r>
              <w:rPr>
                <w:sz w:val="17"/>
                <w:szCs w:val="17"/>
              </w:rPr>
              <w:t xml:space="preserve">PROMPT_V6 (prompt de base) § 6.1</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L2-L29</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LOT_2_Appel_B_V4_Argon_Partie_2_D2.3_a_D2.5__export_GoogleDoc.html</w:t>
            </w:r>
          </w:p>
        </w:tc>
        <w:tc>
          <w:tcPr>
            <w:tcW w:w="2350" w:type="dxa"/>
            <w:vAlign w:val="top"/>
          </w:tcPr>
          <w:p>
            <w:pPr>
              <w:spacing w:after="0"/>
            </w:pPr>
            <w:r>
              <w:rPr>
                <w:sz w:val="17"/>
                <w:szCs w:val="17"/>
              </w:rPr>
              <w:t xml:space="preserve">D2.3 › point 7.2</w:t>
            </w:r>
          </w:p>
        </w:tc>
        <w:tc>
          <w:tcPr>
            <w:tcW w:w="2600" w:type="dxa"/>
            <w:vAlign w:val="top"/>
          </w:tcPr>
          <w:p>
            <w:pPr>
              <w:spacing w:after="0"/>
            </w:pPr>
            <w:r>
              <w:rPr>
                <w:i/>
                <w:sz w:val="17"/>
                <w:szCs w:val="17"/>
              </w:rPr>
              <w:t xml:space="preserve">« Éruption maculo-papuleuse morbilliforme prurigineuse généralisée survenant 5 à 9 jours après la prise d'Amoxicilline »</w:t>
            </w:r>
          </w:p>
        </w:tc>
        <w:tc>
          <w:tcPr>
            <w:tcW w:w="3000" w:type="dxa"/>
            <w:vAlign w:val="top"/>
          </w:tcPr>
          <w:p>
            <w:pPr>
              <w:spacing w:after="40"/>
            </w:pPr>
            <w:r>
              <w:rPr>
                <w:sz w:val="17"/>
                <w:szCs w:val="17"/>
              </w:rPr>
              <w:t xml:space="preserve">La phrase est nominale ; le pourcentage associé (80-90 %) n'est pas sourcé.</w:t>
            </w:r>
          </w:p>
          <w:p>
            <w:pPr>
              <w:spacing w:after="0"/>
            </w:pPr>
            <w:r>
              <w:rPr>
                <w:b/>
                <w:color w:val="145A32"/>
                <w:sz w:val="17"/>
                <w:szCs w:val="17"/>
              </w:rPr>
              <w:t xml:space="preserve">→ Écrire : « Une éruption maculo-papuleuse morbilliforme et prurigineuse apparaît 5 à 9 jours après la prise d'amoxicilline [Sn]. »</w:t>
            </w:r>
          </w:p>
        </w:tc>
        <w:tc>
          <w:tcPr>
            <w:tcW w:w="1800" w:type="dxa"/>
            <w:vAlign w:val="top"/>
          </w:tcPr>
          <w:p>
            <w:pPr>
              <w:spacing w:after="0"/>
            </w:pPr>
            <w:r>
              <w:rPr>
                <w:sz w:val="17"/>
                <w:szCs w:val="17"/>
              </w:rPr>
              <w:t xml:space="preserve">PROMPT_V6 (prompt de base) § 6.1, § 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L2-L30</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LOT_2_Appel_B_V4_Argon_Partie_2_D2.3_a_D2.5__export_GoogleDoc.html</w:t>
            </w:r>
          </w:p>
        </w:tc>
        <w:tc>
          <w:tcPr>
            <w:tcW w:w="2350" w:type="dxa"/>
            <w:vAlign w:val="top"/>
          </w:tcPr>
          <w:p>
            <w:pPr>
              <w:spacing w:after="0"/>
            </w:pPr>
            <w:r>
              <w:rPr>
                <w:sz w:val="17"/>
                <w:szCs w:val="17"/>
              </w:rPr>
              <w:t xml:space="preserve">D2.5 › point 7.2 Syndrome de lyse tumorale</w:t>
            </w:r>
          </w:p>
        </w:tc>
        <w:tc>
          <w:tcPr>
            <w:tcW w:w="2600" w:type="dxa"/>
            <w:vAlign w:val="top"/>
          </w:tcPr>
          <w:p>
            <w:pPr>
              <w:spacing w:after="0"/>
            </w:pPr>
            <w:r>
              <w:rPr>
                <w:i/>
                <w:sz w:val="17"/>
                <w:szCs w:val="17"/>
              </w:rPr>
              <w:t xml:space="preserve">« Urgence métabolique associant hyperkaliémie (&gt; 6,0 mmol/L) »</w:t>
            </w:r>
          </w:p>
        </w:tc>
        <w:tc>
          <w:tcPr>
            <w:tcW w:w="3000" w:type="dxa"/>
            <w:vAlign w:val="top"/>
          </w:tcPr>
          <w:p>
            <w:pPr>
              <w:spacing w:after="40"/>
            </w:pPr>
            <w:r>
              <w:rPr>
                <w:sz w:val="17"/>
                <w:szCs w:val="17"/>
              </w:rPr>
              <w:t xml:space="preserve">La phrase est nominale et les seuils (critères de Cairo-Bishop) ne sont pas attribués à leur source.</w:t>
            </w:r>
          </w:p>
          <w:p>
            <w:pPr>
              <w:spacing w:after="0"/>
            </w:pPr>
            <w:r>
              <w:rPr>
                <w:b/>
                <w:color w:val="145A32"/>
                <w:sz w:val="17"/>
                <w:szCs w:val="17"/>
              </w:rPr>
              <w:t xml:space="preserve">→ Écrire : « Ce syndrome constitue une urgence métabolique ; il associe une hyperkaliémie (&gt; 6,0 mmol/L)… [Sn : critères de Cairo-Bishop]. »</w:t>
            </w:r>
          </w:p>
        </w:tc>
        <w:tc>
          <w:tcPr>
            <w:tcW w:w="1800" w:type="dxa"/>
            <w:vAlign w:val="top"/>
          </w:tcPr>
          <w:p>
            <w:pPr>
              <w:spacing w:after="0"/>
            </w:pPr>
            <w:r>
              <w:rPr>
                <w:sz w:val="17"/>
                <w:szCs w:val="17"/>
              </w:rPr>
              <w:t xml:space="preserve">PROMPT_V6 (prompt de base) § 6.1, § 3.1</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L2-L31</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LOT_2_Appel_B_V4_Argon_Partie_2_D2.3_a_D2.5__export_GoogleDoc.html</w:t>
            </w:r>
          </w:p>
        </w:tc>
        <w:tc>
          <w:tcPr>
            <w:tcW w:w="2350" w:type="dxa"/>
            <w:vAlign w:val="top"/>
          </w:tcPr>
          <w:p>
            <w:pPr>
              <w:spacing w:after="0"/>
            </w:pPr>
            <w:r>
              <w:rPr>
                <w:sz w:val="17"/>
                <w:szCs w:val="17"/>
              </w:rPr>
              <w:t xml:space="preserve">D2.4 › point 11.B › Moyens non médicamenteux</w:t>
            </w:r>
          </w:p>
        </w:tc>
        <w:tc>
          <w:tcPr>
            <w:tcW w:w="2600" w:type="dxa"/>
            <w:vAlign w:val="top"/>
          </w:tcPr>
          <w:p>
            <w:pPr>
              <w:spacing w:after="0"/>
            </w:pPr>
            <w:r>
              <w:rPr>
                <w:i/>
                <w:sz w:val="17"/>
                <w:szCs w:val="17"/>
              </w:rPr>
              <w:t xml:space="preserve">« Déclaration obligatoire au médecin cantonal. »</w:t>
            </w:r>
          </w:p>
        </w:tc>
        <w:tc>
          <w:tcPr>
            <w:tcW w:w="3000" w:type="dxa"/>
            <w:vAlign w:val="top"/>
          </w:tcPr>
          <w:p>
            <w:pPr>
              <w:spacing w:after="40"/>
            </w:pPr>
            <w:r>
              <w:rPr>
                <w:sz w:val="17"/>
                <w:szCs w:val="17"/>
              </w:rPr>
              <w:t xml:space="preserve">La phrase est nominale et l'obligation légale n'est pas référencée (article de l'ordonnance sur la déclaration).</w:t>
            </w:r>
          </w:p>
          <w:p>
            <w:pPr>
              <w:spacing w:after="0"/>
            </w:pPr>
            <w:r>
              <w:rPr>
                <w:b/>
                <w:color w:val="145A32"/>
                <w:sz w:val="17"/>
                <w:szCs w:val="17"/>
              </w:rPr>
              <w:t xml:space="preserve">→ Écrire : « Le médecin déclare le cas au médecin cantonal [Sn : ordonnance du DFI sur la déclaration d'observations, Fedlex, avec la date d'état]. »</w:t>
            </w:r>
          </w:p>
        </w:tc>
        <w:tc>
          <w:tcPr>
            <w:tcW w:w="1800" w:type="dxa"/>
            <w:vAlign w:val="top"/>
          </w:tcPr>
          <w:p>
            <w:pPr>
              <w:spacing w:after="0"/>
            </w:pPr>
            <w:r>
              <w:rPr>
                <w:sz w:val="17"/>
                <w:szCs w:val="17"/>
              </w:rPr>
              <w:t xml:space="preserve">PROMPT_V6 (prompt de base) § 6.1, § 3.4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L2-L32</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LOT_2_Appel_B_V4_Argon_Partie_3_D2.6_a_D2.7__export_GoogleDoc.html</w:t>
            </w:r>
          </w:p>
        </w:tc>
        <w:tc>
          <w:tcPr>
            <w:tcW w:w="2350" w:type="dxa"/>
            <w:vAlign w:val="top"/>
          </w:tcPr>
          <w:p>
            <w:pPr>
              <w:spacing w:after="0"/>
            </w:pPr>
            <w:r>
              <w:rPr>
                <w:sz w:val="17"/>
                <w:szCs w:val="17"/>
              </w:rPr>
              <w:t xml:space="preserve">D2.7 › point 7.2 Syndrome du ganglion de Troisier</w:t>
            </w:r>
          </w:p>
        </w:tc>
        <w:tc>
          <w:tcPr>
            <w:tcW w:w="2600" w:type="dxa"/>
            <w:vAlign w:val="top"/>
          </w:tcPr>
          <w:p>
            <w:pPr>
              <w:spacing w:after="0"/>
            </w:pPr>
            <w:r>
              <w:rPr>
                <w:i/>
                <w:sz w:val="17"/>
                <w:szCs w:val="17"/>
              </w:rPr>
              <w:t xml:space="preserve">« Présence d'une adénopathie dure et fixée dans le creux sus-claviculaire gauche »</w:t>
            </w:r>
          </w:p>
        </w:tc>
        <w:tc>
          <w:tcPr>
            <w:tcW w:w="3000" w:type="dxa"/>
            <w:vAlign w:val="top"/>
          </w:tcPr>
          <w:p>
            <w:pPr>
              <w:spacing w:after="40"/>
            </w:pPr>
            <w:r>
              <w:rPr>
                <w:sz w:val="17"/>
                <w:szCs w:val="17"/>
              </w:rPr>
              <w:t xml:space="preserve">La phrase est nominale.</w:t>
            </w:r>
          </w:p>
          <w:p>
            <w:pPr>
              <w:spacing w:after="0"/>
            </w:pPr>
            <w:r>
              <w:rPr>
                <w:b/>
                <w:color w:val="145A32"/>
                <w:sz w:val="17"/>
                <w:szCs w:val="17"/>
              </w:rPr>
              <w:t xml:space="preserve">→ Écrire : « Ce syndrome se définit par une adénopathie dure et fixée du creux sus-claviculaire gauche, qui signe une dissémination métastatique… »</w:t>
            </w:r>
          </w:p>
        </w:tc>
        <w:tc>
          <w:tcPr>
            <w:tcW w:w="1800" w:type="dxa"/>
            <w:vAlign w:val="top"/>
          </w:tcPr>
          <w:p>
            <w:pPr>
              <w:spacing w:after="0"/>
            </w:pPr>
            <w:r>
              <w:rPr>
                <w:sz w:val="17"/>
                <w:szCs w:val="17"/>
              </w:rPr>
              <w:t xml:space="preserve">PROMPT_V6 (prompt de base) § 6.1</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L2-L33</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LOT_2_Appel_B_V4_Argon_Partie_3_D2.6_a_D2.7__export_GoogleDoc.html</w:t>
            </w:r>
          </w:p>
        </w:tc>
        <w:tc>
          <w:tcPr>
            <w:tcW w:w="2350" w:type="dxa"/>
            <w:vAlign w:val="top"/>
          </w:tcPr>
          <w:p>
            <w:pPr>
              <w:spacing w:after="0"/>
            </w:pPr>
            <w:r>
              <w:rPr>
                <w:sz w:val="17"/>
                <w:szCs w:val="17"/>
              </w:rPr>
              <w:t xml:space="preserve">D2.6 › point 11 › D- Pronostic</w:t>
            </w:r>
          </w:p>
        </w:tc>
        <w:tc>
          <w:tcPr>
            <w:tcW w:w="2600" w:type="dxa"/>
            <w:vAlign w:val="top"/>
          </w:tcPr>
          <w:p>
            <w:pPr>
              <w:spacing w:after="0"/>
            </w:pPr>
            <w:r>
              <w:rPr>
                <w:i/>
                <w:sz w:val="17"/>
                <w:szCs w:val="17"/>
              </w:rPr>
              <w:t xml:space="preserve">« Maladie intégralement curable chez l'immunocompétent, conférant une immunité définitive. »</w:t>
            </w:r>
          </w:p>
        </w:tc>
        <w:tc>
          <w:tcPr>
            <w:tcW w:w="3000" w:type="dxa"/>
            <w:vAlign w:val="top"/>
          </w:tcPr>
          <w:p>
            <w:pPr>
              <w:spacing w:after="40"/>
            </w:pPr>
            <w:r>
              <w:rPr>
                <w:sz w:val="17"/>
                <w:szCs w:val="17"/>
              </w:rPr>
              <w:t xml:space="preserve">La phrase est nominale et l'« immunité définitive » n'est pas sourcée.</w:t>
            </w:r>
          </w:p>
          <w:p>
            <w:pPr>
              <w:spacing w:after="0"/>
            </w:pPr>
            <w:r>
              <w:rPr>
                <w:b/>
                <w:color w:val="145A32"/>
                <w:sz w:val="17"/>
                <w:szCs w:val="17"/>
              </w:rPr>
              <w:t xml:space="preserve">→ Écrire : « La maladie guérit chez le patient immunocompétent [Sn]. » et supprimer l'immunité définitive faute de source.</w:t>
            </w:r>
          </w:p>
        </w:tc>
        <w:tc>
          <w:tcPr>
            <w:tcW w:w="1800" w:type="dxa"/>
            <w:vAlign w:val="top"/>
          </w:tcPr>
          <w:p>
            <w:pPr>
              <w:spacing w:after="0"/>
            </w:pPr>
            <w:r>
              <w:rPr>
                <w:sz w:val="17"/>
                <w:szCs w:val="17"/>
              </w:rPr>
              <w:t xml:space="preserve">PROMPT_V6 (prompt de base) § 6.1 ; donnée non trouvée dans les sources consultées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L2-L34</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LOT_2_Appel_B_V4_Argon_Partie_4_D2.8_a_D2.10__export_GoogleDoc.html</w:t>
            </w:r>
          </w:p>
        </w:tc>
        <w:tc>
          <w:tcPr>
            <w:tcW w:w="2350" w:type="dxa"/>
            <w:vAlign w:val="top"/>
          </w:tcPr>
          <w:p>
            <w:pPr>
              <w:spacing w:after="0"/>
            </w:pPr>
            <w:r>
              <w:rPr>
                <w:sz w:val="17"/>
                <w:szCs w:val="17"/>
              </w:rPr>
              <w:t xml:space="preserve">D2.9 › point 7.3 Syndrome de dysrégulation phosphocalcique</w:t>
            </w:r>
          </w:p>
        </w:tc>
        <w:tc>
          <w:tcPr>
            <w:tcW w:w="2600" w:type="dxa"/>
            <w:vAlign w:val="top"/>
          </w:tcPr>
          <w:p>
            <w:pPr>
              <w:spacing w:after="0"/>
            </w:pPr>
            <w:r>
              <w:rPr>
                <w:i/>
                <w:sz w:val="17"/>
                <w:szCs w:val="17"/>
              </w:rPr>
              <w:t xml:space="preserve">« Hypercalciurie (&gt; 7,5 mmol/24h chez l'homme ou &gt; 6,2 mmol/24h chez la femme »</w:t>
            </w:r>
          </w:p>
        </w:tc>
        <w:tc>
          <w:tcPr>
            <w:tcW w:w="3000" w:type="dxa"/>
            <w:vAlign w:val="top"/>
          </w:tcPr>
          <w:p>
            <w:pPr>
              <w:spacing w:after="40"/>
            </w:pPr>
            <w:r>
              <w:rPr>
                <w:sz w:val="17"/>
                <w:szCs w:val="17"/>
              </w:rPr>
              <w:t xml:space="preserve">La phrase est nominale et l'unité est mal espacée (« mmol/24h »).</w:t>
            </w:r>
          </w:p>
          <w:p>
            <w:pPr>
              <w:spacing w:after="0"/>
            </w:pPr>
            <w:r>
              <w:rPr>
                <w:b/>
                <w:color w:val="145A32"/>
                <w:sz w:val="17"/>
                <w:szCs w:val="17"/>
              </w:rPr>
              <w:t xml:space="preserve">→ Écrire : « Ce syndrome associe une hypercalciurie (&gt; 7,5 mmol/24 h chez l'homme, &gt; 6,2 mmol/24 h chez la femme)… »</w:t>
            </w:r>
          </w:p>
        </w:tc>
        <w:tc>
          <w:tcPr>
            <w:tcW w:w="1800" w:type="dxa"/>
            <w:vAlign w:val="top"/>
          </w:tcPr>
          <w:p>
            <w:pPr>
              <w:spacing w:after="0"/>
            </w:pPr>
            <w:r>
              <w:rPr>
                <w:sz w:val="17"/>
                <w:szCs w:val="17"/>
              </w:rPr>
              <w:t xml:space="preserve">PROMPT_V6 (prompt de base) § 6.1, § 6.8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L2-L35</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LOT_2_Appel_B_V4_Argon_Partie_4_D2.8_a_D2.10__export_GoogleDoc.html</w:t>
            </w:r>
          </w:p>
        </w:tc>
        <w:tc>
          <w:tcPr>
            <w:tcW w:w="2350" w:type="dxa"/>
            <w:vAlign w:val="top"/>
          </w:tcPr>
          <w:p>
            <w:pPr>
              <w:spacing w:after="0"/>
            </w:pPr>
            <w:r>
              <w:rPr>
                <w:sz w:val="17"/>
                <w:szCs w:val="17"/>
              </w:rPr>
              <w:t xml:space="preserve">D2.10 › point 7.2 Syndrome de LGP</w:t>
            </w:r>
          </w:p>
        </w:tc>
        <w:tc>
          <w:tcPr>
            <w:tcW w:w="2600" w:type="dxa"/>
            <w:vAlign w:val="top"/>
          </w:tcPr>
          <w:p>
            <w:pPr>
              <w:spacing w:after="0"/>
            </w:pPr>
            <w:r>
              <w:rPr>
                <w:i/>
                <w:sz w:val="17"/>
                <w:szCs w:val="17"/>
              </w:rPr>
              <w:t xml:space="preserve">« Présence d'adénopathies indolores, symétriques et mobiles (&gt; 1 cm) »</w:t>
            </w:r>
          </w:p>
        </w:tc>
        <w:tc>
          <w:tcPr>
            <w:tcW w:w="3000" w:type="dxa"/>
            <w:vAlign w:val="top"/>
          </w:tcPr>
          <w:p>
            <w:pPr>
              <w:spacing w:after="40"/>
            </w:pPr>
            <w:r>
              <w:rPr>
                <w:sz w:val="17"/>
                <w:szCs w:val="17"/>
              </w:rPr>
              <w:t xml:space="preserve">La phrase est nominale.</w:t>
            </w:r>
          </w:p>
          <w:p>
            <w:pPr>
              <w:spacing w:after="0"/>
            </w:pPr>
            <w:r>
              <w:rPr>
                <w:b/>
                <w:color w:val="145A32"/>
                <w:sz w:val="17"/>
                <w:szCs w:val="17"/>
              </w:rPr>
              <w:t xml:space="preserve">→ Écrire : « Ce syndrome se définit par des adénopathies indolores, symétriques et mobiles (&gt; 1 cm)… »</w:t>
            </w:r>
          </w:p>
        </w:tc>
        <w:tc>
          <w:tcPr>
            <w:tcW w:w="1800" w:type="dxa"/>
            <w:vAlign w:val="top"/>
          </w:tcPr>
          <w:p>
            <w:pPr>
              <w:spacing w:after="0"/>
            </w:pPr>
            <w:r>
              <w:rPr>
                <w:sz w:val="17"/>
                <w:szCs w:val="17"/>
              </w:rPr>
              <w:t xml:space="preserve">PROMPT_V6 (prompt de base) § 6.1</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L2-L46</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LOT_2_Appel_B_V4_Argon_Partie_2_D2.3_a_D2.5__export_GoogleDoc.html</w:t>
            </w:r>
          </w:p>
        </w:tc>
        <w:tc>
          <w:tcPr>
            <w:tcW w:w="2350" w:type="dxa"/>
            <w:vAlign w:val="top"/>
          </w:tcPr>
          <w:p>
            <w:pPr>
              <w:spacing w:after="0"/>
            </w:pPr>
            <w:r>
              <w:rPr>
                <w:sz w:val="17"/>
                <w:szCs w:val="17"/>
              </w:rPr>
              <w:t xml:space="preserve">D2.5 › point 14 Pièges</w:t>
            </w:r>
          </w:p>
        </w:tc>
        <w:tc>
          <w:tcPr>
            <w:tcW w:w="2600" w:type="dxa"/>
            <w:vAlign w:val="top"/>
          </w:tcPr>
          <w:p>
            <w:pPr>
              <w:spacing w:after="0"/>
            </w:pPr>
            <w:r>
              <w:rPr>
                <w:i/>
                <w:sz w:val="17"/>
                <w:szCs w:val="17"/>
              </w:rPr>
              <w:t xml:space="preserve">« son administration intrathécale accidentelle est 100 % mortelle »</w:t>
            </w:r>
          </w:p>
        </w:tc>
        <w:tc>
          <w:tcPr>
            <w:tcW w:w="3000" w:type="dxa"/>
            <w:vAlign w:val="top"/>
          </w:tcPr>
          <w:p>
            <w:pPr>
              <w:spacing w:after="40"/>
            </w:pPr>
            <w:r>
              <w:rPr>
                <w:sz w:val="17"/>
                <w:szCs w:val="17"/>
              </w:rPr>
              <w:t xml:space="preserve">Le pourcentage absolu n'est pas sourcé, ce que le prompt interdit.</w:t>
            </w:r>
          </w:p>
          <w:p>
            <w:pPr>
              <w:spacing w:after="0"/>
            </w:pPr>
            <w:r>
              <w:rPr>
                <w:b/>
                <w:color w:val="145A32"/>
                <w:sz w:val="17"/>
                <w:szCs w:val="17"/>
              </w:rPr>
              <w:t xml:space="preserve">→ Écrire : « son administration intrathécale accidentelle est le plus souvent mortelle [Sn : information professionnelle suisse de la vincristine] ».</w:t>
            </w:r>
          </w:p>
        </w:tc>
        <w:tc>
          <w:tcPr>
            <w:tcW w:w="1800" w:type="dxa"/>
            <w:vAlign w:val="top"/>
          </w:tcPr>
          <w:p>
            <w:pPr>
              <w:spacing w:after="0"/>
            </w:pPr>
            <w:r>
              <w:rPr>
                <w:sz w:val="17"/>
                <w:szCs w:val="17"/>
              </w:rPr>
              <w:t xml:space="preserve">PROMPT_V6 (prompt de base) § 14 ; donnée non trouvée dans les sources consultées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L2-L47</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LOT_2_Appel_B_V4_Argon_Partie_4_D2.8_a_D2.10__export_GoogleDoc.html</w:t>
            </w:r>
          </w:p>
        </w:tc>
        <w:tc>
          <w:tcPr>
            <w:tcW w:w="2350" w:type="dxa"/>
            <w:vAlign w:val="top"/>
          </w:tcPr>
          <w:p>
            <w:pPr>
              <w:spacing w:after="0"/>
            </w:pPr>
            <w:r>
              <w:rPr>
                <w:sz w:val="17"/>
                <w:szCs w:val="17"/>
              </w:rPr>
              <w:t xml:space="preserve">D2.10 › point 11 › D- Pronostic</w:t>
            </w:r>
          </w:p>
        </w:tc>
        <w:tc>
          <w:tcPr>
            <w:tcW w:w="2600" w:type="dxa"/>
            <w:vAlign w:val="top"/>
          </w:tcPr>
          <w:p>
            <w:pPr>
              <w:spacing w:after="0"/>
            </w:pPr>
            <w:r>
              <w:rPr>
                <w:i/>
                <w:sz w:val="17"/>
                <w:szCs w:val="17"/>
              </w:rPr>
              <w:t xml:space="preserve">« réduit le risque de transmission sexuelle à **zéro absolu** »</w:t>
            </w:r>
          </w:p>
        </w:tc>
        <w:tc>
          <w:tcPr>
            <w:tcW w:w="3000" w:type="dxa"/>
            <w:vAlign w:val="top"/>
          </w:tcPr>
          <w:p>
            <w:pPr>
              <w:spacing w:after="40"/>
            </w:pPr>
            <w:r>
              <w:rPr>
                <w:sz w:val="17"/>
                <w:szCs w:val="17"/>
              </w:rPr>
              <w:t xml:space="preserve">La formule hyperbolique (« zéro absolu », « consensus suisse validé mondialement ») remplace une donnée sourcée.</w:t>
            </w:r>
          </w:p>
          <w:p>
            <w:pPr>
              <w:spacing w:after="0"/>
            </w:pPr>
            <w:r>
              <w:rPr>
                <w:b/>
                <w:color w:val="145A32"/>
                <w:sz w:val="17"/>
                <w:szCs w:val="17"/>
              </w:rPr>
              <w:t xml:space="preserve">→ Écrire : « une charge virale indétectable depuis au moins 6 mois rend la transmission sexuelle négligeable [Sn : déclaration de la Commission fédérale pour les problèmes liés au sida, 2008] ».</w:t>
            </w:r>
          </w:p>
        </w:tc>
        <w:tc>
          <w:tcPr>
            <w:tcW w:w="1800" w:type="dxa"/>
            <w:vAlign w:val="top"/>
          </w:tcPr>
          <w:p>
            <w:pPr>
              <w:spacing w:after="0"/>
            </w:pPr>
            <w:r>
              <w:rPr>
                <w:sz w:val="17"/>
                <w:szCs w:val="17"/>
              </w:rPr>
              <w:t xml:space="preserve">donnée non trouvée dans les sources consultées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L2-L50</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LOT_2_Appel_B_V4_Argon_Partie_4_D2.8_a_D2.10__export_GoogleDoc.html</w:t>
            </w:r>
          </w:p>
        </w:tc>
        <w:tc>
          <w:tcPr>
            <w:tcW w:w="2350" w:type="dxa"/>
            <w:vAlign w:val="top"/>
          </w:tcPr>
          <w:p>
            <w:pPr>
              <w:spacing w:after="0"/>
            </w:pPr>
            <w:r>
              <w:rPr>
                <w:sz w:val="17"/>
                <w:szCs w:val="17"/>
              </w:rPr>
              <w:t xml:space="preserve">D2.9 › point 11.D › Recherche 2026</w:t>
            </w:r>
          </w:p>
        </w:tc>
        <w:tc>
          <w:tcPr>
            <w:tcW w:w="2600" w:type="dxa"/>
            <w:vAlign w:val="top"/>
          </w:tcPr>
          <w:p>
            <w:pPr>
              <w:spacing w:after="0"/>
            </w:pPr>
            <w:r>
              <w:rPr>
                <w:i/>
                <w:sz w:val="17"/>
                <w:szCs w:val="17"/>
              </w:rPr>
              <w:t xml:space="preserve">« évaluent l'**Éfofitamod** (modulateur sélectif de la neuropiline-2 »</w:t>
            </w:r>
          </w:p>
        </w:tc>
        <w:tc>
          <w:tcPr>
            <w:tcW w:w="3000" w:type="dxa"/>
            <w:vAlign w:val="top"/>
          </w:tcPr>
          <w:p>
            <w:pPr>
              <w:spacing w:after="40"/>
            </w:pPr>
            <w:r>
              <w:rPr>
                <w:sz w:val="17"/>
                <w:szCs w:val="17"/>
              </w:rPr>
              <w:t xml:space="preserve">La molécule s'appelle efzofitimod ; son essai de phase III EFZO-FIT a manqué son critère principal (annonce du 15.09.2025), de sorte que la phrase présente à tort un essai en cours et prometteur.</w:t>
            </w:r>
          </w:p>
          <w:p>
            <w:pPr>
              <w:spacing w:after="0"/>
            </w:pPr>
            <w:r>
              <w:rPr>
                <w:b/>
                <w:color w:val="145A32"/>
                <w:sz w:val="17"/>
                <w:szCs w:val="17"/>
              </w:rPr>
              <w:t xml:space="preserve">→ Écrire : « L'efzofitimod, qui cible la neuropiline-2, n'a pas atteint son critère principal dans l'essai de phase III EFZO-FIT (2025) [Sn]. »</w:t>
            </w:r>
          </w:p>
        </w:tc>
        <w:tc>
          <w:tcPr>
            <w:tcW w:w="1800" w:type="dxa"/>
            <w:vAlign w:val="top"/>
          </w:tcPr>
          <w:p>
            <w:pPr>
              <w:spacing w:after="0"/>
            </w:pPr>
            <w:r>
              <w:rPr>
                <w:sz w:val="17"/>
                <w:szCs w:val="17"/>
              </w:rPr>
              <w:t xml:space="preserve">aTyr Pharma, communiqué « Topline results from Phase 3 EFZO-FIT study », 15.09.2025 — https://investors.atyrpharma.com/node/16626 —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L2-L54</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LOT_2_V6_Enrichi_8plus_Partie_1_Integral.html</w:t>
            </w:r>
          </w:p>
        </w:tc>
        <w:tc>
          <w:tcPr>
            <w:tcW w:w="2350" w:type="dxa"/>
            <w:vAlign w:val="top"/>
          </w:tcPr>
          <w:p>
            <w:pPr>
              <w:spacing w:after="0"/>
            </w:pPr>
            <w:r>
              <w:rPr>
                <w:sz w:val="17"/>
                <w:szCs w:val="17"/>
              </w:rPr>
              <w:t xml:space="preserve">Toutes les monographies › fenêtre « Consulter la hiérarchie des examens » › Gold standard (11 occurrences ; première : SSP › point 9)</w:t>
            </w:r>
          </w:p>
        </w:tc>
        <w:tc>
          <w:tcPr>
            <w:tcW w:w="2600" w:type="dxa"/>
            <w:vAlign w:val="top"/>
          </w:tcPr>
          <w:p>
            <w:pPr>
              <w:spacing w:after="0"/>
            </w:pPr>
            <w:r>
              <w:rPr>
                <w:i/>
                <w:sz w:val="17"/>
                <w:szCs w:val="17"/>
              </w:rPr>
              <w:t xml:space="preserve">« notamment d'un lymphome possible. Consulter la hiérarchie des examens »</w:t>
            </w:r>
          </w:p>
        </w:tc>
        <w:tc>
          <w:tcPr>
            <w:tcW w:w="3000" w:type="dxa"/>
            <w:vAlign w:val="top"/>
          </w:tcPr>
          <w:p>
            <w:pPr>
              <w:spacing w:after="40"/>
            </w:pPr>
            <w:r>
              <w:rPr>
                <w:sz w:val="17"/>
                <w:szCs w:val="17"/>
              </w:rPr>
              <w:t xml:space="preserve">Le paragraphe « Gold standard / référence » recopie mot pour mot le texte du point 9 qui le précède ; cette répétition n'apporte aucune information.</w:t>
            </w:r>
          </w:p>
          <w:p>
            <w:pPr>
              <w:spacing w:after="0"/>
            </w:pPr>
            <w:r>
              <w:rPr>
                <w:b/>
                <w:color w:val="145A32"/>
                <w:sz w:val="17"/>
                <w:szCs w:val="17"/>
              </w:rPr>
              <w:t xml:space="preserve">→ Remplacer la copie par le vrai 9.a : l'examen de référence nommé, sa sensibilité, sa spécificité et son seuil, avec [Sn] ; traduire « Gold standard » par « Examen de référence ».</w:t>
            </w:r>
          </w:p>
        </w:tc>
        <w:tc>
          <w:tcPr>
            <w:tcW w:w="1800" w:type="dxa"/>
            <w:vAlign w:val="top"/>
          </w:tcPr>
          <w:p>
            <w:pPr>
              <w:spacing w:after="0"/>
            </w:pPr>
            <w:r>
              <w:rPr>
                <w:sz w:val="17"/>
                <w:szCs w:val="17"/>
              </w:rPr>
              <w:t xml:space="preserve">PROMPT_V6 (prompt de base) § 5.9 a, § 6.4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L2-L55</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LOT_2_V6_Enrichi_8plus_Partie_1_Integral.html</w:t>
            </w:r>
          </w:p>
        </w:tc>
        <w:tc>
          <w:tcPr>
            <w:tcW w:w="2350" w:type="dxa"/>
            <w:vAlign w:val="top"/>
          </w:tcPr>
          <w:p>
            <w:pPr>
              <w:spacing w:after="0"/>
            </w:pPr>
            <w:r>
              <w:rPr>
                <w:sz w:val="17"/>
                <w:szCs w:val="17"/>
              </w:rPr>
              <w:t xml:space="preserve">Toutes les monographies › point 13 Points clés (11 occurrences ; première : SSP)</w:t>
            </w:r>
          </w:p>
        </w:tc>
        <w:tc>
          <w:tcPr>
            <w:tcW w:w="2600" w:type="dxa"/>
            <w:vAlign w:val="top"/>
          </w:tcPr>
          <w:p>
            <w:pPr>
              <w:spacing w:after="0"/>
            </w:pPr>
            <w:r>
              <w:rPr>
                <w:i/>
                <w:sz w:val="17"/>
                <w:szCs w:val="17"/>
              </w:rPr>
              <w:t xml:space="preserve">« ganglion anormal. Le traitement dépend de la cause »</w:t>
            </w:r>
          </w:p>
        </w:tc>
        <w:tc>
          <w:tcPr>
            <w:tcW w:w="3000" w:type="dxa"/>
            <w:vAlign w:val="top"/>
          </w:tcPr>
          <w:p>
            <w:pPr>
              <w:spacing w:after="40"/>
            </w:pPr>
            <w:r>
              <w:rPr>
                <w:sz w:val="17"/>
                <w:szCs w:val="17"/>
              </w:rPr>
              <w:t xml:space="preserve">Le point 13 recopie la première phrase des points 8, 11.B et 11.C au lieu de formuler des messages à retenir ; la répétition est systématique.</w:t>
            </w:r>
          </w:p>
          <w:p>
            <w:pPr>
              <w:spacing w:after="0"/>
            </w:pPr>
            <w:r>
              <w:rPr>
                <w:b/>
                <w:color w:val="145A32"/>
                <w:sz w:val="17"/>
                <w:szCs w:val="17"/>
              </w:rPr>
              <w:t xml:space="preserve">→ Rédiger 3 à 6 phrases verbales nouvelles par monographie, centrées sur les seuils, décisions et pièges propres au DX.</w:t>
            </w:r>
          </w:p>
        </w:tc>
        <w:tc>
          <w:tcPr>
            <w:tcW w:w="1800" w:type="dxa"/>
            <w:vAlign w:val="top"/>
          </w:tcPr>
          <w:p>
            <w:pPr>
              <w:spacing w:after="0"/>
            </w:pPr>
            <w:r>
              <w:rPr>
                <w:sz w:val="17"/>
                <w:szCs w:val="17"/>
              </w:rPr>
              <w:t xml:space="preserve">PROMPT_V6 (prompt de base) § 5.13, § 6.4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L2-L56</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LOT_2_V6_Enrichi_8plus_Partie_1_Integral.html</w:t>
            </w:r>
          </w:p>
        </w:tc>
        <w:tc>
          <w:tcPr>
            <w:tcW w:w="2350" w:type="dxa"/>
            <w:vAlign w:val="top"/>
          </w:tcPr>
          <w:p>
            <w:pPr>
              <w:spacing w:after="0"/>
            </w:pPr>
            <w:r>
              <w:rPr>
                <w:sz w:val="17"/>
                <w:szCs w:val="17"/>
              </w:rPr>
              <w:t xml:space="preserve">SSP › point 8 Critères</w:t>
            </w:r>
          </w:p>
        </w:tc>
        <w:tc>
          <w:tcPr>
            <w:tcW w:w="2600" w:type="dxa"/>
            <w:vAlign w:val="top"/>
          </w:tcPr>
          <w:p>
            <w:pPr>
              <w:spacing w:after="0"/>
            </w:pPr>
            <w:r>
              <w:rPr>
                <w:i/>
                <w:sz w:val="17"/>
                <w:szCs w:val="17"/>
              </w:rPr>
              <w:t xml:space="preserve">« Une masse n'est pas nécessairement une tumeur et une tumeur n'est pas toujours maligne. »</w:t>
            </w:r>
          </w:p>
        </w:tc>
        <w:tc>
          <w:tcPr>
            <w:tcW w:w="3000" w:type="dxa"/>
            <w:vAlign w:val="top"/>
          </w:tcPr>
          <w:p>
            <w:pPr>
              <w:spacing w:after="40"/>
            </w:pPr>
            <w:r>
              <w:rPr>
                <w:sz w:val="17"/>
                <w:szCs w:val="17"/>
              </w:rPr>
              <w:t xml:space="preserve">Le point 8 répète la définition du point 1 et ne donne aucun critère formel (seuils de taille, durée).</w:t>
            </w:r>
          </w:p>
          <w:p>
            <w:pPr>
              <w:spacing w:after="0"/>
            </w:pPr>
            <w:r>
              <w:rPr>
                <w:b/>
                <w:color w:val="145A32"/>
                <w:sz w:val="17"/>
                <w:szCs w:val="17"/>
              </w:rPr>
              <w:t xml:space="preserve">→ Écrire : « Un ganglion est augmenté au-delà de 1 cm de petit axe ; un ganglion épitrochléen l'est dès 5 mm. Toute adénopathie persistant plus de 2 semaines est suspecte [Sn]. »</w:t>
            </w:r>
          </w:p>
        </w:tc>
        <w:tc>
          <w:tcPr>
            <w:tcW w:w="1800" w:type="dxa"/>
            <w:vAlign w:val="top"/>
          </w:tcPr>
          <w:p>
            <w:pPr>
              <w:spacing w:after="0"/>
            </w:pPr>
            <w:r>
              <w:rPr>
                <w:sz w:val="17"/>
                <w:szCs w:val="17"/>
              </w:rPr>
              <w:t xml:space="preserve">Hanzalová I, Matter M. Peripheral lymphadenopathy of unknown origin in adults: a diagnostic approach emphasizing the malignancy hypothesis. Swiss Med Wkly. 2024;154:3549 — https://smw.ch/index.php/smw/article/view/3549 —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L2-L57</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LOT_2_V6_Enrichi_8plus_Partie_1_Integral.html</w:t>
            </w:r>
          </w:p>
        </w:tc>
        <w:tc>
          <w:tcPr>
            <w:tcW w:w="2350" w:type="dxa"/>
            <w:vAlign w:val="top"/>
          </w:tcPr>
          <w:p>
            <w:pPr>
              <w:spacing w:after="0"/>
            </w:pPr>
            <w:r>
              <w:rPr>
                <w:sz w:val="17"/>
                <w:szCs w:val="17"/>
              </w:rPr>
              <w:t xml:space="preserve">D2.4 › point 2 Épidémiologie (et point 11.B)</w:t>
            </w:r>
          </w:p>
        </w:tc>
        <w:tc>
          <w:tcPr>
            <w:tcW w:w="2600" w:type="dxa"/>
            <w:vAlign w:val="top"/>
          </w:tcPr>
          <w:p>
            <w:pPr>
              <w:spacing w:after="0"/>
            </w:pPr>
            <w:r>
              <w:rPr>
                <w:i/>
                <w:sz w:val="17"/>
                <w:szCs w:val="17"/>
              </w:rPr>
              <w:t xml:space="preserve">« Les mycoses pulmonaires dépendent aussi de la géographie et du terrain. »</w:t>
            </w:r>
          </w:p>
        </w:tc>
        <w:tc>
          <w:tcPr>
            <w:tcW w:w="3000" w:type="dxa"/>
            <w:vAlign w:val="top"/>
          </w:tcPr>
          <w:p>
            <w:pPr>
              <w:spacing w:after="40"/>
            </w:pPr>
            <w:r>
              <w:rPr>
                <w:sz w:val="17"/>
                <w:szCs w:val="17"/>
              </w:rPr>
              <w:t xml:space="preserve">Des phrases sur les mycoses pulmonaires et invasives, sans rapport avec la tuberculose ganglionnaire, ont été insérées par copier-coller (2 occurrences : points 2 et 11.B).</w:t>
            </w:r>
          </w:p>
          <w:p>
            <w:pPr>
              <w:spacing w:after="0"/>
            </w:pPr>
            <w:r>
              <w:rPr>
                <w:b/>
                <w:color w:val="145A32"/>
                <w:sz w:val="17"/>
                <w:szCs w:val="17"/>
              </w:rPr>
              <w:t xml:space="preserve">→ Supprimer les deux phrases sur les mycoses et les remplacer par l'épidémiologie suisse sourcée de la tuberculose (OFSP) et le schéma thérapeutique standard.</w:t>
            </w:r>
          </w:p>
        </w:tc>
        <w:tc>
          <w:tcPr>
            <w:tcW w:w="1800" w:type="dxa"/>
            <w:vAlign w:val="top"/>
          </w:tcPr>
          <w:p>
            <w:pPr>
              <w:spacing w:after="0"/>
            </w:pPr>
            <w:r>
              <w:rPr>
                <w:sz w:val="17"/>
                <w:szCs w:val="17"/>
              </w:rPr>
              <w:t xml:space="preserve">PROMPT_V6 (prompt de base) § 6.4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L2-L58</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LOT_2_V6_Enrichi_8plus_Partie_1_Integral.html</w:t>
            </w:r>
          </w:p>
        </w:tc>
        <w:tc>
          <w:tcPr>
            <w:tcW w:w="2350" w:type="dxa"/>
            <w:vAlign w:val="top"/>
          </w:tcPr>
          <w:p>
            <w:pPr>
              <w:spacing w:after="0"/>
            </w:pPr>
            <w:r>
              <w:rPr>
                <w:sz w:val="17"/>
                <w:szCs w:val="17"/>
              </w:rPr>
              <w:t xml:space="preserve">Toutes les monographies › point 7 Approche syndromique (titres 7.1 et 7.2 ; 11 occurrences ; exemple : SSP)</w:t>
            </w:r>
          </w:p>
        </w:tc>
        <w:tc>
          <w:tcPr>
            <w:tcW w:w="2600" w:type="dxa"/>
            <w:vAlign w:val="top"/>
          </w:tcPr>
          <w:p>
            <w:pPr>
              <w:spacing w:after="0"/>
            </w:pPr>
            <w:r>
              <w:rPr>
                <w:i/>
                <w:sz w:val="17"/>
                <w:szCs w:val="17"/>
              </w:rPr>
              <w:t xml:space="preserve">« Une masse douloureuse récente peut accompagner une infection. »</w:t>
            </w:r>
          </w:p>
        </w:tc>
        <w:tc>
          <w:tcPr>
            <w:tcW w:w="3000" w:type="dxa"/>
            <w:vAlign w:val="top"/>
          </w:tcPr>
          <w:p>
            <w:pPr>
              <w:spacing w:after="40"/>
            </w:pPr>
            <w:r>
              <w:rPr>
                <w:sz w:val="17"/>
                <w:szCs w:val="17"/>
              </w:rPr>
              <w:t xml:space="preserve">Les sous-titres génériques (« Le tableau oriente le mécanisme ») ne nomment aucun syndrome, ne listent pas les signes et n'ouvrent aucune fenêtre reliant chaque signe à son mécanisme.</w:t>
            </w:r>
          </w:p>
          <w:p>
            <w:pPr>
              <w:spacing w:after="0"/>
            </w:pPr>
            <w:r>
              <w:rPr>
                <w:b/>
                <w:color w:val="145A32"/>
                <w:sz w:val="17"/>
                <w:szCs w:val="17"/>
              </w:rPr>
              <w:t xml:space="preserve">→ Nommer chaque syndrome (p. ex. « 7.1 Syndrome d'adénite aiguë suppurative ») et lister ses signes fonctionnels et physiques, avec une fenêtre de mécanisme sur le titre.</w:t>
            </w:r>
          </w:p>
        </w:tc>
        <w:tc>
          <w:tcPr>
            <w:tcW w:w="1800" w:type="dxa"/>
            <w:vAlign w:val="top"/>
          </w:tcPr>
          <w:p>
            <w:pPr>
              <w:spacing w:after="0"/>
            </w:pPr>
            <w:r>
              <w:rPr>
                <w:sz w:val="17"/>
                <w:szCs w:val="17"/>
              </w:rPr>
              <w:t xml:space="preserve">PROMPT_V6 (prompt de base) § 5.7</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L2-L59</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LOT_2_V6_Enrichi_8plus_Partie_1_Integral.html</w:t>
            </w:r>
          </w:p>
        </w:tc>
        <w:tc>
          <w:tcPr>
            <w:tcW w:w="2350" w:type="dxa"/>
            <w:vAlign w:val="top"/>
          </w:tcPr>
          <w:p>
            <w:pPr>
              <w:spacing w:after="0"/>
            </w:pPr>
            <w:r>
              <w:rPr>
                <w:sz w:val="17"/>
                <w:szCs w:val="17"/>
              </w:rPr>
              <w:t xml:space="preserve">SSP › point 2 Épidémiologie (renvoi HELP Q111 ; 11 renvois analogues Q111–Q131)</w:t>
            </w:r>
          </w:p>
        </w:tc>
        <w:tc>
          <w:tcPr>
            <w:tcW w:w="2600" w:type="dxa"/>
            <w:vAlign w:val="top"/>
          </w:tcPr>
          <w:p>
            <w:pPr>
              <w:spacing w:after="0"/>
            </w:pPr>
            <w:r>
              <w:rPr>
                <w:i/>
                <w:sz w:val="17"/>
                <w:szCs w:val="17"/>
              </w:rPr>
              <w:t xml:space="preserve">« Consulter la question HELP Q111 »</w:t>
            </w:r>
          </w:p>
        </w:tc>
        <w:tc>
          <w:tcPr>
            <w:tcW w:w="3000" w:type="dxa"/>
            <w:vAlign w:val="top"/>
          </w:tcPr>
          <w:p>
            <w:pPr>
              <w:spacing w:after="40"/>
            </w:pPr>
            <w:r>
              <w:rPr>
                <w:sz w:val="17"/>
                <w:szCs w:val="17"/>
              </w:rPr>
              <w:t xml:space="preserve">La V6 déclare « donnée non trouvée » pour l'épidémiologie de chaque DX, alors que des sources suisses existent (p. ex. revue suisse 2024 pour le risque de malignité), ce qui appauvrit le contenu.</w:t>
            </w:r>
          </w:p>
          <w:p>
            <w:pPr>
              <w:spacing w:after="0"/>
            </w:pPr>
            <w:r>
              <w:rPr>
                <w:b/>
                <w:color w:val="145A32"/>
                <w:sz w:val="17"/>
                <w:szCs w:val="17"/>
              </w:rPr>
              <w:t xml:space="preserve">→ Rechercher et citer les données suisses disponibles avant de recourir à « donnée non trouvée » ; pour le SSP : « Une cause maligne concerne 1,1 à 8,1 % des patients [Sn]. »</w:t>
            </w:r>
          </w:p>
        </w:tc>
        <w:tc>
          <w:tcPr>
            <w:tcW w:w="1800" w:type="dxa"/>
            <w:vAlign w:val="top"/>
          </w:tcPr>
          <w:p>
            <w:pPr>
              <w:spacing w:after="0"/>
            </w:pPr>
            <w:r>
              <w:rPr>
                <w:sz w:val="17"/>
                <w:szCs w:val="17"/>
              </w:rPr>
              <w:t xml:space="preserve">Hanzalová I, Matter M. Peripheral lymphadenopathy of unknown origin in adults: a diagnostic approach emphasizing the malignancy hypothesis. Swiss Med Wkly. 2024;154:3549 — https://smw.ch/index.php/smw/article/view/3549 —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L2-M02</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LOT_2_Appel_A_Plan_et_Liste_Fédéral__export_GoogleDoc.html</w:t>
            </w:r>
          </w:p>
        </w:tc>
        <w:tc>
          <w:tcPr>
            <w:tcW w:w="2350" w:type="dxa"/>
            <w:vAlign w:val="top"/>
          </w:tcPr>
          <w:p>
            <w:pPr>
              <w:spacing w:after="0"/>
            </w:pPr>
            <w:r>
              <w:rPr>
                <w:sz w:val="17"/>
                <w:szCs w:val="17"/>
              </w:rPr>
              <w:t xml:space="preserve">Bloc 1 › point 1 › liens « Tuméfaction », « Tumeur », « Adénopathie » (19 liens au total)</w:t>
            </w:r>
          </w:p>
        </w:tc>
        <w:tc>
          <w:tcPr>
            <w:tcW w:w="2600" w:type="dxa"/>
            <w:vAlign w:val="top"/>
          </w:tcPr>
          <w:p>
            <w:pPr>
              <w:spacing w:after="0"/>
            </w:pPr>
            <w:r>
              <w:rPr>
                <w:i/>
                <w:sz w:val="17"/>
                <w:szCs w:val="17"/>
              </w:rPr>
              <w:t xml:space="preserve">« La Tuméfaction désigne un gonflement localisé transitoire ou permanent. »</w:t>
            </w:r>
          </w:p>
        </w:tc>
        <w:tc>
          <w:tcPr>
            <w:tcW w:w="3000" w:type="dxa"/>
            <w:vAlign w:val="top"/>
          </w:tcPr>
          <w:p>
            <w:pPr>
              <w:spacing w:after="40"/>
            </w:pPr>
            <w:r>
              <w:rPr>
                <w:sz w:val="17"/>
                <w:szCs w:val="17"/>
              </w:rPr>
              <w:t xml:space="preserve">La comparaison mot à mot entre le clone local et le texte Drive (lu par mcp__Google_Drive__read_file_content, fileId 142KylYBj8p1Q8HSGQBT5sC4fq9sv_AsdbNun1BK3L9g) ne montre aucune différence textuelle ; en revanche, les 19 « fenêtres » du clone sont des liens href="#id.vcziqa69nup9" vers un signet absent du fichier, et dans Drive les 19 liens visent tous ce même signet unique : aucune fenêtre explicative n'existe réellement.</w:t>
            </w:r>
          </w:p>
          <w:p>
            <w:pPr>
              <w:spacing w:after="0"/>
            </w:pPr>
            <w:r>
              <w:rPr>
                <w:b/>
                <w:color w:val="145A32"/>
                <w:sz w:val="17"/>
                <w:szCs w:val="17"/>
              </w:rPr>
              <w:t xml:space="preserve">→ Remplacer chacun des 19 liens par une fenêtre &lt;details&gt; propre (mécanisme, exemple chiffré, piège, source [Sn]) ; noter dans le manifeste que le clone transcrit est textuellement conforme à Drive au 22.10.2026, mais que ses tailles (36 920 o local contre 6 661 o Drive) ne sont pas comparables.</w:t>
            </w:r>
          </w:p>
        </w:tc>
        <w:tc>
          <w:tcPr>
            <w:tcW w:w="1800" w:type="dxa"/>
            <w:vAlign w:val="top"/>
          </w:tcPr>
          <w:p>
            <w:pPr>
              <w:spacing w:after="0"/>
            </w:pPr>
            <w:r>
              <w:rPr>
                <w:sz w:val="17"/>
                <w:szCs w:val="17"/>
              </w:rPr>
              <w:t xml:space="preserve">Texte Drive original lu le 22.10.2026 (Google Doc 142KylYBj8p1Q8HSGQBT5sC4fq9sv_AsdbNun1BK3L9g) ; PROMPT_V6.md section 7.</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L2-M03</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LOT_2_V6_Enrichi_8plus_Partie_1_Integral.html</w:t>
            </w:r>
          </w:p>
        </w:tc>
        <w:tc>
          <w:tcPr>
            <w:tcW w:w="2350" w:type="dxa"/>
            <w:vAlign w:val="top"/>
          </w:tcPr>
          <w:p>
            <w:pPr>
              <w:spacing w:after="0"/>
            </w:pPr>
            <w:r>
              <w:rPr>
                <w:sz w:val="17"/>
                <w:szCs w:val="17"/>
              </w:rPr>
              <w:t xml:space="preserve">En-tête du fichier et sommaire</w:t>
            </w:r>
          </w:p>
        </w:tc>
        <w:tc>
          <w:tcPr>
            <w:tcW w:w="2600" w:type="dxa"/>
            <w:vAlign w:val="top"/>
          </w:tcPr>
          <w:p>
            <w:pPr>
              <w:spacing w:after="0"/>
            </w:pPr>
            <w:r>
              <w:rPr>
                <w:i/>
                <w:sz w:val="17"/>
                <w:szCs w:val="17"/>
              </w:rPr>
              <w:t xml:space="preserve">« Cette édition réunit le SSP principal et les dix diagnostics du plan initial. »</w:t>
            </w:r>
          </w:p>
        </w:tc>
        <w:tc>
          <w:tcPr>
            <w:tcW w:w="3000" w:type="dxa"/>
            <w:vAlign w:val="top"/>
          </w:tcPr>
          <w:p>
            <w:pPr>
              <w:spacing w:after="40"/>
            </w:pPr>
            <w:r>
              <w:rPr>
                <w:sz w:val="17"/>
                <w:szCs w:val="17"/>
              </w:rPr>
              <w:t xml:space="preserve">Le lot contient deux versions concurrentes des monographies D2.1–D2.2 (V4 Argon Partie 1 et V6 « Partie_1_Integral »), le fichier V6 nommé « Partie 1 » contient en réalité l'Appel A et les dix DX, et aucune version V6 des Parties 2 à 4 n'existe, ce qui rompt la cadence 2-3-2-3 et la règle d'absence de doublon.</w:t>
            </w:r>
          </w:p>
          <w:p>
            <w:pPr>
              <w:spacing w:after="0"/>
            </w:pPr>
            <w:r>
              <w:rPr>
                <w:b/>
                <w:color w:val="145A32"/>
                <w:sz w:val="17"/>
                <w:szCs w:val="17"/>
              </w:rPr>
              <w:t xml:space="preserve">→ Désigner une seule version active par partie, découper selon la cadence 2-3-2-3 avec les noms canoniques (LOT_2_Appel_A_…, LOT_2_Appel_B_…_Partie_1_DX.1_a_DX.2.html, etc.) et déplacer la version périmée dans CORBEILLE_DOUBLONS_OBSOLETES avec le suffixe _OBSOLETE_.</w:t>
            </w:r>
          </w:p>
        </w:tc>
        <w:tc>
          <w:tcPr>
            <w:tcW w:w="1800" w:type="dxa"/>
            <w:vAlign w:val="top"/>
          </w:tcPr>
          <w:p>
            <w:pPr>
              <w:spacing w:after="0"/>
            </w:pPr>
            <w:r>
              <w:rPr>
                <w:sz w:val="17"/>
                <w:szCs w:val="17"/>
              </w:rPr>
              <w:t xml:space="preserve">PROMPT_V6.md, sections 4 et 12.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L2-M09</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LOT_2_Appel_A_Plan_et_Liste_Fédéral__export_GoogleDoc.html</w:t>
            </w:r>
          </w:p>
        </w:tc>
        <w:tc>
          <w:tcPr>
            <w:tcW w:w="2350" w:type="dxa"/>
            <w:vAlign w:val="top"/>
          </w:tcPr>
          <w:p>
            <w:pPr>
              <w:spacing w:after="0"/>
            </w:pPr>
            <w:r>
              <w:rPr>
                <w:sz w:val="17"/>
                <w:szCs w:val="17"/>
              </w:rPr>
              <w:t xml:space="preserve">Bloc 1 › point 3 Physiopathologie</w:t>
            </w:r>
          </w:p>
        </w:tc>
        <w:tc>
          <w:tcPr>
            <w:tcW w:w="2600" w:type="dxa"/>
            <w:vAlign w:val="top"/>
          </w:tcPr>
          <w:p>
            <w:pPr>
              <w:spacing w:after="0"/>
            </w:pPr>
            <w:r>
              <w:rPr>
                <w:i/>
                <w:sz w:val="17"/>
                <w:szCs w:val="17"/>
              </w:rPr>
              <w:t xml:space="preserve">« induit une hypertrophie lente, froide et indolore (lymphome) »</w:t>
            </w:r>
          </w:p>
        </w:tc>
        <w:tc>
          <w:tcPr>
            <w:tcW w:w="3000" w:type="dxa"/>
            <w:vAlign w:val="top"/>
          </w:tcPr>
          <w:p>
            <w:pPr>
              <w:spacing w:after="40"/>
            </w:pPr>
            <w:r>
              <w:rPr>
                <w:sz w:val="17"/>
                <w:szCs w:val="17"/>
              </w:rPr>
              <w:t xml:space="preserve">La phrase généralise une croissance lente à tous les lymphomes, alors que les lymphomes agressifs (lymphome diffus à grandes cellules B, Burkitt) croissent en quelques semaines, comme l'écrit la monographie D2.5 du même lot.</w:t>
            </w:r>
          </w:p>
          <w:p>
            <w:pPr>
              <w:spacing w:after="0"/>
            </w:pPr>
            <w:r>
              <w:rPr>
                <w:b/>
                <w:color w:val="145A32"/>
                <w:sz w:val="17"/>
                <w:szCs w:val="17"/>
              </w:rPr>
              <w:t xml:space="preserve">→ Écrire : « La prolifération maligne primaire produit une masse indolore, lente dans les lymphomes indolents et rapide (quelques semaines) dans les lymphomes agressifs. »</w:t>
            </w:r>
          </w:p>
        </w:tc>
        <w:tc>
          <w:tcPr>
            <w:tcW w:w="1800" w:type="dxa"/>
            <w:vAlign w:val="top"/>
          </w:tcPr>
          <w:p>
            <w:pPr>
              <w:spacing w:after="0"/>
            </w:pPr>
            <w:r>
              <w:rPr>
                <w:sz w:val="17"/>
                <w:szCs w:val="17"/>
              </w:rPr>
              <w:t xml:space="preserve">Cohérence interne : D2.5, point 5 (« croissance rapide en quelques semaines (LDGCB agressif) »).</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L2-M10</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LOT_2_Appel_A_Plan_et_Liste_Fédéral__export_GoogleDoc.html</w:t>
            </w:r>
          </w:p>
        </w:tc>
        <w:tc>
          <w:tcPr>
            <w:tcW w:w="2350" w:type="dxa"/>
            <w:vAlign w:val="top"/>
          </w:tcPr>
          <w:p>
            <w:pPr>
              <w:spacing w:after="0"/>
            </w:pPr>
            <w:r>
              <w:rPr>
                <w:sz w:val="17"/>
                <w:szCs w:val="17"/>
              </w:rPr>
              <w:t xml:space="preserve">Bloc 1 › point 8 Diagnostic positif et critères</w:t>
            </w:r>
          </w:p>
        </w:tc>
        <w:tc>
          <w:tcPr>
            <w:tcW w:w="2600" w:type="dxa"/>
            <w:vAlign w:val="top"/>
          </w:tcPr>
          <w:p>
            <w:pPr>
              <w:spacing w:after="0"/>
            </w:pPr>
            <w:r>
              <w:rPr>
                <w:i/>
                <w:sz w:val="17"/>
                <w:szCs w:val="17"/>
              </w:rPr>
              <w:t xml:space="preserve">« lorsque le diamètre du ganglion dépasse 1 cm (ou 1,5 cm en région inguinale) »</w:t>
            </w:r>
          </w:p>
        </w:tc>
        <w:tc>
          <w:tcPr>
            <w:tcW w:w="3000" w:type="dxa"/>
            <w:vAlign w:val="top"/>
          </w:tcPr>
          <w:p>
            <w:pPr>
              <w:spacing w:after="40"/>
            </w:pPr>
            <w:r>
              <w:rPr>
                <w:sz w:val="17"/>
                <w:szCs w:val="17"/>
              </w:rPr>
              <w:t xml:space="preserve">Le critère omet que tout ganglion sus-claviculaire palpable est anormal quelle que soit sa taille et ne cite ni société savante ni année, contrairement au point 8 du plan canonique.</w:t>
            </w:r>
          </w:p>
          <w:p>
            <w:pPr>
              <w:spacing w:after="0"/>
            </w:pPr>
            <w:r>
              <w:rPr>
                <w:b/>
                <w:color w:val="145A32"/>
                <w:sz w:val="17"/>
                <w:szCs w:val="17"/>
              </w:rPr>
              <w:t xml:space="preserve">→ Ajouter : « Tout ganglion sus-claviculaire palpable est pathologique, quelle que soit sa taille » et citer la source utilisée ; à défaut, écrire « donnée non trouvée dans les sources consultées » pour les seuils et envoyer la question dans HELP.</w:t>
            </w:r>
          </w:p>
        </w:tc>
        <w:tc>
          <w:tcPr>
            <w:tcW w:w="1800" w:type="dxa"/>
            <w:vAlign w:val="top"/>
          </w:tcPr>
          <w:p>
            <w:pPr>
              <w:spacing w:after="0"/>
            </w:pPr>
            <w:r>
              <w:rPr>
                <w:sz w:val="17"/>
                <w:szCs w:val="17"/>
              </w:rPr>
              <w:t xml:space="preserve">Fijten GH, Blijham GH. Unexplained lymphadenopathy in family practice: an evaluation of the probability of malignant causes and the effectiveness of physicians' workup. J Fam Pract 1988;27(4):373-376 (étude néerlandaise de médecine de famille) — https://cdn.mdedge.com/files/s3fs-public/jfp-archived-issues/1988-volume_26-27/JFP_1988-10_v27_i4_unexplained-lymphadenopathy-in-family-pr.pdf — consulté le 22.10.2026 (risque de malignité d'environ 50 % en sus-claviculaire).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L2-M11</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LOT_2_Appel_A_Plan_et_Liste_Fédéral__export_GoogleDoc.html</w:t>
            </w:r>
          </w:p>
        </w:tc>
        <w:tc>
          <w:tcPr>
            <w:tcW w:w="2350" w:type="dxa"/>
            <w:vAlign w:val="top"/>
          </w:tcPr>
          <w:p>
            <w:pPr>
              <w:spacing w:after="0"/>
            </w:pPr>
            <w:r>
              <w:rPr>
                <w:sz w:val="17"/>
                <w:szCs w:val="17"/>
              </w:rPr>
              <w:t xml:space="preserve">Bloc 1 › point 11 › B- Moyens et méthodes</w:t>
            </w:r>
          </w:p>
        </w:tc>
        <w:tc>
          <w:tcPr>
            <w:tcW w:w="2600" w:type="dxa"/>
            <w:vAlign w:val="top"/>
          </w:tcPr>
          <w:p>
            <w:pPr>
              <w:spacing w:after="0"/>
            </w:pPr>
            <w:r>
              <w:rPr>
                <w:i/>
                <w:sz w:val="17"/>
                <w:szCs w:val="17"/>
              </w:rPr>
              <w:t xml:space="preserve">« Le praticien prescrit des antibiotiques (ex: Amoxicilline-Acide clavulanique) »</w:t>
            </w:r>
          </w:p>
        </w:tc>
        <w:tc>
          <w:tcPr>
            <w:tcW w:w="3000" w:type="dxa"/>
            <w:vAlign w:val="top"/>
          </w:tcPr>
          <w:p>
            <w:pPr>
              <w:spacing w:after="40"/>
            </w:pPr>
            <w:r>
              <w:rPr>
                <w:sz w:val="17"/>
                <w:szCs w:val="17"/>
              </w:rPr>
              <w:t xml:space="preserve">Le traitement cité ne comporte ni spécialité suisse, ni dose, ni voie, ni durée, ni adaptation rénale, ni contre-indication, alors que le point 11.B les exige.</w:t>
            </w:r>
          </w:p>
          <w:p>
            <w:pPr>
              <w:spacing w:after="0"/>
            </w:pPr>
            <w:r>
              <w:rPr>
                <w:b/>
                <w:color w:val="145A32"/>
                <w:sz w:val="17"/>
                <w:szCs w:val="17"/>
              </w:rPr>
              <w:t xml:space="preserve">→ Compléter selon l'information professionnelle suisse : amoxicilline/acide clavulanique (Augmentin® ou générique), dose adulte, voie orale, durée, adaptation si DFGe &lt; 30 mL/min, contre-indication en cas d'allergie aux pénicillines ou d'antécédent d'ictère cholestatique sous ce médicament ; renvoyer à la monographie D2.1.</w:t>
            </w:r>
          </w:p>
        </w:tc>
        <w:tc>
          <w:tcPr>
            <w:tcW w:w="1800" w:type="dxa"/>
            <w:vAlign w:val="top"/>
          </w:tcPr>
          <w:p>
            <w:pPr>
              <w:spacing w:after="0"/>
            </w:pPr>
            <w:r>
              <w:rPr>
                <w:sz w:val="17"/>
                <w:szCs w:val="17"/>
              </w:rPr>
              <w:t xml:space="preserve">PROMPT_V6.md section 5, point 11.B ; AIPS Augmentin® (compendium.ch / swissmedicinfo.ch) à lire avant réinjection.</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L2-M13</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LOT_2_Appel_B_V4_Argon_Partie_1_D2.1_a_D2.2__export_GoogleDoc.html</w:t>
            </w:r>
          </w:p>
        </w:tc>
        <w:tc>
          <w:tcPr>
            <w:tcW w:w="2350" w:type="dxa"/>
            <w:vAlign w:val="top"/>
          </w:tcPr>
          <w:p>
            <w:pPr>
              <w:spacing w:after="0"/>
            </w:pPr>
            <w:r>
              <w:rPr>
                <w:sz w:val="17"/>
                <w:szCs w:val="17"/>
              </w:rPr>
              <w:t xml:space="preserve">D2.1 › point 8 Diagnostic positif (et attributions analogues : D2.3 point 8 « OFSP et SSI », D2.6 point 8 « SSI », D2.7 point 8 « SAKK »)</w:t>
            </w:r>
          </w:p>
        </w:tc>
        <w:tc>
          <w:tcPr>
            <w:tcW w:w="2600" w:type="dxa"/>
            <w:vAlign w:val="top"/>
          </w:tcPr>
          <w:p>
            <w:pPr>
              <w:spacing w:after="0"/>
            </w:pPr>
            <w:r>
              <w:rPr>
                <w:i/>
                <w:sz w:val="17"/>
                <w:szCs w:val="17"/>
              </w:rPr>
              <w:t xml:space="preserve">« Le diagnostic repose sur les critères cliniques de la SSMIG »</w:t>
            </w:r>
          </w:p>
        </w:tc>
        <w:tc>
          <w:tcPr>
            <w:tcW w:w="3000" w:type="dxa"/>
            <w:vAlign w:val="top"/>
          </w:tcPr>
          <w:p>
            <w:pPr>
              <w:spacing w:after="40"/>
            </w:pPr>
            <w:r>
              <w:rPr>
                <w:sz w:val="17"/>
                <w:szCs w:val="17"/>
              </w:rPr>
              <w:t xml:space="preserve">Le texte attribue des critères diagnostiques formels à des sociétés suisses (SSMIG, SSI, OFSP, SAKK) sans référence identifiable ; ces attributions n'ont pas été retrouvées et ressemblent à des sources de complaisance.</w:t>
            </w:r>
          </w:p>
          <w:p>
            <w:pPr>
              <w:spacing w:after="0"/>
            </w:pPr>
            <w:r>
              <w:rPr>
                <w:b/>
                <w:color w:val="145A32"/>
                <w:sz w:val="17"/>
                <w:szCs w:val="17"/>
              </w:rPr>
              <w:t xml:space="preserve">→ Retirer l'attribution ou citer le document exact (titre, année, URL) ; à défaut, écrire « critères cliniques usuels — donnée non trouvée dans les sources consultées » et transmettre la question au fichier HELP.</w:t>
            </w:r>
          </w:p>
        </w:tc>
        <w:tc>
          <w:tcPr>
            <w:tcW w:w="1800" w:type="dxa"/>
            <w:vAlign w:val="top"/>
          </w:tcPr>
          <w:p>
            <w:pPr>
              <w:spacing w:after="0"/>
            </w:pPr>
            <w:r>
              <w:rPr>
                <w:sz w:val="17"/>
                <w:szCs w:val="17"/>
              </w:rPr>
              <w:t xml:space="preserve">Donnée non trouvée dans les sources consultées ; PROMPT_V6.md section 3.</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L2-M15</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LOT_2_Appel_B_V4_Argon_Partie_1_D2.1_a_D2.2__export_GoogleDoc.html</w:t>
            </w:r>
          </w:p>
        </w:tc>
        <w:tc>
          <w:tcPr>
            <w:tcW w:w="2350" w:type="dxa"/>
            <w:vAlign w:val="top"/>
          </w:tcPr>
          <w:p>
            <w:pPr>
              <w:spacing w:after="0"/>
            </w:pPr>
            <w:r>
              <w:rPr>
                <w:sz w:val="17"/>
                <w:szCs w:val="17"/>
              </w:rPr>
              <w:t xml:space="preserve">D2.2 › point 11.B › Moyens pharmacologiques › anesthésie locale</w:t>
            </w:r>
          </w:p>
        </w:tc>
        <w:tc>
          <w:tcPr>
            <w:tcW w:w="2600" w:type="dxa"/>
            <w:vAlign w:val="top"/>
          </w:tcPr>
          <w:p>
            <w:pPr>
              <w:spacing w:after="0"/>
            </w:pPr>
            <w:r>
              <w:rPr>
                <w:i/>
                <w:sz w:val="17"/>
                <w:szCs w:val="17"/>
              </w:rPr>
              <w:t xml:space="preserve">« Lidocaïne 1 % avec Adrénaline 1:100 000 (Nom commercial suisse : Rapidocain® Adrenalin ou Xylocain® ) »</w:t>
            </w:r>
          </w:p>
        </w:tc>
        <w:tc>
          <w:tcPr>
            <w:tcW w:w="3000" w:type="dxa"/>
            <w:vAlign w:val="top"/>
          </w:tcPr>
          <w:p>
            <w:pPr>
              <w:spacing w:after="40"/>
            </w:pPr>
            <w:r>
              <w:rPr>
                <w:sz w:val="17"/>
                <w:szCs w:val="17"/>
              </w:rPr>
              <w:t xml:space="preserve">Rapidocain® mit Epinephrin (Sintetica) contient 10 mg/mL de lidocaïne et 5 µg/mL d'adrénaline, soit 1:200 000 et non 1:100 000 ; la dose maximale de 7 mg/kg n'est pas tirée de l'information professionnelle suisse.</w:t>
            </w:r>
          </w:p>
          <w:p>
            <w:pPr>
              <w:spacing w:after="0"/>
            </w:pPr>
            <w:r>
              <w:rPr>
                <w:b/>
                <w:color w:val="145A32"/>
                <w:sz w:val="17"/>
                <w:szCs w:val="17"/>
              </w:rPr>
              <w:t xml:space="preserve">→ Écrire « Lidocaïne 1 % avec adrénaline 1:200 000 (Rapidocain® mit Epinephrin) » et reprendre la dose maximale exacte de l'AIPS suisse (swissmedicinfo.ch) ; à défaut, indiquer « donnée non trouvée ».</w:t>
            </w:r>
          </w:p>
        </w:tc>
        <w:tc>
          <w:tcPr>
            <w:tcW w:w="1800" w:type="dxa"/>
            <w:vAlign w:val="top"/>
          </w:tcPr>
          <w:p>
            <w:pPr>
              <w:spacing w:after="0"/>
            </w:pPr>
            <w:r>
              <w:rPr>
                <w:sz w:val="17"/>
                <w:szCs w:val="17"/>
              </w:rPr>
              <w:t xml:space="preserve">Rapidocain mit Epinephrin, Sintetica SA, composition 10 mg/mL lidocaïne + 5 µg/mL adrénaline — ch.oddb.org reg. 20272 (https://ch.oddb.org/en/gcc/show/reg/20272/seq/06/pack/504) —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L2-M17</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LOT_2_Appel_B_V4_Argon_Partie_2_D2.3_a_D2.5__export_GoogleDoc.html</w:t>
            </w:r>
          </w:p>
        </w:tc>
        <w:tc>
          <w:tcPr>
            <w:tcW w:w="2350" w:type="dxa"/>
            <w:vAlign w:val="top"/>
          </w:tcPr>
          <w:p>
            <w:pPr>
              <w:spacing w:after="0"/>
            </w:pPr>
            <w:r>
              <w:rPr>
                <w:sz w:val="17"/>
                <w:szCs w:val="17"/>
              </w:rPr>
              <w:t xml:space="preserve">D2.3 › point 7.2 Syndrome d'exanthème médicamenteux</w:t>
            </w:r>
          </w:p>
        </w:tc>
        <w:tc>
          <w:tcPr>
            <w:tcW w:w="2600" w:type="dxa"/>
            <w:vAlign w:val="top"/>
          </w:tcPr>
          <w:p>
            <w:pPr>
              <w:spacing w:after="0"/>
            </w:pPr>
            <w:r>
              <w:rPr>
                <w:i/>
                <w:sz w:val="17"/>
                <w:szCs w:val="17"/>
              </w:rPr>
              <w:t xml:space="preserve">« survenant 5 à 9 jours après la prise d'Amoxicilline (dans 80-90 % des cas) »</w:t>
            </w:r>
          </w:p>
        </w:tc>
        <w:tc>
          <w:tcPr>
            <w:tcW w:w="3000" w:type="dxa"/>
            <w:vAlign w:val="top"/>
          </w:tcPr>
          <w:p>
            <w:pPr>
              <w:spacing w:after="40"/>
            </w:pPr>
            <w:r>
              <w:rPr>
                <w:sz w:val="17"/>
                <w:szCs w:val="17"/>
              </w:rPr>
              <w:t xml:space="preserve">Le taux de 80-90 % provient d'études anciennes sur l'ampicilline ; les données récentes situent l'éruption sous amoxicilline pendant une mononucléose à environ 30 %.</w:t>
            </w:r>
          </w:p>
          <w:p>
            <w:pPr>
              <w:spacing w:after="0"/>
            </w:pPr>
            <w:r>
              <w:rPr>
                <w:b/>
                <w:color w:val="145A32"/>
                <w:sz w:val="17"/>
                <w:szCs w:val="17"/>
              </w:rPr>
              <w:t xml:space="preserve">→ Écrire : « Une éruption survient chez environ un tiers des patients traités par amoxicilline (taux historiques de 80 à 100 % sous ampicilline) [Sn]. »</w:t>
            </w:r>
          </w:p>
        </w:tc>
        <w:tc>
          <w:tcPr>
            <w:tcW w:w="1800" w:type="dxa"/>
            <w:vAlign w:val="top"/>
          </w:tcPr>
          <w:p>
            <w:pPr>
              <w:spacing w:after="0"/>
            </w:pPr>
            <w:r>
              <w:rPr>
                <w:sz w:val="17"/>
                <w:szCs w:val="17"/>
              </w:rPr>
              <w:t xml:space="preserve">Chovel-Sella A et al. Incidence of rash after amoxicillin treatment in children with infectious mononucleosis. Pediatrics 2013;131(5):e1424-7 (PMID 23589810) — https://www.healio.com/news/pediatrics/20130501/idc0413chovelsella_10_3928_1081_597x_20130401_04_1132857 —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L2-M18</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LOT_2_Appel_B_V4_Argon_Partie_2_D2.3_a_D2.5__export_GoogleDoc.html</w:t>
            </w:r>
          </w:p>
        </w:tc>
        <w:tc>
          <w:tcPr>
            <w:tcW w:w="2350" w:type="dxa"/>
            <w:vAlign w:val="top"/>
          </w:tcPr>
          <w:p>
            <w:pPr>
              <w:spacing w:after="0"/>
            </w:pPr>
            <w:r>
              <w:rPr>
                <w:sz w:val="17"/>
                <w:szCs w:val="17"/>
              </w:rPr>
              <w:t xml:space="preserve">D2.3 › point 9 › 2ème intention</w:t>
            </w:r>
          </w:p>
        </w:tc>
        <w:tc>
          <w:tcPr>
            <w:tcW w:w="2600" w:type="dxa"/>
            <w:vAlign w:val="top"/>
          </w:tcPr>
          <w:p>
            <w:pPr>
              <w:spacing w:after="0"/>
            </w:pPr>
            <w:r>
              <w:rPr>
                <w:i/>
                <w:sz w:val="17"/>
                <w:szCs w:val="17"/>
              </w:rPr>
              <w:t xml:space="preserve">« Si les IgM anti-VCA sont négatifs, le médecin prescrit immédiatement un test VIH combiné de 4e génération »</w:t>
            </w:r>
          </w:p>
        </w:tc>
        <w:tc>
          <w:tcPr>
            <w:tcW w:w="3000" w:type="dxa"/>
            <w:vAlign w:val="top"/>
          </w:tcPr>
          <w:p>
            <w:pPr>
              <w:spacing w:after="40"/>
            </w:pPr>
            <w:r>
              <w:rPr>
                <w:sz w:val="17"/>
                <w:szCs w:val="17"/>
              </w:rPr>
              <w:t xml:space="preserve">Le test VIH n'est proposé qu'après une sérologie EBV négative, alors que la monographie D2.10 du même lot impose un test VIH de 4e génération devant tout syndrome mononucléosique ; un résultat EBV positif ne doit pas faire renoncer au dépistage d'une primo-infection VIH chez un patient exposé.</w:t>
            </w:r>
          </w:p>
          <w:p>
            <w:pPr>
              <w:spacing w:after="0"/>
            </w:pPr>
            <w:r>
              <w:rPr>
                <w:b/>
                <w:color w:val="145A32"/>
                <w:sz w:val="17"/>
                <w:szCs w:val="17"/>
              </w:rPr>
              <w:t xml:space="preserve">→ Écrire : « Le médecin propose un test VIH combiné de 4e génération devant tout syndrome mononucléosique, en particulier en cas d'exposition à risque, indépendamment du résultat EBV ; si la sérologie EBV est négative, il ajoute CMV et toxoplasmose. »</w:t>
            </w:r>
          </w:p>
        </w:tc>
        <w:tc>
          <w:tcPr>
            <w:tcW w:w="1800" w:type="dxa"/>
            <w:vAlign w:val="top"/>
          </w:tcPr>
          <w:p>
            <w:pPr>
              <w:spacing w:after="0"/>
            </w:pPr>
            <w:r>
              <w:rPr>
                <w:sz w:val="17"/>
                <w:szCs w:val="17"/>
              </w:rPr>
              <w:t xml:space="preserve">Cohérence interne : D2.10, point 10 ; EACS Guidelines (Primary HIV infection), https://eacs.sanfordguide.com —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L2-M19</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LOT_2_Appel_B_V4_Argon_Partie_2_D2.3_a_D2.5__export_GoogleDoc.html</w:t>
            </w:r>
          </w:p>
        </w:tc>
        <w:tc>
          <w:tcPr>
            <w:tcW w:w="2350" w:type="dxa"/>
            <w:vAlign w:val="top"/>
          </w:tcPr>
          <w:p>
            <w:pPr>
              <w:spacing w:after="0"/>
            </w:pPr>
            <w:r>
              <w:rPr>
                <w:sz w:val="17"/>
                <w:szCs w:val="17"/>
              </w:rPr>
              <w:t xml:space="preserve">D2.3 › point 11.B › Moyens pharmacologiques symptomatiques</w:t>
            </w:r>
          </w:p>
        </w:tc>
        <w:tc>
          <w:tcPr>
            <w:tcW w:w="2600" w:type="dxa"/>
            <w:vAlign w:val="top"/>
          </w:tcPr>
          <w:p>
            <w:pPr>
              <w:spacing w:after="0"/>
            </w:pPr>
            <w:r>
              <w:rPr>
                <w:i/>
                <w:sz w:val="17"/>
                <w:szCs w:val="17"/>
              </w:rPr>
              <w:t xml:space="preserve">« réduit à max 2 g/jour si ALAT &gt; 2x la norme »</w:t>
            </w:r>
          </w:p>
        </w:tc>
        <w:tc>
          <w:tcPr>
            <w:tcW w:w="3000" w:type="dxa"/>
            <w:vAlign w:val="top"/>
          </w:tcPr>
          <w:p>
            <w:pPr>
              <w:spacing w:after="40"/>
            </w:pPr>
            <w:r>
              <w:rPr>
                <w:sz w:val="17"/>
                <w:szCs w:val="17"/>
              </w:rPr>
              <w:t xml:space="preserve">Le seuil « ALAT &gt; 2 fois la norme » et la préférence pour l'ibuprofène en cas de cytolyse ne proviennent pas de l'information professionnelle suisse ; la posologie présentée n'est donc pas sourcée.</w:t>
            </w:r>
          </w:p>
          <w:p>
            <w:pPr>
              <w:spacing w:after="0"/>
            </w:pPr>
            <w:r>
              <w:rPr>
                <w:b/>
                <w:color w:val="145A32"/>
                <w:sz w:val="17"/>
                <w:szCs w:val="17"/>
              </w:rPr>
              <w:t xml:space="preserve">→ Reprendre la posologie et l'adaptation hépatique de Dafalgan® et d'Irfen® dans l'AIPS (swissmedicinfo.ch) ; à défaut, écrire « donnée non trouvée dans les sources consultées » et poser la question dans HELP.</w:t>
            </w:r>
          </w:p>
        </w:tc>
        <w:tc>
          <w:tcPr>
            <w:tcW w:w="1800" w:type="dxa"/>
            <w:vAlign w:val="top"/>
          </w:tcPr>
          <w:p>
            <w:pPr>
              <w:spacing w:after="0"/>
            </w:pPr>
            <w:r>
              <w:rPr>
                <w:sz w:val="17"/>
                <w:szCs w:val="17"/>
              </w:rPr>
              <w:t xml:space="preserve">Donnée non trouvée dans les sources consultées ; PROMPT_V6.md section 3.3.</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L2-M20</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LOT_2_Appel_B_V4_Argon_Partie_2_D2.3_a_D2.5__export_GoogleDoc.html</w:t>
            </w:r>
          </w:p>
        </w:tc>
        <w:tc>
          <w:tcPr>
            <w:tcW w:w="2350" w:type="dxa"/>
            <w:vAlign w:val="top"/>
          </w:tcPr>
          <w:p>
            <w:pPr>
              <w:spacing w:after="0"/>
            </w:pPr>
            <w:r>
              <w:rPr>
                <w:sz w:val="17"/>
                <w:szCs w:val="17"/>
              </w:rPr>
              <w:t xml:space="preserve">D2.4 › point 11.B › co-prescription de pyridoxine</w:t>
            </w:r>
          </w:p>
        </w:tc>
        <w:tc>
          <w:tcPr>
            <w:tcW w:w="2600" w:type="dxa"/>
            <w:vAlign w:val="top"/>
          </w:tcPr>
          <w:p>
            <w:pPr>
              <w:spacing w:after="0"/>
            </w:pPr>
            <w:r>
              <w:rPr>
                <w:i/>
                <w:sz w:val="17"/>
                <w:szCs w:val="17"/>
              </w:rPr>
              <w:t xml:space="preserve">« Co-prescription obligatoire de Pyridoxine (Vitamine B6) ( Benadon® 40 mg/jour per os). »</w:t>
            </w:r>
          </w:p>
        </w:tc>
        <w:tc>
          <w:tcPr>
            <w:tcW w:w="3000" w:type="dxa"/>
            <w:vAlign w:val="top"/>
          </w:tcPr>
          <w:p>
            <w:pPr>
              <w:spacing w:after="40"/>
            </w:pPr>
            <w:r>
              <w:rPr>
                <w:sz w:val="17"/>
                <w:szCs w:val="17"/>
              </w:rPr>
              <w:t xml:space="preserve">Benadon® n'existe en Suisse qu'en comprimés de 300 mg, de sorte qu'une dose de 40 mg/jour n'est pas réalisable avec cette spécialité ; le caractère « obligatoire » pour tous les patients n'est pas sourcé.</w:t>
            </w:r>
          </w:p>
          <w:p>
            <w:pPr>
              <w:spacing w:after="0"/>
            </w:pPr>
            <w:r>
              <w:rPr>
                <w:b/>
                <w:color w:val="145A32"/>
                <w:sz w:val="17"/>
                <w:szCs w:val="17"/>
              </w:rPr>
              <w:t xml:space="preserve">→ Indiquer une spécialité réellement disponible au dosage prophylactique ou la préparation magistrale, citer la dose recommandée par la Ligue pulmonaire suisse et préciser les groupes à risque visés ; à défaut, écrire « donnée non trouvée ».</w:t>
            </w:r>
          </w:p>
        </w:tc>
        <w:tc>
          <w:tcPr>
            <w:tcW w:w="1800" w:type="dxa"/>
            <w:vAlign w:val="top"/>
          </w:tcPr>
          <w:p>
            <w:pPr>
              <w:spacing w:after="0"/>
            </w:pPr>
            <w:r>
              <w:rPr>
                <w:sz w:val="17"/>
                <w:szCs w:val="17"/>
              </w:rPr>
              <w:t xml:space="preserve">Benadon® 300 mg, pyridoxine HCl, A11HA02 — ch.oddb.org reg. 25635 (https://ch.oddb.org/en/gcc/show/reg/25635) —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L2-M22</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LOT_2_Appel_B_V4_Argon_Partie_2_D2.3_a_D2.5__export_GoogleDoc.html</w:t>
            </w:r>
          </w:p>
        </w:tc>
        <w:tc>
          <w:tcPr>
            <w:tcW w:w="2350" w:type="dxa"/>
            <w:vAlign w:val="top"/>
          </w:tcPr>
          <w:p>
            <w:pPr>
              <w:spacing w:after="0"/>
            </w:pPr>
            <w:r>
              <w:rPr>
                <w:sz w:val="17"/>
                <w:szCs w:val="17"/>
              </w:rPr>
              <w:t xml:space="preserve">D2.5 › point 11.B R-CHOP (et D2.5 point 14 ; spécialités analogues en D2.7 et D2.8 : Cisplatin Ebewe®, Velbe®, Bleo-cell®, Detimedac®)</w:t>
            </w:r>
          </w:p>
        </w:tc>
        <w:tc>
          <w:tcPr>
            <w:tcW w:w="2600" w:type="dxa"/>
            <w:vAlign w:val="top"/>
          </w:tcPr>
          <w:p>
            <w:pPr>
              <w:spacing w:after="0"/>
            </w:pPr>
            <w:r>
              <w:rPr>
                <w:i/>
                <w:sz w:val="17"/>
                <w:szCs w:val="17"/>
              </w:rPr>
              <w:t xml:space="preserve">« Vincristine ( Oncovin® 1,4 mg/m² max 2 mg IV J1 »</w:t>
            </w:r>
          </w:p>
        </w:tc>
        <w:tc>
          <w:tcPr>
            <w:tcW w:w="3000" w:type="dxa"/>
            <w:vAlign w:val="top"/>
          </w:tcPr>
          <w:p>
            <w:pPr>
              <w:spacing w:after="40"/>
            </w:pPr>
            <w:r>
              <w:rPr>
                <w:sz w:val="17"/>
                <w:szCs w:val="17"/>
              </w:rPr>
              <w:t xml:space="preserve">Oncovin® Liquid (Spirig) n'a plus de validité d'autorisation active ; les vincristines disponibles en Suisse sont Vincristin Teva® et Vincristine Pfizer® ; plusieurs autres noms commerciaux oncologiques du lot proviennent d'autres pays et n'ont pas été vérifiés dans l'AIPS.</w:t>
            </w:r>
          </w:p>
          <w:p>
            <w:pPr>
              <w:spacing w:after="0"/>
            </w:pPr>
            <w:r>
              <w:rPr>
                <w:b/>
                <w:color w:val="145A32"/>
                <w:sz w:val="17"/>
                <w:szCs w:val="17"/>
              </w:rPr>
              <w:t xml:space="preserve">→ Remplacer Oncovin® par « Vincristin Teva® ou Vincristine Pfizer® » et vérifier une à une dans swissmedicinfo.ch les spécialités Adriblastin®, Velbe®, Bleo-cell®, Detimedac® et Cisplatin Ebewe® ; marquer « non autorisé en Suisse » toute spécialité absente.</w:t>
            </w:r>
          </w:p>
        </w:tc>
        <w:tc>
          <w:tcPr>
            <w:tcW w:w="1800" w:type="dxa"/>
            <w:vAlign w:val="top"/>
          </w:tcPr>
          <w:p>
            <w:pPr>
              <w:spacing w:after="0"/>
            </w:pPr>
            <w:r>
              <w:rPr>
                <w:sz w:val="17"/>
                <w:szCs w:val="17"/>
              </w:rPr>
              <w:t xml:space="preserve">ch.oddb.org, recherche ATC L01CA02 (vincristine) — https://ch.oddb.org/de/gcc/search/search_query/L01CA02 —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L2-M24</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LOT_2_Appel_B_V4_Argon_Partie_3_D2.6_a_D2.7__export_GoogleDoc.html</w:t>
            </w:r>
          </w:p>
        </w:tc>
        <w:tc>
          <w:tcPr>
            <w:tcW w:w="2350" w:type="dxa"/>
            <w:vAlign w:val="top"/>
          </w:tcPr>
          <w:p>
            <w:pPr>
              <w:spacing w:after="0"/>
            </w:pPr>
            <w:r>
              <w:rPr>
                <w:sz w:val="17"/>
                <w:szCs w:val="17"/>
              </w:rPr>
              <w:t xml:space="preserve">D2.7 › point 11.D › Recherche 2026</w:t>
            </w:r>
          </w:p>
        </w:tc>
        <w:tc>
          <w:tcPr>
            <w:tcW w:w="2600" w:type="dxa"/>
            <w:vAlign w:val="top"/>
          </w:tcPr>
          <w:p>
            <w:pPr>
              <w:spacing w:after="0"/>
            </w:pPr>
            <w:r>
              <w:rPr>
                <w:i/>
                <w:sz w:val="17"/>
                <w:szCs w:val="17"/>
              </w:rPr>
              <w:t xml:space="preserve">« des essais de phase III évaluent les vaccins thérapeutiques à ARNm personnalisés néo-antigéniques (ex: mRNA-4157 / V940) »</w:t>
            </w:r>
          </w:p>
        </w:tc>
        <w:tc>
          <w:tcPr>
            <w:tcW w:w="3000" w:type="dxa"/>
            <w:vAlign w:val="top"/>
          </w:tcPr>
          <w:p>
            <w:pPr>
              <w:spacing w:after="40"/>
            </w:pPr>
            <w:r>
              <w:rPr>
                <w:sz w:val="17"/>
                <w:szCs w:val="17"/>
              </w:rPr>
              <w:t xml:space="preserve">Aucun essai de phase III de mRNA-4157/V940 dans les carcinomes des voies aérodigestives supérieures n'a été trouvé ; l'affirmation et l'absence de numéro NCT contreviennent au point 11.D.</w:t>
            </w:r>
          </w:p>
          <w:p>
            <w:pPr>
              <w:spacing w:after="0"/>
            </w:pPr>
            <w:r>
              <w:rPr>
                <w:b/>
                <w:color w:val="145A32"/>
                <w:sz w:val="17"/>
                <w:szCs w:val="17"/>
              </w:rPr>
              <w:t xml:space="preserve">→ Donner le numéro NCT exact et la phase réelle de l'essai cité, ou remplacer par « donnée non trouvée dans les sources consultées » et transmettre la question dans HELP.</w:t>
            </w:r>
          </w:p>
        </w:tc>
        <w:tc>
          <w:tcPr>
            <w:tcW w:w="1800" w:type="dxa"/>
            <w:vAlign w:val="top"/>
          </w:tcPr>
          <w:p>
            <w:pPr>
              <w:spacing w:after="0"/>
            </w:pPr>
            <w:r>
              <w:rPr>
                <w:sz w:val="17"/>
                <w:szCs w:val="17"/>
              </w:rPr>
              <w:t xml:space="preserve">Donnée non trouvée dans les sources consultées ; PROMPT_V6.md section 5, point 11.D.</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L2-M26</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LOT_2_Appel_B_V4_Argon_Partie_4_D2.8_a_D2.10__export_GoogleDoc.html</w:t>
            </w:r>
          </w:p>
        </w:tc>
        <w:tc>
          <w:tcPr>
            <w:tcW w:w="2350" w:type="dxa"/>
            <w:vAlign w:val="top"/>
          </w:tcPr>
          <w:p>
            <w:pPr>
              <w:spacing w:after="0"/>
            </w:pPr>
            <w:r>
              <w:rPr>
                <w:sz w:val="17"/>
                <w:szCs w:val="17"/>
              </w:rPr>
              <w:t xml:space="preserve">D2.8 › point 12 Prévention</w:t>
            </w:r>
          </w:p>
        </w:tc>
        <w:tc>
          <w:tcPr>
            <w:tcW w:w="2600" w:type="dxa"/>
            <w:vAlign w:val="top"/>
          </w:tcPr>
          <w:p>
            <w:pPr>
              <w:spacing w:after="0"/>
            </w:pPr>
            <w:r>
              <w:rPr>
                <w:i/>
                <w:sz w:val="17"/>
                <w:szCs w:val="17"/>
              </w:rPr>
              <w:t xml:space="preserve">« doit être évitée à vie car l'hyperoxie déclenche une fibrose pulmonaire fulminante »</w:t>
            </w:r>
          </w:p>
        </w:tc>
        <w:tc>
          <w:tcPr>
            <w:tcW w:w="3000" w:type="dxa"/>
            <w:vAlign w:val="top"/>
          </w:tcPr>
          <w:p>
            <w:pPr>
              <w:spacing w:after="40"/>
            </w:pPr>
            <w:r>
              <w:rPr>
                <w:sz w:val="17"/>
                <w:szCs w:val="17"/>
              </w:rPr>
              <w:t xml:space="preserve">L'interdiction « à vie » d'une FiO2 &gt; 30 % et la « fibrose fulminante » sont des affirmations absolues non sourcées ; le texte contient de plus un résidu LaTeX illisible ($FiO_2 &gt; 30\text{ \%}$).</w:t>
            </w:r>
          </w:p>
          <w:p>
            <w:pPr>
              <w:spacing w:after="0"/>
            </w:pPr>
            <w:r>
              <w:rPr>
                <w:b/>
                <w:color w:val="145A32"/>
                <w:sz w:val="17"/>
                <w:szCs w:val="17"/>
              </w:rPr>
              <w:t xml:space="preserve">→ Écrire : « Chez un patient ayant reçu de la bléomycine, l'anesthésiste limite la FiO2 à la plus basse valeur assurant une saturation adéquate, car l'hyperoxie peut aggraver une toxicité pulmonaire [Sn]. » et supprimer le code LaTeX.</w:t>
            </w:r>
          </w:p>
        </w:tc>
        <w:tc>
          <w:tcPr>
            <w:tcW w:w="1800" w:type="dxa"/>
            <w:vAlign w:val="top"/>
          </w:tcPr>
          <w:p>
            <w:pPr>
              <w:spacing w:after="0"/>
            </w:pPr>
            <w:r>
              <w:rPr>
                <w:sz w:val="17"/>
                <w:szCs w:val="17"/>
              </w:rPr>
              <w:t xml:space="preserve">Donnée non trouvée dans les sources consultées pour le seuil et la durée.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L2-M28</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LOT_2_Appel_B_V4_Argon_Partie_4_D2.8_a_D2.10__export_GoogleDoc.html</w:t>
            </w:r>
          </w:p>
        </w:tc>
        <w:tc>
          <w:tcPr>
            <w:tcW w:w="2350" w:type="dxa"/>
            <w:vAlign w:val="top"/>
          </w:tcPr>
          <w:p>
            <w:pPr>
              <w:spacing w:after="0"/>
            </w:pPr>
            <w:r>
              <w:rPr>
                <w:sz w:val="17"/>
                <w:szCs w:val="17"/>
              </w:rPr>
              <w:t xml:space="preserve">D2.9 › point 11.D › Recherche 2026</w:t>
            </w:r>
          </w:p>
        </w:tc>
        <w:tc>
          <w:tcPr>
            <w:tcW w:w="2600" w:type="dxa"/>
            <w:vAlign w:val="top"/>
          </w:tcPr>
          <w:p>
            <w:pPr>
              <w:spacing w:after="0"/>
            </w:pPr>
            <w:r>
              <w:rPr>
                <w:i/>
                <w:sz w:val="17"/>
                <w:szCs w:val="17"/>
              </w:rPr>
              <w:t xml:space="preserve">« les essais cliniques de phase III évaluent l'**Éfofitamod** »</w:t>
            </w:r>
          </w:p>
        </w:tc>
        <w:tc>
          <w:tcPr>
            <w:tcW w:w="3000" w:type="dxa"/>
            <w:vAlign w:val="top"/>
          </w:tcPr>
          <w:p>
            <w:pPr>
              <w:spacing w:after="40"/>
            </w:pPr>
            <w:r>
              <w:rPr>
                <w:sz w:val="17"/>
                <w:szCs w:val="17"/>
              </w:rPr>
              <w:t xml:space="preserve">La molécule s'appelle efzofitimod et son essai de phase III EFZO-FIT a échoué sur son critère principal (septembre 2025) ; la mention du tofacitinib en phase III n'a pas été vérifiée.</w:t>
            </w:r>
          </w:p>
          <w:p>
            <w:pPr>
              <w:spacing w:after="0"/>
            </w:pPr>
            <w:r>
              <w:rPr>
                <w:b/>
                <w:color w:val="145A32"/>
                <w:sz w:val="17"/>
                <w:szCs w:val="17"/>
              </w:rPr>
              <w:t xml:space="preserve">→ Écrire : « L'efzofitimod n'a pas atteint son critère principal d'épargne cortisonique dans l'essai de phase III EFZO-FIT (2025) » ; donner le numéro NCT de tout essai tofacitinib cité ou supprimer la mention.</w:t>
            </w:r>
          </w:p>
        </w:tc>
        <w:tc>
          <w:tcPr>
            <w:tcW w:w="1800" w:type="dxa"/>
            <w:vAlign w:val="top"/>
          </w:tcPr>
          <w:p>
            <w:pPr>
              <w:spacing w:after="0"/>
            </w:pPr>
            <w:r>
              <w:rPr>
                <w:sz w:val="17"/>
                <w:szCs w:val="17"/>
              </w:rPr>
              <w:t xml:space="preserve">aTyr Pharma, communiqué du 15.09.2025 « Results from Phase 3 EFZO-FIT study » — https://investors.atyrpharma.com/node/16626 —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L2-M29</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LOT_2_Appel_B_V4_Argon_Partie_4_D2.8_a_D2.10__export_GoogleDoc.html</w:t>
            </w:r>
          </w:p>
        </w:tc>
        <w:tc>
          <w:tcPr>
            <w:tcW w:w="2350" w:type="dxa"/>
            <w:vAlign w:val="top"/>
          </w:tcPr>
          <w:p>
            <w:pPr>
              <w:spacing w:after="0"/>
            </w:pPr>
            <w:r>
              <w:rPr>
                <w:sz w:val="17"/>
                <w:szCs w:val="17"/>
              </w:rPr>
              <w:t xml:space="preserve">D2.9 › point 13 Points clés</w:t>
            </w:r>
          </w:p>
        </w:tc>
        <w:tc>
          <w:tcPr>
            <w:tcW w:w="2600" w:type="dxa"/>
            <w:vAlign w:val="top"/>
          </w:tcPr>
          <w:p>
            <w:pPr>
              <w:spacing w:after="0"/>
            </w:pPr>
            <w:r>
              <w:rPr>
                <w:i/>
                <w:sz w:val="17"/>
                <w:szCs w:val="17"/>
              </w:rPr>
              <w:t xml:space="preserve">« a une valeur prédictive positive supérieure à 95 % pour la sarcoïdose »</w:t>
            </w:r>
          </w:p>
        </w:tc>
        <w:tc>
          <w:tcPr>
            <w:tcW w:w="3000" w:type="dxa"/>
            <w:vAlign w:val="top"/>
          </w:tcPr>
          <w:p>
            <w:pPr>
              <w:spacing w:after="40"/>
            </w:pPr>
            <w:r>
              <w:rPr>
                <w:sz w:val="17"/>
                <w:szCs w:val="17"/>
              </w:rPr>
              <w:t xml:space="preserve">La valeur prédictive positive supérieure à 95 % du rapport CD4/CD8 &gt; 3,5 n'est pas sourcée et ne s'applique pas au syndrome de Löfgren, qui ne nécessite pas de lavage broncho-alvéolaire.</w:t>
            </w:r>
          </w:p>
          <w:p>
            <w:pPr>
              <w:spacing w:after="0"/>
            </w:pPr>
            <w:r>
              <w:rPr>
                <w:b/>
                <w:color w:val="145A32"/>
                <w:sz w:val="17"/>
                <w:szCs w:val="17"/>
              </w:rPr>
              <w:t xml:space="preserve">→ Remplacer par une formulation sourcée sur la spécificité du rapport CD4/CD8 &gt; 3,5, ou écrire « donnée non trouvée dans les sources consultées ».</w:t>
            </w:r>
          </w:p>
        </w:tc>
        <w:tc>
          <w:tcPr>
            <w:tcW w:w="1800" w:type="dxa"/>
            <w:vAlign w:val="top"/>
          </w:tcPr>
          <w:p>
            <w:pPr>
              <w:spacing w:after="0"/>
            </w:pPr>
            <w:r>
              <w:rPr>
                <w:sz w:val="17"/>
                <w:szCs w:val="17"/>
              </w:rPr>
              <w:t xml:space="preserve">Donnée non trouvée dans les sources consultées.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L2-M30</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LOT_2_Appel_B_V4_Argon_Partie_4_D2.8_a_D2.10__export_GoogleDoc.html</w:t>
            </w:r>
          </w:p>
        </w:tc>
        <w:tc>
          <w:tcPr>
            <w:tcW w:w="2350" w:type="dxa"/>
            <w:vAlign w:val="top"/>
          </w:tcPr>
          <w:p>
            <w:pPr>
              <w:spacing w:after="0"/>
            </w:pPr>
            <w:r>
              <w:rPr>
                <w:sz w:val="17"/>
                <w:szCs w:val="17"/>
              </w:rPr>
              <w:t xml:space="preserve">D2.9 › point 8 Diagnostic positif</w:t>
            </w:r>
          </w:p>
        </w:tc>
        <w:tc>
          <w:tcPr>
            <w:tcW w:w="2600" w:type="dxa"/>
            <w:vAlign w:val="top"/>
          </w:tcPr>
          <w:p>
            <w:pPr>
              <w:spacing w:after="0"/>
            </w:pPr>
            <w:r>
              <w:rPr>
                <w:i/>
                <w:sz w:val="17"/>
                <w:szCs w:val="17"/>
              </w:rPr>
              <w:t xml:space="preserve">« Selon les directives de l' ERS et de l'ATS »</w:t>
            </w:r>
          </w:p>
        </w:tc>
        <w:tc>
          <w:tcPr>
            <w:tcW w:w="3000" w:type="dxa"/>
            <w:vAlign w:val="top"/>
          </w:tcPr>
          <w:p>
            <w:pPr>
              <w:spacing w:after="40"/>
            </w:pPr>
            <w:r>
              <w:rPr>
                <w:sz w:val="17"/>
                <w:szCs w:val="17"/>
              </w:rPr>
              <w:t xml:space="preserve">La recommandation diagnostique de 2020 sur la sarcoïdose est une directive de l'American Thoracic Society seule ; la hiérarchie du prompt exige de s'appuyer d'abord sur les sources européennes (ERS 2021, WASOG).</w:t>
            </w:r>
          </w:p>
          <w:p>
            <w:pPr>
              <w:spacing w:after="0"/>
            </w:pPr>
            <w:r>
              <w:rPr>
                <w:b/>
                <w:color w:val="145A32"/>
                <w:sz w:val="17"/>
                <w:szCs w:val="17"/>
              </w:rPr>
              <w:t xml:space="preserve">→ Citer la directive ERS 2021 pour le traitement et une source européenne pour le diagnostic, en datant chaque référence ; mentionner l'ATS uniquement en fenêtre comparative.</w:t>
            </w:r>
          </w:p>
        </w:tc>
        <w:tc>
          <w:tcPr>
            <w:tcW w:w="1800" w:type="dxa"/>
            <w:vAlign w:val="top"/>
          </w:tcPr>
          <w:p>
            <w:pPr>
              <w:spacing w:after="0"/>
            </w:pPr>
            <w:r>
              <w:rPr>
                <w:sz w:val="17"/>
                <w:szCs w:val="17"/>
              </w:rPr>
              <w:t xml:space="preserve">PROMPT_V6.md section 3.2.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L2-M32</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LOT_2_Appel_B_V4_Argon_Partie_4_D2.8_a_D2.10__export_GoogleDoc.html</w:t>
            </w:r>
          </w:p>
        </w:tc>
        <w:tc>
          <w:tcPr>
            <w:tcW w:w="2350" w:type="dxa"/>
            <w:vAlign w:val="top"/>
          </w:tcPr>
          <w:p>
            <w:pPr>
              <w:spacing w:after="0"/>
            </w:pPr>
            <w:r>
              <w:rPr>
                <w:sz w:val="17"/>
                <w:szCs w:val="17"/>
              </w:rPr>
              <w:t xml:space="preserve">D2.10 › point 3 Physiopathologie (2e occurrence : point 13)</w:t>
            </w:r>
          </w:p>
        </w:tc>
        <w:tc>
          <w:tcPr>
            <w:tcW w:w="2600" w:type="dxa"/>
            <w:vAlign w:val="top"/>
          </w:tcPr>
          <w:p>
            <w:pPr>
              <w:spacing w:after="0"/>
            </w:pPr>
            <w:r>
              <w:rPr>
                <w:i/>
                <w:sz w:val="17"/>
                <w:szCs w:val="17"/>
              </w:rPr>
              <w:t xml:space="preserve">« charge virale souvent &gt; à copies d'ARN/mL »</w:t>
            </w:r>
          </w:p>
        </w:tc>
        <w:tc>
          <w:tcPr>
            <w:tcW w:w="3000" w:type="dxa"/>
            <w:vAlign w:val="top"/>
          </w:tcPr>
          <w:p>
            <w:pPr>
              <w:spacing w:after="40"/>
            </w:pPr>
            <w:r>
              <w:rPr>
                <w:sz w:val="17"/>
                <w:szCs w:val="17"/>
              </w:rPr>
              <w:t xml:space="preserve">La valeur numérique de la charge virale de primo-infection a été rendue sous forme d'image dans le Google Doc et a disparu du texte, ce qui laisse une phrase vide de sens ; plusieurs astérisques Markdown (« ** ») restent aussi visibles dans les Parties 4.</w:t>
            </w:r>
          </w:p>
          <w:p>
            <w:pPr>
              <w:spacing w:after="0"/>
            </w:pPr>
            <w:r>
              <w:rPr>
                <w:b/>
                <w:color w:val="145A32"/>
                <w:sz w:val="17"/>
                <w:szCs w:val="17"/>
              </w:rPr>
              <w:t xml:space="preserve">→ Écrire la valeur en texte, avec sa source (par exemple « souvent supérieure à 10⁶ copies/mL [Sn] »), et supprimer les astérisques Markdown et les images d'équations.</w:t>
            </w:r>
          </w:p>
        </w:tc>
        <w:tc>
          <w:tcPr>
            <w:tcW w:w="1800" w:type="dxa"/>
            <w:vAlign w:val="top"/>
          </w:tcPr>
          <w:p>
            <w:pPr>
              <w:spacing w:after="0"/>
            </w:pPr>
            <w:r>
              <w:rPr>
                <w:sz w:val="17"/>
                <w:szCs w:val="17"/>
              </w:rPr>
              <w:t xml:space="preserve">PROMPT_V6.md sections 6.7 et 9 (fichier autonome, aucune image).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L2-M38</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LOT_2_V6_Enrichi_8plus_Partie_1_Integral.html</w:t>
            </w:r>
          </w:p>
        </w:tc>
        <w:tc>
          <w:tcPr>
            <w:tcW w:w="2350" w:type="dxa"/>
            <w:vAlign w:val="top"/>
          </w:tcPr>
          <w:p>
            <w:pPr>
              <w:spacing w:after="0"/>
            </w:pPr>
            <w:r>
              <w:rPr>
                <w:sz w:val="17"/>
                <w:szCs w:val="17"/>
              </w:rPr>
              <w:t xml:space="preserve">D2.8 › points 5, 6 et 7 (copie de D2.5) ; points 13 de toutes les monographies</w:t>
            </w:r>
          </w:p>
        </w:tc>
        <w:tc>
          <w:tcPr>
            <w:tcW w:w="2600" w:type="dxa"/>
            <w:vAlign w:val="top"/>
          </w:tcPr>
          <w:p>
            <w:pPr>
              <w:spacing w:after="0"/>
            </w:pPr>
            <w:r>
              <w:rPr>
                <w:i/>
                <w:sz w:val="17"/>
                <w:szCs w:val="17"/>
              </w:rPr>
              <w:t xml:space="preserve">« Une preuve histologique est nécessaire avant la stratégie oncologique habituelle. 5. Anamnèse et drapeaux rouges Le médecin demande la croissance »</w:t>
            </w:r>
          </w:p>
        </w:tc>
        <w:tc>
          <w:tcPr>
            <w:tcW w:w="3000" w:type="dxa"/>
            <w:vAlign w:val="top"/>
          </w:tcPr>
          <w:p>
            <w:pPr>
              <w:spacing w:after="40"/>
            </w:pPr>
            <w:r>
              <w:rPr>
                <w:sz w:val="17"/>
                <w:szCs w:val="17"/>
              </w:rPr>
              <w:t xml:space="preserve">Les points 5 à 7 de D2.8 reprennent mot pour mot ceux de D2.5 sans aucun élément propre au lymphome de Hodgkin (prurit, masse médiastinale, âge bimodal), et chaque point 13 recopie les points 8, 11.B et 11.C, ce qui crée des répétitions interdites.</w:t>
            </w:r>
          </w:p>
          <w:p>
            <w:pPr>
              <w:spacing w:after="0"/>
            </w:pPr>
            <w:r>
              <w:rPr>
                <w:b/>
                <w:color w:val="145A32"/>
                <w:sz w:val="17"/>
                <w:szCs w:val="17"/>
              </w:rPr>
              <w:t xml:space="preserve">→ Rédiger pour D2.8 des points 5 à 7 spécifiques (prurit, douleur à l'alcool, toux ou dyspnée par masse médiastinale, adénopathies cervicales basses) et réécrire chaque point 13 en 3 à 6 phrases nouvelles.</w:t>
            </w:r>
          </w:p>
        </w:tc>
        <w:tc>
          <w:tcPr>
            <w:tcW w:w="1800" w:type="dxa"/>
            <w:vAlign w:val="top"/>
          </w:tcPr>
          <w:p>
            <w:pPr>
              <w:spacing w:after="0"/>
            </w:pPr>
            <w:r>
              <w:rPr>
                <w:sz w:val="17"/>
                <w:szCs w:val="17"/>
              </w:rPr>
              <w:t xml:space="preserve">PROMPT_V6.md sections 5 (point 13) et 6.4.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L2-M39</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LOT_2_V6_Enrichi_8plus_Partie_1_Integral.html</w:t>
            </w:r>
          </w:p>
        </w:tc>
        <w:tc>
          <w:tcPr>
            <w:tcW w:w="2350" w:type="dxa"/>
            <w:vAlign w:val="top"/>
          </w:tcPr>
          <w:p>
            <w:pPr>
              <w:spacing w:after="0"/>
            </w:pPr>
            <w:r>
              <w:rPr>
                <w:sz w:val="17"/>
                <w:szCs w:val="17"/>
              </w:rPr>
              <w:t xml:space="preserve">Fenêtres &lt;details&gt; (33 occurrences ; première : SSP G2 › point 9)</w:t>
            </w:r>
          </w:p>
        </w:tc>
        <w:tc>
          <w:tcPr>
            <w:tcW w:w="2600" w:type="dxa"/>
            <w:vAlign w:val="top"/>
          </w:tcPr>
          <w:p>
            <w:pPr>
              <w:spacing w:after="0"/>
            </w:pPr>
            <w:r>
              <w:rPr>
                <w:i/>
                <w:sz w:val="17"/>
                <w:szCs w:val="17"/>
              </w:rPr>
              <w:t xml:space="preserve">« notamment d'un lymphome possible. Consulter la hiérarchie des examens »</w:t>
            </w:r>
          </w:p>
        </w:tc>
        <w:tc>
          <w:tcPr>
            <w:tcW w:w="3000" w:type="dxa"/>
            <w:vAlign w:val="top"/>
          </w:tcPr>
          <w:p>
            <w:pPr>
              <w:spacing w:after="40"/>
            </w:pPr>
            <w:r>
              <w:rPr>
                <w:sz w:val="17"/>
                <w:szCs w:val="17"/>
              </w:rPr>
              <w:t xml:space="preserve">Les 33 fenêtres portent un attribut title= servant d'infobulle, ce que le prompt interdit.</w:t>
            </w:r>
          </w:p>
          <w:p>
            <w:pPr>
              <w:spacing w:after="0"/>
            </w:pPr>
            <w:r>
              <w:rPr>
                <w:b/>
                <w:color w:val="145A32"/>
                <w:sz w:val="17"/>
                <w:szCs w:val="17"/>
              </w:rPr>
              <w:t xml:space="preserve">→ Supprimer tous les attributs title= des balises &lt;details&gt; et &lt;summary&gt;.</w:t>
            </w:r>
          </w:p>
        </w:tc>
        <w:tc>
          <w:tcPr>
            <w:tcW w:w="1800" w:type="dxa"/>
            <w:vAlign w:val="top"/>
          </w:tcPr>
          <w:p>
            <w:pPr>
              <w:spacing w:after="0"/>
            </w:pPr>
            <w:r>
              <w:rPr>
                <w:sz w:val="17"/>
                <w:szCs w:val="17"/>
              </w:rPr>
              <w:t xml:space="preserve">PROMPT_V6.md sections 9 et 14.</w:t>
            </w:r>
          </w:p>
        </w:tc>
      </w:tr>
    </w:tbl>
    <w:p>
      <w:pPr>
        <w:spacing w:after="120"/>
      </w:pPr>
    </w:p>
    <w:p>
      <w:pPr>
        <w:pStyle w:val="Titre1"/>
        <w:keepNext/>
      </w:pPr>
      <w:r>
        <w:rPr>
          <w:b/>
          <w:color w:val="1F618D"/>
          <w:sz w:val="26"/>
          <w:szCs w:val="26"/>
        </w:rPr>
        <w:t xml:space="preserve">Léger — 23 problème(s)</w:t>
      </w:r>
    </w:p>
    <w:tbl>
      <w:tblPr>
        <w:tblW w:w="144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600"/>
        <w:gridCol w:w="900"/>
        <w:gridCol w:w="1250"/>
        <w:gridCol w:w="1900"/>
        <w:gridCol w:w="2350"/>
        <w:gridCol w:w="2600"/>
        <w:gridCol w:w="3000"/>
        <w:gridCol w:w="1800"/>
      </w:tblGrid>
      <w:tr>
        <w:trPr>
          <w:tblHeader/>
          <w:cantSplit/>
        </w:trPr>
        <w:tc>
          <w:tcPr>
            <w:tcW w:w="600" w:type="dxa"/>
            <w:shd w:val="clear" w:color="auto" w:fill="1F618D"/>
            <w:vAlign w:val="top"/>
          </w:tcPr>
          <w:p>
            <w:pPr>
              <w:spacing w:after="0"/>
            </w:pPr>
            <w:r>
              <w:rPr>
                <w:b/>
                <w:color w:val="FFFFFF"/>
                <w:sz w:val="17"/>
                <w:szCs w:val="17"/>
              </w:rPr>
              <w:t xml:space="preserve">Fait</w:t>
            </w:r>
          </w:p>
        </w:tc>
        <w:tc>
          <w:tcPr>
            <w:tcW w:w="900" w:type="dxa"/>
            <w:shd w:val="clear" w:color="auto" w:fill="1F618D"/>
            <w:vAlign w:val="top"/>
          </w:tcPr>
          <w:p>
            <w:pPr>
              <w:spacing w:after="0"/>
            </w:pPr>
            <w:r>
              <w:rPr>
                <w:b/>
                <w:color w:val="FFFFFF"/>
                <w:sz w:val="17"/>
                <w:szCs w:val="17"/>
              </w:rPr>
              <w:t xml:space="preserve">N°</w:t>
            </w:r>
          </w:p>
        </w:tc>
        <w:tc>
          <w:tcPr>
            <w:tcW w:w="1250" w:type="dxa"/>
            <w:shd w:val="clear" w:color="auto" w:fill="1F618D"/>
            <w:vAlign w:val="top"/>
          </w:tcPr>
          <w:p>
            <w:pPr>
              <w:spacing w:after="0"/>
            </w:pPr>
            <w:r>
              <w:rPr>
                <w:b/>
                <w:color w:val="FFFFFF"/>
                <w:sz w:val="17"/>
                <w:szCs w:val="17"/>
              </w:rPr>
              <w:t xml:space="preserve">Domaine</w:t>
            </w:r>
          </w:p>
        </w:tc>
        <w:tc>
          <w:tcPr>
            <w:tcW w:w="1900" w:type="dxa"/>
            <w:shd w:val="clear" w:color="auto" w:fill="1F618D"/>
            <w:vAlign w:val="top"/>
          </w:tcPr>
          <w:p>
            <w:pPr>
              <w:spacing w:after="0"/>
            </w:pPr>
            <w:r>
              <w:rPr>
                <w:b/>
                <w:color w:val="FFFFFF"/>
                <w:sz w:val="17"/>
                <w:szCs w:val="17"/>
              </w:rPr>
              <w:t xml:space="preserve">Fichier</w:t>
            </w:r>
          </w:p>
        </w:tc>
        <w:tc>
          <w:tcPr>
            <w:tcW w:w="2350" w:type="dxa"/>
            <w:shd w:val="clear" w:color="auto" w:fill="1F618D"/>
            <w:vAlign w:val="top"/>
          </w:tcPr>
          <w:p>
            <w:pPr>
              <w:spacing w:after="0"/>
            </w:pPr>
            <w:r>
              <w:rPr>
                <w:b/>
                <w:color w:val="FFFFFF"/>
                <w:sz w:val="17"/>
                <w:szCs w:val="17"/>
              </w:rPr>
              <w:t xml:space="preserve">Emplacement</w:t>
            </w:r>
          </w:p>
        </w:tc>
        <w:tc>
          <w:tcPr>
            <w:tcW w:w="2600" w:type="dxa"/>
            <w:shd w:val="clear" w:color="auto" w:fill="1F618D"/>
            <w:vAlign w:val="top"/>
          </w:tcPr>
          <w:p>
            <w:pPr>
              <w:spacing w:after="0"/>
            </w:pPr>
            <w:r>
              <w:rPr>
                <w:b/>
                <w:color w:val="FFFFFF"/>
                <w:sz w:val="17"/>
                <w:szCs w:val="17"/>
              </w:rPr>
              <w:t xml:space="preserve">Extrait exact</w:t>
            </w:r>
          </w:p>
        </w:tc>
        <w:tc>
          <w:tcPr>
            <w:tcW w:w="3000" w:type="dxa"/>
            <w:shd w:val="clear" w:color="auto" w:fill="1F618D"/>
            <w:vAlign w:val="top"/>
          </w:tcPr>
          <w:p>
            <w:pPr>
              <w:spacing w:after="0"/>
            </w:pPr>
            <w:r>
              <w:rPr>
                <w:b/>
                <w:color w:val="FFFFFF"/>
                <w:sz w:val="17"/>
                <w:szCs w:val="17"/>
              </w:rPr>
              <w:t xml:space="preserve">Problème → correction</w:t>
            </w:r>
          </w:p>
        </w:tc>
        <w:tc>
          <w:tcPr>
            <w:tcW w:w="1800" w:type="dxa"/>
            <w:shd w:val="clear" w:color="auto" w:fill="1F618D"/>
            <w:vAlign w:val="top"/>
          </w:tcPr>
          <w:p>
            <w:pPr>
              <w:spacing w:after="0"/>
            </w:pPr>
            <w:r>
              <w:rPr>
                <w:b/>
                <w:color w:val="FFFFFF"/>
                <w:sz w:val="17"/>
                <w:szCs w:val="17"/>
              </w:rPr>
              <w:t xml:space="preserve">Source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L2-L05</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LOT_2_V6_Enrichi_8plus_Partie_1_Integral.html</w:t>
            </w:r>
          </w:p>
        </w:tc>
        <w:tc>
          <w:tcPr>
            <w:tcW w:w="2350" w:type="dxa"/>
            <w:vAlign w:val="top"/>
          </w:tcPr>
          <w:p>
            <w:pPr>
              <w:spacing w:after="0"/>
            </w:pPr>
            <w:r>
              <w:rPr>
                <w:sz w:val="17"/>
                <w:szCs w:val="17"/>
              </w:rPr>
              <w:t xml:space="preserve">Bandeau d'ouverture (surtitre)</w:t>
            </w:r>
          </w:p>
        </w:tc>
        <w:tc>
          <w:tcPr>
            <w:tcW w:w="2600" w:type="dxa"/>
            <w:vAlign w:val="top"/>
          </w:tcPr>
          <w:p>
            <w:pPr>
              <w:spacing w:after="0"/>
            </w:pPr>
            <w:r>
              <w:rPr>
                <w:i/>
                <w:sz w:val="17"/>
                <w:szCs w:val="17"/>
              </w:rPr>
              <w:t xml:space="preserve">« LOT 2 · V6 · ENRICHI ++++++++ »</w:t>
            </w:r>
          </w:p>
        </w:tc>
        <w:tc>
          <w:tcPr>
            <w:tcW w:w="3000" w:type="dxa"/>
            <w:vAlign w:val="top"/>
          </w:tcPr>
          <w:p>
            <w:pPr>
              <w:spacing w:after="40"/>
            </w:pPr>
            <w:r>
              <w:rPr>
                <w:sz w:val="17"/>
                <w:szCs w:val="17"/>
              </w:rPr>
              <w:t xml:space="preserve">Le surtitre « ENRICHI ++++++++ » et le nom « 8plus » relèvent d'un marquage informel, sans valeur pour le lecteur, et le contenu est en réalité appauvri par rapport à la V4.</w:t>
            </w:r>
          </w:p>
          <w:p>
            <w:pPr>
              <w:spacing w:after="0"/>
            </w:pPr>
            <w:r>
              <w:rPr>
                <w:b/>
                <w:color w:val="145A32"/>
                <w:sz w:val="17"/>
                <w:szCs w:val="17"/>
              </w:rPr>
              <w:t xml:space="preserve">→ Remplacer par : « LOT 2 : Tuméfaction, tumeur, adénopathie (SSP G2) — Appel B — Partie Y/4 » et supprimer « 8plus » du nom de fichier.</w:t>
            </w:r>
          </w:p>
        </w:tc>
        <w:tc>
          <w:tcPr>
            <w:tcW w:w="1800" w:type="dxa"/>
            <w:vAlign w:val="top"/>
          </w:tcPr>
          <w:p>
            <w:pPr>
              <w:spacing w:after="0"/>
            </w:pPr>
            <w:r>
              <w:rPr>
                <w:sz w:val="17"/>
                <w:szCs w:val="17"/>
              </w:rPr>
              <w:t xml:space="preserve">PROMPT_V6 (prompt de base) § 9 (gabarit du titre)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L2-L18</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LOT_2_Appel_A_Plan_et_Liste_Fédéral__export_GoogleDoc.html</w:t>
            </w:r>
          </w:p>
        </w:tc>
        <w:tc>
          <w:tcPr>
            <w:tcW w:w="2350" w:type="dxa"/>
            <w:vAlign w:val="top"/>
          </w:tcPr>
          <w:p>
            <w:pPr>
              <w:spacing w:after="0"/>
            </w:pPr>
            <w:r>
              <w:rPr>
                <w:sz w:val="17"/>
                <w:szCs w:val="17"/>
              </w:rPr>
              <w:t xml:space="preserve">Bloc 1 › point 4 Démarche diagnostique</w:t>
            </w:r>
          </w:p>
        </w:tc>
        <w:tc>
          <w:tcPr>
            <w:tcW w:w="2600" w:type="dxa"/>
            <w:vAlign w:val="top"/>
          </w:tcPr>
          <w:p>
            <w:pPr>
              <w:spacing w:after="0"/>
            </w:pPr>
            <w:r>
              <w:rPr>
                <w:i/>
                <w:sz w:val="17"/>
                <w:szCs w:val="17"/>
              </w:rPr>
              <w:t xml:space="preserve">« une simple Mononucléose infectieuse ou un kyste sébacé banal. »</w:t>
            </w:r>
          </w:p>
        </w:tc>
        <w:tc>
          <w:tcPr>
            <w:tcW w:w="3000" w:type="dxa"/>
            <w:vAlign w:val="top"/>
          </w:tcPr>
          <w:p>
            <w:pPr>
              <w:spacing w:after="40"/>
            </w:pPr>
            <w:r>
              <w:rPr>
                <w:sz w:val="17"/>
                <w:szCs w:val="17"/>
              </w:rPr>
              <w:t xml:space="preserve">Le terme « kyste sébacé » désigne à tort le kyste épidermique (infundibulaire) traité en D2.2, et la majuscule de « Mononucléose » est fautive.</w:t>
            </w:r>
          </w:p>
          <w:p>
            <w:pPr>
              <w:spacing w:after="0"/>
            </w:pPr>
            <w:r>
              <w:rPr>
                <w:b/>
                <w:color w:val="145A32"/>
                <w:sz w:val="17"/>
                <w:szCs w:val="17"/>
              </w:rPr>
              <w:t xml:space="preserve">→ Écrire : « une simple mononucléose infectieuse ou un kyste épidermique ».</w:t>
            </w:r>
          </w:p>
        </w:tc>
        <w:tc>
          <w:tcPr>
            <w:tcW w:w="1800" w:type="dxa"/>
            <w:vAlign w:val="top"/>
          </w:tcPr>
          <w:p>
            <w:pPr>
              <w:spacing w:after="0"/>
            </w:pPr>
            <w:r>
              <w:rPr>
                <w:sz w:val="17"/>
                <w:szCs w:val="17"/>
              </w:rPr>
              <w:t xml:space="preserve">Cohérence interne avec D2.2 (Partie 1) ; donnée non trouvée dans les sources consultées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L2-L19</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LOT_2_Appel_A_Plan_et_Liste_Fédéral__export_GoogleDoc.html</w:t>
            </w:r>
          </w:p>
        </w:tc>
        <w:tc>
          <w:tcPr>
            <w:tcW w:w="2350" w:type="dxa"/>
            <w:vAlign w:val="top"/>
          </w:tcPr>
          <w:p>
            <w:pPr>
              <w:spacing w:after="0"/>
            </w:pPr>
            <w:r>
              <w:rPr>
                <w:sz w:val="17"/>
                <w:szCs w:val="17"/>
              </w:rPr>
              <w:t xml:space="preserve">Bloc 1 › points 1, 3, 4, 5, 6, 9, 11 (environ 15 occurrences ; première : point 1)</w:t>
            </w:r>
          </w:p>
        </w:tc>
        <w:tc>
          <w:tcPr>
            <w:tcW w:w="2600" w:type="dxa"/>
            <w:vAlign w:val="top"/>
          </w:tcPr>
          <w:p>
            <w:pPr>
              <w:spacing w:after="0"/>
            </w:pPr>
            <w:r>
              <w:rPr>
                <w:i/>
                <w:sz w:val="17"/>
                <w:szCs w:val="17"/>
              </w:rPr>
              <w:t xml:space="preserve">« La Tuméfaction désigne un gonflement localisé transitoire ou permanent. »</w:t>
            </w:r>
          </w:p>
        </w:tc>
        <w:tc>
          <w:tcPr>
            <w:tcW w:w="3000" w:type="dxa"/>
            <w:vAlign w:val="top"/>
          </w:tcPr>
          <w:p>
            <w:pPr>
              <w:spacing w:after="40"/>
            </w:pPr>
            <w:r>
              <w:rPr>
                <w:sz w:val="17"/>
                <w:szCs w:val="17"/>
              </w:rPr>
              <w:t xml:space="preserve">Les noms communs portent une majuscule intempestive (« Tuméfaction », « Tumeur », « Adénopathie », « Hyperplasie réactionnelle », « Symptômes B », « Polychimiothérapie »), héritée des liens Google Docs.</w:t>
            </w:r>
          </w:p>
          <w:p>
            <w:pPr>
              <w:spacing w:after="0"/>
            </w:pPr>
            <w:r>
              <w:rPr>
                <w:b/>
                <w:color w:val="145A32"/>
                <w:sz w:val="17"/>
                <w:szCs w:val="17"/>
              </w:rPr>
              <w:t xml:space="preserve">→ Mettre ces noms communs en minuscules : « La tuméfaction désigne… », « les symptômes B », « une polychimiothérapie ».</w:t>
            </w:r>
          </w:p>
        </w:tc>
        <w:tc>
          <w:tcPr>
            <w:tcW w:w="1800" w:type="dxa"/>
            <w:vAlign w:val="top"/>
          </w:tcPr>
          <w:p>
            <w:pPr>
              <w:spacing w:after="0"/>
            </w:pPr>
            <w:r>
              <w:rPr>
                <w:sz w:val="17"/>
                <w:szCs w:val="17"/>
              </w:rPr>
              <w:t xml:space="preserve">Typographie française (Lexique de l'Imprimerie nationale)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L2-L20</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LOT_2_Appel_A_Plan_et_Liste_Fédéral__export_GoogleDoc.html</w:t>
            </w:r>
          </w:p>
        </w:tc>
        <w:tc>
          <w:tcPr>
            <w:tcW w:w="2350" w:type="dxa"/>
            <w:vAlign w:val="top"/>
          </w:tcPr>
          <w:p>
            <w:pPr>
              <w:spacing w:after="0"/>
            </w:pPr>
            <w:r>
              <w:rPr>
                <w:sz w:val="17"/>
                <w:szCs w:val="17"/>
              </w:rPr>
              <w:t xml:space="preserve">Bloc 1 › point 9 (2 occurrences : « 1ère », « 2ème »)</w:t>
            </w:r>
          </w:p>
        </w:tc>
        <w:tc>
          <w:tcPr>
            <w:tcW w:w="2600" w:type="dxa"/>
            <w:vAlign w:val="top"/>
          </w:tcPr>
          <w:p>
            <w:pPr>
              <w:spacing w:after="0"/>
            </w:pPr>
            <w:r>
              <w:rPr>
                <w:i/>
                <w:sz w:val="17"/>
                <w:szCs w:val="17"/>
              </w:rPr>
              <w:t xml:space="preserve">« 1ère intention : Le médecin prescrit une Formule sanguine complète (FSC) »</w:t>
            </w:r>
          </w:p>
        </w:tc>
        <w:tc>
          <w:tcPr>
            <w:tcW w:w="3000" w:type="dxa"/>
            <w:vAlign w:val="top"/>
          </w:tcPr>
          <w:p>
            <w:pPr>
              <w:spacing w:after="40"/>
            </w:pPr>
            <w:r>
              <w:rPr>
                <w:sz w:val="17"/>
                <w:szCs w:val="17"/>
              </w:rPr>
              <w:t xml:space="preserve">Les abréviations ordinales « 1ère » et « 2ème » sont fautives en français ; la majuscule de « Le » après deux-points et de « Formule » l'est aussi. La même faute revient dans les quatre Parties V4.</w:t>
            </w:r>
          </w:p>
          <w:p>
            <w:pPr>
              <w:spacing w:after="0"/>
            </w:pPr>
            <w:r>
              <w:rPr>
                <w:b/>
                <w:color w:val="145A32"/>
                <w:sz w:val="17"/>
                <w:szCs w:val="17"/>
              </w:rPr>
              <w:t xml:space="preserve">→ Écrire : « 1re intention : le médecin prescrit une formule sanguine complète (FSC) » et « 2e intention ».</w:t>
            </w:r>
          </w:p>
        </w:tc>
        <w:tc>
          <w:tcPr>
            <w:tcW w:w="1800" w:type="dxa"/>
            <w:vAlign w:val="top"/>
          </w:tcPr>
          <w:p>
            <w:pPr>
              <w:spacing w:after="0"/>
            </w:pPr>
            <w:r>
              <w:rPr>
                <w:sz w:val="17"/>
                <w:szCs w:val="17"/>
              </w:rPr>
              <w:t xml:space="preserve">Typographie française (Lexique de l'Imprimerie nationale)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L2-L36</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LOT_2_Appel_B_V4_Argon_Partie_2_D2.3_a_D2.5__export_GoogleDoc.html</w:t>
            </w:r>
          </w:p>
        </w:tc>
        <w:tc>
          <w:tcPr>
            <w:tcW w:w="2350" w:type="dxa"/>
            <w:vAlign w:val="top"/>
          </w:tcPr>
          <w:p>
            <w:pPr>
              <w:spacing w:after="0"/>
            </w:pPr>
            <w:r>
              <w:rPr>
                <w:sz w:val="17"/>
                <w:szCs w:val="17"/>
              </w:rPr>
              <w:t xml:space="preserve">D2.3 › point 9 › 2e intention</w:t>
            </w:r>
          </w:p>
        </w:tc>
        <w:tc>
          <w:tcPr>
            <w:tcW w:w="2600" w:type="dxa"/>
            <w:vAlign w:val="top"/>
          </w:tcPr>
          <w:p>
            <w:pPr>
              <w:spacing w:after="0"/>
            </w:pPr>
            <w:r>
              <w:rPr>
                <w:i/>
                <w:sz w:val="17"/>
                <w:szCs w:val="17"/>
              </w:rPr>
              <w:t xml:space="preserve">« Si les IgM anti-VCA sont négatifs »</w:t>
            </w:r>
          </w:p>
        </w:tc>
        <w:tc>
          <w:tcPr>
            <w:tcW w:w="3000" w:type="dxa"/>
            <w:vAlign w:val="top"/>
          </w:tcPr>
          <w:p>
            <w:pPr>
              <w:spacing w:after="40"/>
            </w:pPr>
            <w:r>
              <w:rPr>
                <w:sz w:val="17"/>
                <w:szCs w:val="17"/>
              </w:rPr>
              <w:t xml:space="preserve">L'accord est fautif : « IgM » (immunoglobulines) est féminin.</w:t>
            </w:r>
          </w:p>
          <w:p>
            <w:pPr>
              <w:spacing w:after="0"/>
            </w:pPr>
            <w:r>
              <w:rPr>
                <w:b/>
                <w:color w:val="145A32"/>
                <w:sz w:val="17"/>
                <w:szCs w:val="17"/>
              </w:rPr>
              <w:t xml:space="preserve">→ Écrire : « Si les IgM anti-VCA sont négatives ».</w:t>
            </w:r>
          </w:p>
        </w:tc>
        <w:tc>
          <w:tcPr>
            <w:tcW w:w="1800" w:type="dxa"/>
            <w:vAlign w:val="top"/>
          </w:tcPr>
          <w:p>
            <w:pPr>
              <w:spacing w:after="0"/>
            </w:pPr>
            <w:r>
              <w:rPr>
                <w:sz w:val="17"/>
                <w:szCs w:val="17"/>
              </w:rPr>
              <w:t xml:space="preserve">Grammaire française (accord de l'adjectif)</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L2-L37</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LOT_2_Appel_B_V4_Argon_Partie_3_D2.6_a_D2.7__export_GoogleDoc.html</w:t>
            </w:r>
          </w:p>
        </w:tc>
        <w:tc>
          <w:tcPr>
            <w:tcW w:w="2350" w:type="dxa"/>
            <w:vAlign w:val="top"/>
          </w:tcPr>
          <w:p>
            <w:pPr>
              <w:spacing w:after="0"/>
            </w:pPr>
            <w:r>
              <w:rPr>
                <w:sz w:val="17"/>
                <w:szCs w:val="17"/>
              </w:rPr>
              <w:t xml:space="preserve">D2.7 › point 11.B › radio-chimiothérapie</w:t>
            </w:r>
          </w:p>
        </w:tc>
        <w:tc>
          <w:tcPr>
            <w:tcW w:w="2600" w:type="dxa"/>
            <w:vAlign w:val="top"/>
          </w:tcPr>
          <w:p>
            <w:pPr>
              <w:spacing w:after="0"/>
            </w:pPr>
            <w:r>
              <w:rPr>
                <w:i/>
                <w:sz w:val="17"/>
                <w:szCs w:val="17"/>
              </w:rPr>
              <w:t xml:space="preserve">« Ondanstron Zofran® »</w:t>
            </w:r>
          </w:p>
        </w:tc>
        <w:tc>
          <w:tcPr>
            <w:tcW w:w="3000" w:type="dxa"/>
            <w:vAlign w:val="top"/>
          </w:tcPr>
          <w:p>
            <w:pPr>
              <w:spacing w:after="40"/>
            </w:pPr>
            <w:r>
              <w:rPr>
                <w:sz w:val="17"/>
                <w:szCs w:val="17"/>
              </w:rPr>
              <w:t xml:space="preserve">La DCI est mal orthographiée.</w:t>
            </w:r>
          </w:p>
          <w:p>
            <w:pPr>
              <w:spacing w:after="0"/>
            </w:pPr>
            <w:r>
              <w:rPr>
                <w:b/>
                <w:color w:val="145A32"/>
                <w:sz w:val="17"/>
                <w:szCs w:val="17"/>
              </w:rPr>
              <w:t xml:space="preserve">→ Écrire : « ondansétron (Zofran®) ».</w:t>
            </w:r>
          </w:p>
        </w:tc>
        <w:tc>
          <w:tcPr>
            <w:tcW w:w="1800" w:type="dxa"/>
            <w:vAlign w:val="top"/>
          </w:tcPr>
          <w:p>
            <w:pPr>
              <w:spacing w:after="0"/>
            </w:pPr>
            <w:r>
              <w:rPr>
                <w:sz w:val="17"/>
                <w:szCs w:val="17"/>
              </w:rPr>
              <w:t xml:space="preserve">DCI française de l'ondansétron (information professionnelle suisse Zofran®)</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L2-L39</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LOT_2_Appel_B_V4_Argon_Partie_4_D2.8_a_D2.10__export_GoogleDoc.html</w:t>
            </w:r>
          </w:p>
        </w:tc>
        <w:tc>
          <w:tcPr>
            <w:tcW w:w="2350" w:type="dxa"/>
            <w:vAlign w:val="top"/>
          </w:tcPr>
          <w:p>
            <w:pPr>
              <w:spacing w:after="0"/>
            </w:pPr>
            <w:r>
              <w:rPr>
                <w:sz w:val="17"/>
                <w:szCs w:val="17"/>
              </w:rPr>
              <w:t xml:space="preserve">D2.8 › point 12 Prévention</w:t>
            </w:r>
          </w:p>
        </w:tc>
        <w:tc>
          <w:tcPr>
            <w:tcW w:w="2600" w:type="dxa"/>
            <w:vAlign w:val="top"/>
          </w:tcPr>
          <w:p>
            <w:pPr>
              <w:spacing w:after="0"/>
            </w:pPr>
            <w:r>
              <w:rPr>
                <w:i/>
                <w:sz w:val="17"/>
                <w:szCs w:val="17"/>
              </w:rPr>
              <w:t xml:space="preserve">« $FiO_2 &gt; 30\text{ \%}$ »</w:t>
            </w:r>
          </w:p>
        </w:tc>
        <w:tc>
          <w:tcPr>
            <w:tcW w:w="3000" w:type="dxa"/>
            <w:vAlign w:val="top"/>
          </w:tcPr>
          <w:p>
            <w:pPr>
              <w:spacing w:after="40"/>
            </w:pPr>
            <w:r>
              <w:rPr>
                <w:sz w:val="17"/>
                <w:szCs w:val="17"/>
              </w:rPr>
              <w:t xml:space="preserve">Du code LaTeX brut s'affiche dans le texte.</w:t>
            </w:r>
          </w:p>
          <w:p>
            <w:pPr>
              <w:spacing w:after="0"/>
            </w:pPr>
            <w:r>
              <w:rPr>
                <w:b/>
                <w:color w:val="145A32"/>
                <w:sz w:val="17"/>
                <w:szCs w:val="17"/>
              </w:rPr>
              <w:t xml:space="preserve">→ Écrire : « FiO₂ &gt; 30 % » (fraction inspirée en oxygène, développée à la première occurrence).</w:t>
            </w:r>
          </w:p>
        </w:tc>
        <w:tc>
          <w:tcPr>
            <w:tcW w:w="1800" w:type="dxa"/>
            <w:vAlign w:val="top"/>
          </w:tcPr>
          <w:p>
            <w:pPr>
              <w:spacing w:after="0"/>
            </w:pPr>
            <w:r>
              <w:rPr>
                <w:sz w:val="17"/>
                <w:szCs w:val="17"/>
              </w:rPr>
              <w:t xml:space="preserve">PROMPT_V6 (prompt de base) § 6.5, § 6.8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L2-L40</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LOT_2_Appel_B_V4_Argon_Partie_4_D2.8_a_D2.10__export_GoogleDoc.html</w:t>
            </w:r>
          </w:p>
        </w:tc>
        <w:tc>
          <w:tcPr>
            <w:tcW w:w="2350" w:type="dxa"/>
            <w:vAlign w:val="top"/>
          </w:tcPr>
          <w:p>
            <w:pPr>
              <w:spacing w:after="0"/>
            </w:pPr>
            <w:r>
              <w:rPr>
                <w:sz w:val="17"/>
                <w:szCs w:val="17"/>
              </w:rPr>
              <w:t xml:space="preserve">D2.8 à D2.10 (une trentaine de marqueurs Markdown ; premier : D2.8 › point 7.1)</w:t>
            </w:r>
          </w:p>
        </w:tc>
        <w:tc>
          <w:tcPr>
            <w:tcW w:w="2600" w:type="dxa"/>
            <w:vAlign w:val="top"/>
          </w:tcPr>
          <w:p>
            <w:pPr>
              <w:spacing w:after="0"/>
            </w:pPr>
            <w:r>
              <w:rPr>
                <w:i/>
                <w:sz w:val="17"/>
                <w:szCs w:val="17"/>
              </w:rPr>
              <w:t xml:space="preserve">« masse *Bulky* si diamètre &gt; 10 cm »</w:t>
            </w:r>
          </w:p>
        </w:tc>
        <w:tc>
          <w:tcPr>
            <w:tcW w:w="3000" w:type="dxa"/>
            <w:vAlign w:val="top"/>
          </w:tcPr>
          <w:p>
            <w:pPr>
              <w:spacing w:after="40"/>
            </w:pPr>
            <w:r>
              <w:rPr>
                <w:sz w:val="17"/>
                <w:szCs w:val="17"/>
              </w:rPr>
              <w:t xml:space="preserve">Des astérisques Markdown (« * », « ** ») s'affichent dans le texte et l'anglicisme « Bulky » n'est pas traduit.</w:t>
            </w:r>
          </w:p>
          <w:p>
            <w:pPr>
              <w:spacing w:after="0"/>
            </w:pPr>
            <w:r>
              <w:rPr>
                <w:b/>
                <w:color w:val="145A32"/>
                <w:sz w:val="17"/>
                <w:szCs w:val="17"/>
              </w:rPr>
              <w:t xml:space="preserve">→ Supprimer tous les astérisques (utiliser &lt;strong&gt;/&lt;em&gt;) et écrire « masse volumineuse (bulky) si diamètre &gt; 10 cm ».</w:t>
            </w:r>
          </w:p>
        </w:tc>
        <w:tc>
          <w:tcPr>
            <w:tcW w:w="1800" w:type="dxa"/>
            <w:vAlign w:val="top"/>
          </w:tcPr>
          <w:p>
            <w:pPr>
              <w:spacing w:after="0"/>
            </w:pPr>
            <w:r>
              <w:rPr>
                <w:sz w:val="17"/>
                <w:szCs w:val="17"/>
              </w:rPr>
              <w:t xml:space="preserve">PROMPT_V6 (prompt de base) § 0 (pas de Markdown), § 6.8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L2-L41</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LOT_2_Appel_B_V4_Argon_Partie_2_D2.3_a_D2.5__export_GoogleDoc.html</w:t>
            </w:r>
          </w:p>
        </w:tc>
        <w:tc>
          <w:tcPr>
            <w:tcW w:w="2350" w:type="dxa"/>
            <w:vAlign w:val="top"/>
          </w:tcPr>
          <w:p>
            <w:pPr>
              <w:spacing w:after="0"/>
            </w:pPr>
            <w:r>
              <w:rPr>
                <w:sz w:val="17"/>
                <w:szCs w:val="17"/>
              </w:rPr>
              <w:t xml:space="preserve">Parties V4 (anglicismes : Gold Standard, FNA, PET-CT, CT-scan, Watch and Wait, Rapid Start, Test and Treat, Single-Tablet Regimen, Tumorboard ; première ici : D2.5 › point 14)</w:t>
            </w:r>
          </w:p>
        </w:tc>
        <w:tc>
          <w:tcPr>
            <w:tcW w:w="2600" w:type="dxa"/>
            <w:vAlign w:val="top"/>
          </w:tcPr>
          <w:p>
            <w:pPr>
              <w:spacing w:after="0"/>
            </w:pPr>
            <w:r>
              <w:rPr>
                <w:i/>
                <w:sz w:val="17"/>
                <w:szCs w:val="17"/>
              </w:rPr>
              <w:t xml:space="preserve">« doit impérativement être plafonnée ("cappée") à 2 mg maximum »</w:t>
            </w:r>
          </w:p>
        </w:tc>
        <w:tc>
          <w:tcPr>
            <w:tcW w:w="3000" w:type="dxa"/>
            <w:vAlign w:val="top"/>
          </w:tcPr>
          <w:p>
            <w:pPr>
              <w:spacing w:after="40"/>
            </w:pPr>
            <w:r>
              <w:rPr>
                <w:sz w:val="17"/>
                <w:szCs w:val="17"/>
              </w:rPr>
              <w:t xml:space="preserve">Les Parties V4 emploient des anglicismes et du jargon non expliqués (« cappée », « Watch and Wait », « CT-scan »…).</w:t>
            </w:r>
          </w:p>
          <w:p>
            <w:pPr>
              <w:spacing w:after="0"/>
            </w:pPr>
            <w:r>
              <w:rPr>
                <w:b/>
                <w:color w:val="145A32"/>
                <w:sz w:val="17"/>
                <w:szCs w:val="17"/>
              </w:rPr>
              <w:t xml:space="preserve">→ Remplacer par les termes français : « plafonnée à 2 mg », « surveillance active », « tomodensitométrie (TDM) », « TEP-TDM », « cytoponction à l'aiguille fine », « colloque multidisciplinaire (tumor board) », « examen de référence ».</w:t>
            </w:r>
          </w:p>
        </w:tc>
        <w:tc>
          <w:tcPr>
            <w:tcW w:w="1800" w:type="dxa"/>
            <w:vAlign w:val="top"/>
          </w:tcPr>
          <w:p>
            <w:pPr>
              <w:spacing w:after="0"/>
            </w:pPr>
            <w:r>
              <w:rPr>
                <w:sz w:val="17"/>
                <w:szCs w:val="17"/>
              </w:rPr>
              <w:t xml:space="preserve">PROMPT_V6 (prompt de base) § 6.8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L2-L42</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LOT_2_Appel_B_V4_Argon_Partie_3_D2.6_a_D2.7__export_GoogleDoc.html</w:t>
            </w:r>
          </w:p>
        </w:tc>
        <w:tc>
          <w:tcPr>
            <w:tcW w:w="2350" w:type="dxa"/>
            <w:vAlign w:val="top"/>
          </w:tcPr>
          <w:p>
            <w:pPr>
              <w:spacing w:after="0"/>
            </w:pPr>
            <w:r>
              <w:rPr>
                <w:sz w:val="17"/>
                <w:szCs w:val="17"/>
              </w:rPr>
              <w:t xml:space="preserve">Parties V4 (guillemets droits ; environ 10 occurrences ; première ici : D2.7 › point 13)</w:t>
            </w:r>
          </w:p>
        </w:tc>
        <w:tc>
          <w:tcPr>
            <w:tcW w:w="2600" w:type="dxa"/>
            <w:vAlign w:val="top"/>
          </w:tcPr>
          <w:p>
            <w:pPr>
              <w:spacing w:after="0"/>
            </w:pPr>
            <w:r>
              <w:rPr>
                <w:i/>
                <w:sz w:val="17"/>
                <w:szCs w:val="17"/>
              </w:rPr>
              <w:t xml:space="preserve">« "kyste branchial congénital bénin" »</w:t>
            </w:r>
          </w:p>
        </w:tc>
        <w:tc>
          <w:tcPr>
            <w:tcW w:w="3000" w:type="dxa"/>
            <w:vAlign w:val="top"/>
          </w:tcPr>
          <w:p>
            <w:pPr>
              <w:spacing w:after="40"/>
            </w:pPr>
            <w:r>
              <w:rPr>
                <w:sz w:val="17"/>
                <w:szCs w:val="17"/>
              </w:rPr>
              <w:t xml:space="preserve">Les guillemets droits anglais remplacent les guillemets français.</w:t>
            </w:r>
          </w:p>
          <w:p>
            <w:pPr>
              <w:spacing w:after="0"/>
            </w:pPr>
            <w:r>
              <w:rPr>
                <w:b/>
                <w:color w:val="145A32"/>
                <w:sz w:val="17"/>
                <w:szCs w:val="17"/>
              </w:rPr>
              <w:t xml:space="preserve">→ Écrire : « kyste branchial congénital bénin », avec espaces insécables intérieures.</w:t>
            </w:r>
          </w:p>
        </w:tc>
        <w:tc>
          <w:tcPr>
            <w:tcW w:w="1800" w:type="dxa"/>
            <w:vAlign w:val="top"/>
          </w:tcPr>
          <w:p>
            <w:pPr>
              <w:spacing w:after="0"/>
            </w:pPr>
            <w:r>
              <w:rPr>
                <w:sz w:val="17"/>
                <w:szCs w:val="17"/>
              </w:rPr>
              <w:t xml:space="preserve">Typographie française (Lexique de l'Imprimerie nationale)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L2-L43</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LOT_2_Appel_B_V4_Argon_Partie_1_D2.1_a_D2.2__export_GoogleDoc.html</w:t>
            </w:r>
          </w:p>
        </w:tc>
        <w:tc>
          <w:tcPr>
            <w:tcW w:w="2350" w:type="dxa"/>
            <w:vAlign w:val="top"/>
          </w:tcPr>
          <w:p>
            <w:pPr>
              <w:spacing w:after="0"/>
            </w:pPr>
            <w:r>
              <w:rPr>
                <w:sz w:val="17"/>
                <w:szCs w:val="17"/>
              </w:rPr>
              <w:t xml:space="preserve">Parties V4 (unités et fréquences : « 3x/j », « 48-72h », « 24h », « 2x la norme » ; environ 30 occurrences ; première : D2.1 › point 11.B)</w:t>
            </w:r>
          </w:p>
        </w:tc>
        <w:tc>
          <w:tcPr>
            <w:tcW w:w="2600" w:type="dxa"/>
            <w:vAlign w:val="top"/>
          </w:tcPr>
          <w:p>
            <w:pPr>
              <w:spacing w:after="0"/>
            </w:pPr>
            <w:r>
              <w:rPr>
                <w:i/>
                <w:sz w:val="17"/>
                <w:szCs w:val="17"/>
              </w:rPr>
              <w:t xml:space="preserve">« (ou 2,2 g 3x/j IV si forme sévère) »</w:t>
            </w:r>
          </w:p>
        </w:tc>
        <w:tc>
          <w:tcPr>
            <w:tcW w:w="3000" w:type="dxa"/>
            <w:vAlign w:val="top"/>
          </w:tcPr>
          <w:p>
            <w:pPr>
              <w:spacing w:after="40"/>
            </w:pPr>
            <w:r>
              <w:rPr>
                <w:sz w:val="17"/>
                <w:szCs w:val="17"/>
              </w:rPr>
              <w:t xml:space="preserve">Les fréquences et unités sont abrégées sans espace (« 3x/j », « 48h ») au lieu de la notation française et SI.</w:t>
            </w:r>
          </w:p>
          <w:p>
            <w:pPr>
              <w:spacing w:after="0"/>
            </w:pPr>
            <w:r>
              <w:rPr>
                <w:b/>
                <w:color w:val="145A32"/>
                <w:sz w:val="17"/>
                <w:szCs w:val="17"/>
              </w:rPr>
              <w:t xml:space="preserve">→ Écrire : « (ou 2,2 g IV 3 fois par jour si forme sévère) », « 48–72 h », « 24 h », « 2 fois la limite supérieure de la norme ».</w:t>
            </w:r>
          </w:p>
        </w:tc>
        <w:tc>
          <w:tcPr>
            <w:tcW w:w="1800" w:type="dxa"/>
            <w:vAlign w:val="top"/>
          </w:tcPr>
          <w:p>
            <w:pPr>
              <w:spacing w:after="0"/>
            </w:pPr>
            <w:r>
              <w:rPr>
                <w:sz w:val="17"/>
                <w:szCs w:val="17"/>
              </w:rPr>
              <w:t xml:space="preserve">PROMPT_V6 (prompt de base) § 6.8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L2-L44</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LOT_2_Appel_B_V4_Argon_Partie_2_D2.3_a_D2.5__export_GoogleDoc.html</w:t>
            </w:r>
          </w:p>
        </w:tc>
        <w:tc>
          <w:tcPr>
            <w:tcW w:w="2350" w:type="dxa"/>
            <w:vAlign w:val="top"/>
          </w:tcPr>
          <w:p>
            <w:pPr>
              <w:spacing w:after="0"/>
            </w:pPr>
            <w:r>
              <w:rPr>
                <w:sz w:val="17"/>
                <w:szCs w:val="17"/>
              </w:rPr>
              <w:t xml:space="preserve">Parties V4 (majuscules intempestives ; nombreuses occurrences ; première ici : D2.3 › point 6)</w:t>
            </w:r>
          </w:p>
        </w:tc>
        <w:tc>
          <w:tcPr>
            <w:tcW w:w="2600" w:type="dxa"/>
            <w:vAlign w:val="top"/>
          </w:tcPr>
          <w:p>
            <w:pPr>
              <w:spacing w:after="0"/>
            </w:pPr>
            <w:r>
              <w:rPr>
                <w:i/>
                <w:sz w:val="17"/>
                <w:szCs w:val="17"/>
              </w:rPr>
              <w:t xml:space="preserve">« La palpation objective des Adénopathies cervicales postérieures et occipitales bilatérales »</w:t>
            </w:r>
          </w:p>
        </w:tc>
        <w:tc>
          <w:tcPr>
            <w:tcW w:w="3000" w:type="dxa"/>
            <w:vAlign w:val="top"/>
          </w:tcPr>
          <w:p>
            <w:pPr>
              <w:spacing w:after="40"/>
            </w:pPr>
            <w:r>
              <w:rPr>
                <w:sz w:val="17"/>
                <w:szCs w:val="17"/>
              </w:rPr>
              <w:t xml:space="preserve">Des noms communs portent une majuscule fautive (« Adénopathies », « Cellules de Downey », « Signe de Kehr », « Formule Sanguine Complète », « Moyens Pharmacologiques »).</w:t>
            </w:r>
          </w:p>
          <w:p>
            <w:pPr>
              <w:spacing w:after="0"/>
            </w:pPr>
            <w:r>
              <w:rPr>
                <w:b/>
                <w:color w:val="145A32"/>
                <w:sz w:val="17"/>
                <w:szCs w:val="17"/>
              </w:rPr>
              <w:t xml:space="preserve">→ Écrire en minuscules : « des adénopathies cervicales postérieures », « signe de Kehr », « formule sanguine complète ».</w:t>
            </w:r>
          </w:p>
        </w:tc>
        <w:tc>
          <w:tcPr>
            <w:tcW w:w="1800" w:type="dxa"/>
            <w:vAlign w:val="top"/>
          </w:tcPr>
          <w:p>
            <w:pPr>
              <w:spacing w:after="0"/>
            </w:pPr>
            <w:r>
              <w:rPr>
                <w:sz w:val="17"/>
                <w:szCs w:val="17"/>
              </w:rPr>
              <w:t xml:space="preserve">Typographie française (Lexique de l'Imprimerie nationale)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L2-L45</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LOT_2_Appel_B_V4_Argon_Partie_4_D2.8_a_D2.10__export_GoogleDoc.html</w:t>
            </w:r>
          </w:p>
        </w:tc>
        <w:tc>
          <w:tcPr>
            <w:tcW w:w="2350" w:type="dxa"/>
            <w:vAlign w:val="top"/>
          </w:tcPr>
          <w:p>
            <w:pPr>
              <w:spacing w:after="0"/>
            </w:pPr>
            <w:r>
              <w:rPr>
                <w:sz w:val="17"/>
                <w:szCs w:val="17"/>
              </w:rPr>
              <w:t xml:space="preserve">D2.8 › point 5 Anamnèse</w:t>
            </w:r>
          </w:p>
        </w:tc>
        <w:tc>
          <w:tcPr>
            <w:tcW w:w="2600" w:type="dxa"/>
            <w:vAlign w:val="top"/>
          </w:tcPr>
          <w:p>
            <w:pPr>
              <w:spacing w:after="0"/>
            </w:pPr>
            <w:r>
              <w:rPr>
                <w:i/>
                <w:sz w:val="17"/>
                <w:szCs w:val="17"/>
              </w:rPr>
              <w:t xml:space="preserve">« la pathognomonique Douleur ganglionnaire induite par l'alcool »</w:t>
            </w:r>
          </w:p>
        </w:tc>
        <w:tc>
          <w:tcPr>
            <w:tcW w:w="3000" w:type="dxa"/>
            <w:vAlign w:val="top"/>
          </w:tcPr>
          <w:p>
            <w:pPr>
              <w:spacing w:after="40"/>
            </w:pPr>
            <w:r>
              <w:rPr>
                <w:sz w:val="17"/>
                <w:szCs w:val="17"/>
              </w:rPr>
              <w:t xml:space="preserve">L'adjectif antéposé et la majuscule rendent la phrase incorrecte ; le caractère « pathognomonique » n'est pas sourcé.</w:t>
            </w:r>
          </w:p>
          <w:p>
            <w:pPr>
              <w:spacing w:after="0"/>
            </w:pPr>
            <w:r>
              <w:rPr>
                <w:b/>
                <w:color w:val="145A32"/>
                <w:sz w:val="17"/>
                <w:szCs w:val="17"/>
              </w:rPr>
              <w:t xml:space="preserve">→ Écrire : « une douleur ganglionnaire déclenchée par l'alcool, rare mais évocatrice [Sn] ».</w:t>
            </w:r>
          </w:p>
        </w:tc>
        <w:tc>
          <w:tcPr>
            <w:tcW w:w="1800" w:type="dxa"/>
            <w:vAlign w:val="top"/>
          </w:tcPr>
          <w:p>
            <w:pPr>
              <w:spacing w:after="0"/>
            </w:pPr>
            <w:r>
              <w:rPr>
                <w:sz w:val="17"/>
                <w:szCs w:val="17"/>
              </w:rPr>
              <w:t xml:space="preserve">donnée non trouvée dans les sources consultées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L2-L60</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LOT_2_V6_Enrichi_8plus_Partie_1_Integral.html</w:t>
            </w:r>
          </w:p>
        </w:tc>
        <w:tc>
          <w:tcPr>
            <w:tcW w:w="2350" w:type="dxa"/>
            <w:vAlign w:val="top"/>
          </w:tcPr>
          <w:p>
            <w:pPr>
              <w:spacing w:after="0"/>
            </w:pPr>
            <w:r>
              <w:rPr>
                <w:sz w:val="17"/>
                <w:szCs w:val="17"/>
              </w:rPr>
              <w:t xml:space="preserve">SSP › point 5 Anamnèse</w:t>
            </w:r>
          </w:p>
        </w:tc>
        <w:tc>
          <w:tcPr>
            <w:tcW w:w="2600" w:type="dxa"/>
            <w:vAlign w:val="top"/>
          </w:tcPr>
          <w:p>
            <w:pPr>
              <w:spacing w:after="0"/>
            </w:pPr>
            <w:r>
              <w:rPr>
                <w:i/>
                <w:sz w:val="17"/>
                <w:szCs w:val="17"/>
              </w:rPr>
              <w:t xml:space="preserve">« Une compression, une croissance rapide ou des symptômes B accélère l'exploration. »</w:t>
            </w:r>
          </w:p>
        </w:tc>
        <w:tc>
          <w:tcPr>
            <w:tcW w:w="3000" w:type="dxa"/>
            <w:vAlign w:val="top"/>
          </w:tcPr>
          <w:p>
            <w:pPr>
              <w:spacing w:after="40"/>
            </w:pPr>
            <w:r>
              <w:rPr>
                <w:sz w:val="17"/>
                <w:szCs w:val="17"/>
              </w:rPr>
              <w:t xml:space="preserve">Le verbe s'accorde à tort au singulier avec trois sujets coordonnés dont le dernier est pluriel.</w:t>
            </w:r>
          </w:p>
          <w:p>
            <w:pPr>
              <w:spacing w:after="0"/>
            </w:pPr>
            <w:r>
              <w:rPr>
                <w:b/>
                <w:color w:val="145A32"/>
                <w:sz w:val="17"/>
                <w:szCs w:val="17"/>
              </w:rPr>
              <w:t xml:space="preserve">→ Écrire : « Une compression, une croissance rapide ou des symptômes B accélèrent l'exploration. »</w:t>
            </w:r>
          </w:p>
        </w:tc>
        <w:tc>
          <w:tcPr>
            <w:tcW w:w="1800" w:type="dxa"/>
            <w:vAlign w:val="top"/>
          </w:tcPr>
          <w:p>
            <w:pPr>
              <w:spacing w:after="0"/>
            </w:pPr>
            <w:r>
              <w:rPr>
                <w:sz w:val="17"/>
                <w:szCs w:val="17"/>
              </w:rPr>
              <w:t xml:space="preserve">Grammaire française (accord avec des sujets coordonnés par « ou »)</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L2-L61</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LOT_2_V6_Enrichi_8plus_Partie_1_Integral.html</w:t>
            </w:r>
          </w:p>
        </w:tc>
        <w:tc>
          <w:tcPr>
            <w:tcW w:w="2350" w:type="dxa"/>
            <w:vAlign w:val="top"/>
          </w:tcPr>
          <w:p>
            <w:pPr>
              <w:spacing w:after="0"/>
            </w:pPr>
            <w:r>
              <w:rPr>
                <w:sz w:val="17"/>
                <w:szCs w:val="17"/>
              </w:rPr>
              <w:t xml:space="preserve">D2.1 › point 5 Anamnèse</w:t>
            </w:r>
          </w:p>
        </w:tc>
        <w:tc>
          <w:tcPr>
            <w:tcW w:w="2600" w:type="dxa"/>
            <w:vAlign w:val="top"/>
          </w:tcPr>
          <w:p>
            <w:pPr>
              <w:spacing w:after="0"/>
            </w:pPr>
            <w:r>
              <w:rPr>
                <w:i/>
                <w:sz w:val="17"/>
                <w:szCs w:val="17"/>
              </w:rPr>
              <w:t xml:space="preserve">« Une persistance, une croissance ou des signes généraux constitue une alarme. »</w:t>
            </w:r>
          </w:p>
        </w:tc>
        <w:tc>
          <w:tcPr>
            <w:tcW w:w="3000" w:type="dxa"/>
            <w:vAlign w:val="top"/>
          </w:tcPr>
          <w:p>
            <w:pPr>
              <w:spacing w:after="40"/>
            </w:pPr>
            <w:r>
              <w:rPr>
                <w:sz w:val="17"/>
                <w:szCs w:val="17"/>
              </w:rPr>
              <w:t xml:space="preserve">Le verbe s'accorde à tort au singulier avec un dernier sujet pluriel.</w:t>
            </w:r>
          </w:p>
          <w:p>
            <w:pPr>
              <w:spacing w:after="0"/>
            </w:pPr>
            <w:r>
              <w:rPr>
                <w:b/>
                <w:color w:val="145A32"/>
                <w:sz w:val="17"/>
                <w:szCs w:val="17"/>
              </w:rPr>
              <w:t xml:space="preserve">→ Écrire : « Une persistance, une croissance ou des signes généraux constituent une alarme. »</w:t>
            </w:r>
          </w:p>
        </w:tc>
        <w:tc>
          <w:tcPr>
            <w:tcW w:w="1800" w:type="dxa"/>
            <w:vAlign w:val="top"/>
          </w:tcPr>
          <w:p>
            <w:pPr>
              <w:spacing w:after="0"/>
            </w:pPr>
            <w:r>
              <w:rPr>
                <w:sz w:val="17"/>
                <w:szCs w:val="17"/>
              </w:rPr>
              <w:t xml:space="preserve">Grammaire française (accord avec des sujets coordonnés par « ou »)</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L2-L62</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LOT_2_V6_Enrichi_8plus_Partie_1_Integral.html</w:t>
            </w:r>
          </w:p>
        </w:tc>
        <w:tc>
          <w:tcPr>
            <w:tcW w:w="2350" w:type="dxa"/>
            <w:vAlign w:val="top"/>
          </w:tcPr>
          <w:p>
            <w:pPr>
              <w:spacing w:after="0"/>
            </w:pPr>
            <w:r>
              <w:rPr>
                <w:sz w:val="17"/>
                <w:szCs w:val="17"/>
              </w:rPr>
              <w:t xml:space="preserve">D2.5 › point 5 Anamnèse (2 occurrences identiques : D2.5 et D2.8 › point 5)</w:t>
            </w:r>
          </w:p>
        </w:tc>
        <w:tc>
          <w:tcPr>
            <w:tcW w:w="2600" w:type="dxa"/>
            <w:vAlign w:val="top"/>
          </w:tcPr>
          <w:p>
            <w:pPr>
              <w:spacing w:after="0"/>
            </w:pPr>
            <w:r>
              <w:rPr>
                <w:i/>
                <w:sz w:val="17"/>
                <w:szCs w:val="17"/>
              </w:rPr>
              <w:t xml:space="preserve">« lorsque l'urgence permet de l'obtenir. 5. Anamnèse et drapeaux rouges Le médecin demande la croissance, les signes généraux et les antécédents immunitaires. »</w:t>
            </w:r>
          </w:p>
        </w:tc>
        <w:tc>
          <w:tcPr>
            <w:tcW w:w="3000" w:type="dxa"/>
            <w:vAlign w:val="top"/>
          </w:tcPr>
          <w:p>
            <w:pPr>
              <w:spacing w:after="40"/>
            </w:pPr>
            <w:r>
              <w:rPr>
                <w:sz w:val="17"/>
                <w:szCs w:val="17"/>
              </w:rPr>
              <w:t xml:space="preserve">La phrase qui suit cet extrait (« Une compression, une cytopénie grave ou des signes de lyse constitue une alarme. ») accorde à tort le verbe au singulier avec un dernier sujet pluriel.</w:t>
            </w:r>
          </w:p>
          <w:p>
            <w:pPr>
              <w:spacing w:after="0"/>
            </w:pPr>
            <w:r>
              <w:rPr>
                <w:b/>
                <w:color w:val="145A32"/>
                <w:sz w:val="17"/>
                <w:szCs w:val="17"/>
              </w:rPr>
              <w:t xml:space="preserve">→ Écrire : « Une compression, une cytopénie grave ou des signes de lyse constituent une alarme. »</w:t>
            </w:r>
          </w:p>
        </w:tc>
        <w:tc>
          <w:tcPr>
            <w:tcW w:w="1800" w:type="dxa"/>
            <w:vAlign w:val="top"/>
          </w:tcPr>
          <w:p>
            <w:pPr>
              <w:spacing w:after="0"/>
            </w:pPr>
            <w:r>
              <w:rPr>
                <w:sz w:val="17"/>
                <w:szCs w:val="17"/>
              </w:rPr>
              <w:t xml:space="preserve">Grammaire française (accord avec des sujets coordonnés par « ou »)</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L2-L63</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LOT_2_V6_Enrichi_8plus_Partie_1_Integral.html</w:t>
            </w:r>
          </w:p>
        </w:tc>
        <w:tc>
          <w:tcPr>
            <w:tcW w:w="2350" w:type="dxa"/>
            <w:vAlign w:val="top"/>
          </w:tcPr>
          <w:p>
            <w:pPr>
              <w:spacing w:after="0"/>
            </w:pPr>
            <w:r>
              <w:rPr>
                <w:sz w:val="17"/>
                <w:szCs w:val="17"/>
              </w:rPr>
              <w:t xml:space="preserve">Points 11.A (5 occurrences ; première : SSP › point 11.A)</w:t>
            </w:r>
          </w:p>
        </w:tc>
        <w:tc>
          <w:tcPr>
            <w:tcW w:w="2600" w:type="dxa"/>
            <w:vAlign w:val="top"/>
          </w:tcPr>
          <w:p>
            <w:pPr>
              <w:spacing w:after="0"/>
            </w:pPr>
            <w:r>
              <w:rPr>
                <w:i/>
                <w:sz w:val="17"/>
                <w:szCs w:val="17"/>
              </w:rPr>
              <w:t xml:space="preserve">« Le traitement vise à identifier la nature de la masse et traiter les causes qui le nécessitent. »</w:t>
            </w:r>
          </w:p>
        </w:tc>
        <w:tc>
          <w:tcPr>
            <w:tcW w:w="3000" w:type="dxa"/>
            <w:vAlign w:val="top"/>
          </w:tcPr>
          <w:p>
            <w:pPr>
              <w:spacing w:after="40"/>
            </w:pPr>
            <w:r>
              <w:rPr>
                <w:sz w:val="17"/>
                <w:szCs w:val="17"/>
              </w:rPr>
              <w:t xml:space="preserve">La préposition « à » n'est pas répétée devant le second infinitif coordonné (même faute en D2.1, D2.4, D2.10 et D2.3).</w:t>
            </w:r>
          </w:p>
          <w:p>
            <w:pPr>
              <w:spacing w:after="0"/>
            </w:pPr>
            <w:r>
              <w:rPr>
                <w:b/>
                <w:color w:val="145A32"/>
                <w:sz w:val="17"/>
                <w:szCs w:val="17"/>
              </w:rPr>
              <w:t xml:space="preserve">→ Écrire : « Le traitement vise à identifier la nature de la masse et à traiter les causes qui l'exigent. »</w:t>
            </w:r>
          </w:p>
        </w:tc>
        <w:tc>
          <w:tcPr>
            <w:tcW w:w="1800" w:type="dxa"/>
            <w:vAlign w:val="top"/>
          </w:tcPr>
          <w:p>
            <w:pPr>
              <w:spacing w:after="0"/>
            </w:pPr>
            <w:r>
              <w:rPr>
                <w:sz w:val="17"/>
                <w:szCs w:val="17"/>
              </w:rPr>
              <w:t xml:space="preserve">Grammaire française (répétition de la préposition devant des infinitifs coordonnés)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L2-L64</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LOT_2_V6_Enrichi_8plus_Partie_1_Integral.html</w:t>
            </w:r>
          </w:p>
        </w:tc>
        <w:tc>
          <w:tcPr>
            <w:tcW w:w="2350" w:type="dxa"/>
            <w:vAlign w:val="top"/>
          </w:tcPr>
          <w:p>
            <w:pPr>
              <w:spacing w:after="0"/>
            </w:pPr>
            <w:r>
              <w:rPr>
                <w:sz w:val="17"/>
                <w:szCs w:val="17"/>
              </w:rPr>
              <w:t xml:space="preserve">Toutes les monographies › intitulés des points (11 × 14 occurrences ; première : SSP › point 1)</w:t>
            </w:r>
          </w:p>
        </w:tc>
        <w:tc>
          <w:tcPr>
            <w:tcW w:w="2600" w:type="dxa"/>
            <w:vAlign w:val="top"/>
          </w:tcPr>
          <w:p>
            <w:pPr>
              <w:spacing w:after="0"/>
            </w:pPr>
            <w:r>
              <w:rPr>
                <w:i/>
                <w:sz w:val="17"/>
                <w:szCs w:val="17"/>
              </w:rPr>
              <w:t xml:space="preserve">« 1. Définition Une tuméfaction est un gonflement localisé et une adénopathie est un ganglion anormal. »</w:t>
            </w:r>
          </w:p>
        </w:tc>
        <w:tc>
          <w:tcPr>
            <w:tcW w:w="3000" w:type="dxa"/>
            <w:vAlign w:val="top"/>
          </w:tcPr>
          <w:p>
            <w:pPr>
              <w:spacing w:after="40"/>
            </w:pPr>
            <w:r>
              <w:rPr>
                <w:sz w:val="17"/>
                <w:szCs w:val="17"/>
              </w:rPr>
              <w:t xml:space="preserve">Les intitulés des points sont tronqués (« 1. Définition », « 8. Critères », « 9. Examens ») au lieu des titres canoniques, et la définition du SSP ne vient d'aucune source médicale.</w:t>
            </w:r>
          </w:p>
          <w:p>
            <w:pPr>
              <w:spacing w:after="0"/>
            </w:pPr>
            <w:r>
              <w:rPr>
                <w:b/>
                <w:color w:val="145A32"/>
                <w:sz w:val="17"/>
                <w:szCs w:val="17"/>
              </w:rPr>
              <w:t xml:space="preserve">→ Rétablir les 14 titres canoniques (« 1. Définition et sémantique de la plainte », etc.) et sourcer la définition [Sn].</w:t>
            </w:r>
          </w:p>
        </w:tc>
        <w:tc>
          <w:tcPr>
            <w:tcW w:w="1800" w:type="dxa"/>
            <w:vAlign w:val="top"/>
          </w:tcPr>
          <w:p>
            <w:pPr>
              <w:spacing w:after="0"/>
            </w:pPr>
            <w:r>
              <w:rPr>
                <w:sz w:val="17"/>
                <w:szCs w:val="17"/>
              </w:rPr>
              <w:t xml:space="preserve">PROMPT_V6 (prompt de base) § 5</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L2-M12</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LOT_2_Appel_A_Plan_et_Liste_Fédéral__export_GoogleDoc.html</w:t>
            </w:r>
          </w:p>
        </w:tc>
        <w:tc>
          <w:tcPr>
            <w:tcW w:w="2350" w:type="dxa"/>
            <w:vAlign w:val="top"/>
          </w:tcPr>
          <w:p>
            <w:pPr>
              <w:spacing w:after="0"/>
            </w:pPr>
            <w:r>
              <w:rPr>
                <w:sz w:val="17"/>
                <w:szCs w:val="17"/>
              </w:rPr>
              <w:t xml:space="preserve">Bloc 1 › point 14 Pièges</w:t>
            </w:r>
          </w:p>
        </w:tc>
        <w:tc>
          <w:tcPr>
            <w:tcW w:w="2600" w:type="dxa"/>
            <w:vAlign w:val="top"/>
          </w:tcPr>
          <w:p>
            <w:pPr>
              <w:spacing w:after="0"/>
            </w:pPr>
            <w:r>
              <w:rPr>
                <w:i/>
                <w:sz w:val="17"/>
                <w:szCs w:val="17"/>
              </w:rPr>
              <w:t xml:space="preserve">« cet examen détruit l'architecture tissulaire indispensable à l'hématopathologiste »</w:t>
            </w:r>
          </w:p>
        </w:tc>
        <w:tc>
          <w:tcPr>
            <w:tcW w:w="3000" w:type="dxa"/>
            <w:vAlign w:val="top"/>
          </w:tcPr>
          <w:p>
            <w:pPr>
              <w:spacing w:after="40"/>
            </w:pPr>
            <w:r>
              <w:rPr>
                <w:sz w:val="17"/>
                <w:szCs w:val="17"/>
              </w:rPr>
              <w:t xml:space="preserve">La cytoponction ne « détruit » pas l'architecture ganglionnaire : elle ne la prélève pas, car elle n'aspire que des cellules dissociées.</w:t>
            </w:r>
          </w:p>
          <w:p>
            <w:pPr>
              <w:spacing w:after="0"/>
            </w:pPr>
            <w:r>
              <w:rPr>
                <w:b/>
                <w:color w:val="145A32"/>
                <w:sz w:val="17"/>
                <w:szCs w:val="17"/>
              </w:rPr>
              <w:t xml:space="preserve">→ Écrire : « cet examen ne recueille que des cellules dissociées et ne fournit pas l'architecture tissulaire indispensable à l'hématopathologiste ».</w:t>
            </w:r>
          </w:p>
        </w:tc>
        <w:tc>
          <w:tcPr>
            <w:tcW w:w="1800" w:type="dxa"/>
            <w:vAlign w:val="top"/>
          </w:tcPr>
          <w:p>
            <w:pPr>
              <w:spacing w:after="0"/>
            </w:pPr>
            <w:r>
              <w:rPr>
                <w:sz w:val="17"/>
                <w:szCs w:val="17"/>
              </w:rPr>
              <w:t xml:space="preserve">Formulation à rectifier sur le fond terminologique ; cohérent avec V6 D2.5 point 9 (« Une cytoponction seule ne permet généralement pas une classification complète »).</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L2-M16</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LOT_2_Appel_B_V4_Argon_Partie_1_D2.1_a_D2.2__export_GoogleDoc.html</w:t>
            </w:r>
          </w:p>
        </w:tc>
        <w:tc>
          <w:tcPr>
            <w:tcW w:w="2350" w:type="dxa"/>
            <w:vAlign w:val="top"/>
          </w:tcPr>
          <w:p>
            <w:pPr>
              <w:spacing w:after="0"/>
            </w:pPr>
            <w:r>
              <w:rPr>
                <w:sz w:val="17"/>
                <w:szCs w:val="17"/>
              </w:rPr>
              <w:t xml:space="preserve">D2.2 › point 14 Pièges</w:t>
            </w:r>
          </w:p>
        </w:tc>
        <w:tc>
          <w:tcPr>
            <w:tcW w:w="2600" w:type="dxa"/>
            <w:vAlign w:val="top"/>
          </w:tcPr>
          <w:p>
            <w:pPr>
              <w:spacing w:after="0"/>
            </w:pPr>
            <w:r>
              <w:rPr>
                <w:i/>
                <w:sz w:val="17"/>
                <w:szCs w:val="17"/>
              </w:rPr>
              <w:t xml:space="preserve">« il faut réaliser une anesthésie en bague à distance »</w:t>
            </w:r>
          </w:p>
        </w:tc>
        <w:tc>
          <w:tcPr>
            <w:tcW w:w="3000" w:type="dxa"/>
            <w:vAlign w:val="top"/>
          </w:tcPr>
          <w:p>
            <w:pPr>
              <w:spacing w:after="40"/>
            </w:pPr>
            <w:r>
              <w:rPr>
                <w:sz w:val="17"/>
                <w:szCs w:val="17"/>
              </w:rPr>
              <w:t xml:space="preserve">L'« anesthésie en bague » désigne le bloc digital ; pour un kyste du tronc ou du visage, la technique correcte est une infiltration périlésionnelle à distance (bloc de champ).</w:t>
            </w:r>
          </w:p>
          <w:p>
            <w:pPr>
              <w:spacing w:after="0"/>
            </w:pPr>
            <w:r>
              <w:rPr>
                <w:b/>
                <w:color w:val="145A32"/>
                <w:sz w:val="17"/>
                <w:szCs w:val="17"/>
              </w:rPr>
              <w:t xml:space="preserve">→ Écrire « il faut réaliser une infiltration en bloc de champ à distance de la collection ».</w:t>
            </w:r>
          </w:p>
        </w:tc>
        <w:tc>
          <w:tcPr>
            <w:tcW w:w="1800" w:type="dxa"/>
            <w:vAlign w:val="top"/>
          </w:tcPr>
          <w:p>
            <w:pPr>
              <w:spacing w:after="0"/>
            </w:pPr>
            <w:r>
              <w:rPr>
                <w:sz w:val="17"/>
                <w:szCs w:val="17"/>
              </w:rPr>
              <w:t xml:space="preserve">Terminologie d'anesthésie locale ; correction sans incidence posologique.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L2-M23</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LOT_2_Appel_B_V4_Argon_Partie_3_D2.6_a_D2.7__export_GoogleDoc.html</w:t>
            </w:r>
          </w:p>
        </w:tc>
        <w:tc>
          <w:tcPr>
            <w:tcW w:w="2350" w:type="dxa"/>
            <w:vAlign w:val="top"/>
          </w:tcPr>
          <w:p>
            <w:pPr>
              <w:spacing w:after="0"/>
            </w:pPr>
            <w:r>
              <w:rPr>
                <w:sz w:val="17"/>
                <w:szCs w:val="17"/>
              </w:rPr>
              <w:t xml:space="preserve">D2.7 › point 11.B › antiémétiques</w:t>
            </w:r>
          </w:p>
        </w:tc>
        <w:tc>
          <w:tcPr>
            <w:tcW w:w="2600" w:type="dxa"/>
            <w:vAlign w:val="top"/>
          </w:tcPr>
          <w:p>
            <w:pPr>
              <w:spacing w:after="0"/>
            </w:pPr>
            <w:r>
              <w:rPr>
                <w:i/>
                <w:sz w:val="17"/>
                <w:szCs w:val="17"/>
              </w:rPr>
              <w:t xml:space="preserve">« Ondanstron Zofran® »</w:t>
            </w:r>
          </w:p>
        </w:tc>
        <w:tc>
          <w:tcPr>
            <w:tcW w:w="3000" w:type="dxa"/>
            <w:vAlign w:val="top"/>
          </w:tcPr>
          <w:p>
            <w:pPr>
              <w:spacing w:after="40"/>
            </w:pPr>
            <w:r>
              <w:rPr>
                <w:sz w:val="17"/>
                <w:szCs w:val="17"/>
              </w:rPr>
              <w:t xml:space="preserve">La DCI est mal orthographiée.</w:t>
            </w:r>
          </w:p>
          <w:p>
            <w:pPr>
              <w:spacing w:after="0"/>
            </w:pPr>
            <w:r>
              <w:rPr>
                <w:b/>
                <w:color w:val="145A32"/>
                <w:sz w:val="17"/>
                <w:szCs w:val="17"/>
              </w:rPr>
              <w:t xml:space="preserve">→ Écrire « Ondansétron (Zofran®) ».</w:t>
            </w:r>
          </w:p>
        </w:tc>
        <w:tc>
          <w:tcPr>
            <w:tcW w:w="1800" w:type="dxa"/>
            <w:vAlign w:val="top"/>
          </w:tcPr>
          <w:p>
            <w:pPr>
              <w:spacing w:after="0"/>
            </w:pPr>
            <w:r>
              <w:rPr>
                <w:sz w:val="17"/>
                <w:szCs w:val="17"/>
              </w:rPr>
              <w:t xml:space="preserve">DCI officielle : ondansétron.</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L2-M27</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LOT_2_Appel_B_V4_Argon_Partie_4_D2.8_a_D2.10__export_GoogleDoc.html</w:t>
            </w:r>
          </w:p>
        </w:tc>
        <w:tc>
          <w:tcPr>
            <w:tcW w:w="2350" w:type="dxa"/>
            <w:vAlign w:val="top"/>
          </w:tcPr>
          <w:p>
            <w:pPr>
              <w:spacing w:after="0"/>
            </w:pPr>
            <w:r>
              <w:rPr>
                <w:sz w:val="17"/>
                <w:szCs w:val="17"/>
              </w:rPr>
              <w:t xml:space="preserve">D2.8 › point 5 Anamnèse</w:t>
            </w:r>
          </w:p>
        </w:tc>
        <w:tc>
          <w:tcPr>
            <w:tcW w:w="2600" w:type="dxa"/>
            <w:vAlign w:val="top"/>
          </w:tcPr>
          <w:p>
            <w:pPr>
              <w:spacing w:after="0"/>
            </w:pPr>
            <w:r>
              <w:rPr>
                <w:i/>
                <w:sz w:val="17"/>
                <w:szCs w:val="17"/>
              </w:rPr>
              <w:t xml:space="preserve">« la pathognomonique Douleur ganglionnaire induite par l'alcool »</w:t>
            </w:r>
          </w:p>
        </w:tc>
        <w:tc>
          <w:tcPr>
            <w:tcW w:w="3000" w:type="dxa"/>
            <w:vAlign w:val="top"/>
          </w:tcPr>
          <w:p>
            <w:pPr>
              <w:spacing w:after="40"/>
            </w:pPr>
            <w:r>
              <w:rPr>
                <w:sz w:val="17"/>
                <w:szCs w:val="17"/>
              </w:rPr>
              <w:t xml:space="preserve">La douleur ganglionnaire à l'alcool est un signe rare et évocateur du lymphome de Hodgkin, mais pas pathognomonique.</w:t>
            </w:r>
          </w:p>
          <w:p>
            <w:pPr>
              <w:spacing w:after="0"/>
            </w:pPr>
            <w:r>
              <w:rPr>
                <w:b/>
                <w:color w:val="145A32"/>
                <w:sz w:val="17"/>
                <w:szCs w:val="17"/>
              </w:rPr>
              <w:t xml:space="preserve">→ Remplacer « pathognomonique » par « rare mais évocatrice ».</w:t>
            </w:r>
          </w:p>
        </w:tc>
        <w:tc>
          <w:tcPr>
            <w:tcW w:w="1800" w:type="dxa"/>
            <w:vAlign w:val="top"/>
          </w:tcPr>
          <w:p>
            <w:pPr>
              <w:spacing w:after="0"/>
            </w:pPr>
            <w:r>
              <w:rPr>
                <w:sz w:val="17"/>
                <w:szCs w:val="17"/>
              </w:rPr>
              <w:t xml:space="preserve">Donnée non trouvée dans les sources consultées pour une spécificité de 100 %.</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L2-M33</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LOT_2_Appel_B_V4_Argon_Partie_4_D2.8_a_D2.10__export_GoogleDoc.html</w:t>
            </w:r>
          </w:p>
        </w:tc>
        <w:tc>
          <w:tcPr>
            <w:tcW w:w="2350" w:type="dxa"/>
            <w:vAlign w:val="top"/>
          </w:tcPr>
          <w:p>
            <w:pPr>
              <w:spacing w:after="0"/>
            </w:pPr>
            <w:r>
              <w:rPr>
                <w:sz w:val="17"/>
                <w:szCs w:val="17"/>
              </w:rPr>
              <w:t xml:space="preserve">D2.10 › point 14 Pièges</w:t>
            </w:r>
          </w:p>
        </w:tc>
        <w:tc>
          <w:tcPr>
            <w:tcW w:w="2600" w:type="dxa"/>
            <w:vAlign w:val="top"/>
          </w:tcPr>
          <w:p>
            <w:pPr>
              <w:spacing w:after="0"/>
            </w:pPr>
            <w:r>
              <w:rPr>
                <w:i/>
                <w:sz w:val="17"/>
                <w:szCs w:val="17"/>
              </w:rPr>
              <w:t xml:space="preserve">« Deux erreurs sont éliminatoires à l'examen fédéral »</w:t>
            </w:r>
          </w:p>
        </w:tc>
        <w:tc>
          <w:tcPr>
            <w:tcW w:w="3000" w:type="dxa"/>
            <w:vAlign w:val="top"/>
          </w:tcPr>
          <w:p>
            <w:pPr>
              <w:spacing w:after="40"/>
            </w:pPr>
            <w:r>
              <w:rPr>
                <w:sz w:val="17"/>
                <w:szCs w:val="17"/>
              </w:rPr>
              <w:t xml:space="preserve">Le caractère « éliminatoire » à l'examen fédéral n'est pas sourcé, et l'affirmation que le test rapide capillaire ne détecte que les anticorps ignore l'existence de tests rapides de 4e génération.</w:t>
            </w:r>
          </w:p>
          <w:p>
            <w:pPr>
              <w:spacing w:after="0"/>
            </w:pPr>
            <w:r>
              <w:rPr>
                <w:b/>
                <w:color w:val="145A32"/>
                <w:sz w:val="17"/>
                <w:szCs w:val="17"/>
              </w:rPr>
              <w:t xml:space="preserve">→ Écrire « Deux erreurs sont fréquentes et dangereuses » et préciser « un test rapide de 3e génération, qui ne détecte que les anticorps ».</w:t>
            </w:r>
          </w:p>
        </w:tc>
        <w:tc>
          <w:tcPr>
            <w:tcW w:w="1800" w:type="dxa"/>
            <w:vAlign w:val="top"/>
          </w:tcPr>
          <w:p>
            <w:pPr>
              <w:spacing w:after="0"/>
            </w:pPr>
            <w:r>
              <w:rPr>
                <w:sz w:val="17"/>
                <w:szCs w:val="17"/>
              </w:rPr>
              <w:t xml:space="preserve">Donnée non trouvée dans les sources consultées.</w:t>
            </w:r>
          </w:p>
        </w:tc>
      </w:tr>
    </w:tbl>
    <w:p>
      <w:pPr>
        <w:spacing w:after="120"/>
      </w:pPr>
    </w:p>
    <w:p>
      <w:pPr>
        <w:pStyle w:val="Titre1"/>
        <w:keepNext/>
      </w:pPr>
      <w:r>
        <w:rPr>
          <w:b/>
          <w:color w:val="1A5276"/>
          <w:sz w:val="26"/>
          <w:szCs w:val="26"/>
        </w:rPr>
        <w:t xml:space="preserve">Rapport d'audit médical</w:t>
      </w:r>
    </w:p>
    <w:p>
      <w:pPr>
        <w:spacing w:after="100"/>
        <w:jc w:val="both"/>
      </w:pPr>
      <w:r>
        <w:rPr>
          <w:sz w:val="19"/>
          <w:szCs w:val="19"/>
        </w:rPr>
        <w:t xml:space="preserve">Le présent audit médical porte sur les six fichiers du LOT_2 (SSP G2, tuméfaction, tumeur et adénopathie) : l'Appel A, les quatre Parties de l'Appel B en version V4 « Argon » et la version « V6 Enrichi Partie 1 Intégral », qui reprend l'Appel A et les dix DX. Les cinq fichiers V4 et l'Appel A sont des exports de Google Docs, ce qui viole d'emblée la règle 0 du prompt, et le lot contient deux versions concurrentes de chaque monographie sans version V6 des Parties 2 à 4.</w:t>
      </w:r>
    </w:p>
    <w:p>
      <w:pPr>
        <w:spacing w:after="100"/>
        <w:jc w:val="both"/>
      </w:pPr>
      <w:r>
        <w:rPr>
          <w:sz w:val="19"/>
          <w:szCs w:val="19"/>
        </w:rPr>
        <w:t xml:space="preserve">Pour l'Appel A, j'ai lu l'original Drive (fileId 142KylYBj8p1Q8HSGQBT5sC4fq9sv_AsdbNun1BK3L9g) et je l'ai comparé mot à mot avec le clone transcrit. Le texte est identique, aux seuls espaces de balisage près ; la seule différence de structure concerne les 19 liens « fenêtres » : ils pointent tous vers un même signet, absent du clone, de sorte qu'aucune fenêtre explicative n'existe réellement. J'ai vérifié chaque extrait par programme sur le texte débalisé, puis j'ai contrôlé les affirmations contestées dans des sources suisses (Swissmedic, OFSP, données compendium via ch.oddb.org) et européennes (EACS, étude néerlandaise de Fijten, recommandations britanniques).</w:t>
      </w:r>
    </w:p>
    <w:p>
      <w:pPr>
        <w:spacing w:after="100"/>
        <w:jc w:val="both"/>
      </w:pPr>
      <w:r>
        <w:rPr>
          <w:sz w:val="19"/>
          <w:szCs w:val="19"/>
        </w:rPr>
        <w:t xml:space="preserve">La version V4 a une réelle richesse clinique : les doses du R-CHOP, de l'ABVD, de l'azithromycine, de l'amoxicilline/acide clavulanique et du cotrimoxazole prophylactique sont exactes, de même que les seuils de lyse tumorale de Cairo-Bishop, les seuils d'hépatotoxicité des antituberculeux, les critères de Deauville et l'IPI. Les messages de sécurité importants y figurent aussi : plafonnement de la vincristine à 2 mg, produits sanguins irradiés dans le lymphome de Hodgkin, prélèvement mycobactérien non fixé, et interdiction de l'exérèse non planifiée d'un sarcome. La version V6, à l'inverse, est prudente et juste dans ses formulations, mais elle ne contient plus aucun chiffre, aucune spécialité ni aucune dose.</w:t>
      </w:r>
    </w:p>
    <w:p>
      <w:pPr>
        <w:spacing w:after="100"/>
        <w:jc w:val="both"/>
      </w:pPr>
      <w:r>
        <w:rPr>
          <w:sz w:val="19"/>
          <w:szCs w:val="19"/>
        </w:rPr>
        <w:t xml:space="preserve">Les faiblesses majeures portent sur les sources et sur la cohérence. Les dix badges de fréquence, qui totalisent exactement 100 %, et l'affirmation d'une malignité de 40 % chez le sujet âgé ne s'appuient sur aucune source vérifiable et contredisent les données européennes de premier recours (environ 1 % de malignité, environ 4 % après 40 ans). Plusieurs critères sont attribués à des sociétés suisses sans référence. L'Appel A recommande une exérèse chirurgicale d'emblée et réserve la cytoponction aux récidives, alors que la monographie D2.7 du même lot qualifie ce geste d'erreur majeure. La liste DX omet les leucémies, les sarcomes et les tuméfactions non ganglionnaires fréquentes.</w:t>
      </w:r>
    </w:p>
    <w:p>
      <w:pPr>
        <w:spacing w:after="100"/>
        <w:jc w:val="both"/>
      </w:pPr>
      <w:r>
        <w:rPr>
          <w:sz w:val="19"/>
          <w:szCs w:val="19"/>
        </w:rPr>
        <w:t xml:space="preserve">Plusieurs erreurs pharmacologiques ou factuelles doivent être corrigées. Spiricort® est attribué à la prednisone alors qu'il contient de la prednisolone (5 occurrences). Kymriah® est présenté comme une CAR-T de 2e ligne, ce qu'il n'est pas en Suisse. La concentration de Rapidocain® avec adrénaline est fausse, Oncovin® n'est plus autorisé et Benadon® 40 mg n'existe pas. Les comparateurs des essais S1826 et HD21 sont inexacts, l'efzofitimod est mal nommé et présenté comme prometteur alors que sa phase III a échoué, et certaines valeurs ont disparu parce qu'elles étaient rendues en images.</w:t>
      </w:r>
    </w:p>
    <w:p>
      <w:pPr>
        <w:spacing w:after="100"/>
        <w:jc w:val="both"/>
      </w:pPr>
      <w:r>
        <w:rPr>
          <w:sz w:val="19"/>
          <w:szCs w:val="19"/>
        </w:rPr>
        <w:t xml:space="preserve">Le risque principal pour le patient tient au point 14 de D2.10 : il associe la posologie prophylactique du cotrimoxazole au « traitement » de la pneumocystose, ce qui pourrait conduire à sous-traiter une infection mortelle (constat Critique). Pour l'étudiant, les risques sont des conduites contradictoires face à une masse cervicale de l'adulte, des fréquences inventées apprises comme vraies, et une version V6 qui contamine D2.4 et D2.7 par du contenu d'un autre SSP (mycoses, fièvre et neutropénie).</w:t>
      </w:r>
    </w:p>
    <w:p>
      <w:pPr>
        <w:spacing w:after="100"/>
        <w:jc w:val="both"/>
      </w:pPr>
      <w:r>
        <w:rPr>
          <w:sz w:val="19"/>
          <w:szCs w:val="19"/>
        </w:rPr>
        <w:t xml:space="preserve">Je propose l'ordre de correction suivant : 1) rectifier immédiatement le passage sur le cotrimoxazole ; 2) aligner l'Appel A (points 9 et 10) sur la conduite ORL de D2.7 et compléter la liste DX ; 3) supprimer les badges et les chiffres non sourcés, puis rédiger une section Sources [Sn] réelle et datée ; 4) corriger les spécialités suisses d'après l'AIPS (Spiricort®, Kymriah®, Rapidocain®, Oncovin®, Benadon® et spécialités oncologiques) ; 5) fusionner en une seule version HTML V6, fondée sur le contenu chiffré de la V4 corrigée et débarrassée des insertions hors sujet, avec fenêtres &lt;details&gt;, tableaux d'interprétation et sans attribut title=.</w:t>
      </w:r>
    </w:p>
    <w:p>
      <w:pPr>
        <w:pStyle w:val="Titre1"/>
        <w:keepNext/>
      </w:pPr>
      <w:r>
        <w:rPr>
          <w:b/>
          <w:color w:val="1A5276"/>
          <w:sz w:val="26"/>
          <w:szCs w:val="26"/>
        </w:rPr>
        <w:t xml:space="preserve">Rapport d'audit linguistique</w:t>
      </w:r>
    </w:p>
    <w:p>
      <w:pPr>
        <w:spacing w:after="100"/>
        <w:jc w:val="both"/>
      </w:pPr>
      <w:r>
        <w:rPr>
          <w:sz w:val="19"/>
          <w:szCs w:val="19"/>
        </w:rPr>
        <w:t xml:space="preserve">L'audit porte sur les six fichiers du LOT_2 (SSP G2, tuméfaction, tumeur, adénopathie) : l'Appel A, quatre Parties de l'Appel B en version V4 Argon et un fichier V6 « Enrichi_8plus_Partie_1_Integral » qui reprend le SSP et les dix DX. Cinq de ces six fichiers sont des Google Docs exportés ; seul le fichier V6 est un HTML natif. Pour l'Appel A, l'auditeur a lu le texte original dans Google Drive (fileId 142KylYBj8p1Q8HSGQBT5sC4fq9sv_AsdbNun1BK3L9g) et en a tiré toutes les citations ; une comparaison mot à mot n'a montré aucun écart avec le clone local retranscrit.</w:t>
      </w:r>
    </w:p>
    <w:p>
      <w:pPr>
        <w:spacing w:after="100"/>
        <w:jc w:val="both"/>
      </w:pPr>
      <w:r>
        <w:rPr>
          <w:sz w:val="19"/>
          <w:szCs w:val="19"/>
        </w:rPr>
        <w:t xml:space="preserve">La méthode a suivi le prompt de base V6 : inventaire et repérage des versions, contrôle de la conformité au format et au plan en 14 points, relecture phrase par phrase de la langue, puis vérification ciblée des affirmations contestées dans des sources suisses (Swiss Medical Weekly 2024, information professionnelle suisse de Spiricort®) ou européennes (EACS). Chaque extrait a été vérifié par script : il figure une seule fois dans le texte visible du fichier, espaces normalisés, et compte 25 mots au plus. L'auditeur n'a modifié aucun fichier.</w:t>
      </w:r>
    </w:p>
    <w:p>
      <w:pPr>
        <w:spacing w:after="100"/>
        <w:jc w:val="both"/>
      </w:pPr>
      <w:r>
        <w:rPr>
          <w:sz w:val="19"/>
          <w:szCs w:val="19"/>
        </w:rPr>
        <w:t xml:space="preserve">Les Parties V4 ont des forces réelles : le plan en 14 points est presque toujours présent, les sous-parties 11.A à 11.D figurent, les protocoles (R-CHOP, ABVD, quadrithérapie antituberculeuse, Biktarvy®) sont détaillés et les pièges d'examen sont pertinents. La V6 a, quant à elle, une langue correcte, des phrases verbales courtes et une prudence explicite envers les chiffres non vérifiés, avec un renvoi systématique au fichier HELP.</w:t>
      </w:r>
    </w:p>
    <w:p>
      <w:pPr>
        <w:spacing w:after="100"/>
        <w:jc w:val="both"/>
      </w:pPr>
      <w:r>
        <w:rPr>
          <w:sz w:val="19"/>
          <w:szCs w:val="19"/>
        </w:rPr>
        <w:t xml:space="preserve">Les faiblesses majeures relèvent de la structure et du prompt. Aucun fichier n'est conforme à la règle 0 : les Google Docs ont perdu toutes les fenêtres, et le fichier V6 regroupe le lot entier sous un nom de Partie 1 avec une balise FIN_FICHIER fausse. Aucun fichier ne contient de section Sources [Sn] ni la mention de non-validation. Le Bloc 2 de l'Appel A n'a ni tableau comparatif ni algorithme, et ses pourcentages de fréquence, qui totalisent exactement 100 %, ne sont pas sourcés. Aucun examen ne dispose d'un tableau d'interprétation et la sous-partie 9.c manque partout. La V6 utilise en outre l'attribut title=, interdit, et des lignes de plus de 77 000 caractères.</w:t>
      </w:r>
    </w:p>
    <w:p>
      <w:pPr>
        <w:spacing w:after="100"/>
        <w:jc w:val="both"/>
      </w:pPr>
      <w:r>
        <w:rPr>
          <w:sz w:val="19"/>
          <w:szCs w:val="19"/>
        </w:rPr>
        <w:t xml:space="preserve">Sur le plan linguistique, les Parties V4 multiplient les phrases nominales, surtout dans le format télégraphique « Classe : … Molécule : … Posologie : … » et dans les points 7 et 11.D. Elles accumulent aussi des fautes typographiques récurrentes (« 1ère », « 3x/j », guillemets droits, majuscules intempestives), des anglicismes non expliqués et des résidus de conversion (LaTeX brut, astérisques Markdown, valeur de charge virale disparue). La V6, plus correcte, souffre de répétitions systématiques : le paragraphe « Gold standard » recopie le point 9, le point 13 recopie d'autres points, et des phrases sur les mycoses ont été collées par erreur dans la monographie de la tuberculose. Elle contient enfin quelques fautes d'accord.</w:t>
      </w:r>
    </w:p>
    <w:p>
      <w:pPr>
        <w:spacing w:after="100"/>
        <w:jc w:val="both"/>
      </w:pPr>
      <w:r>
        <w:rPr>
          <w:sz w:val="19"/>
          <w:szCs w:val="19"/>
        </w:rPr>
        <w:t xml:space="preserve">Pour le patient et l'étudiant, le risque principal tient au piège D2.10, qui associe « traiter » la pneumocystose à une dose de prophylaxie : cette confusion peut conduire à sous-traiter une pneumocystose déclarée. Le second risque vient de la spécialité Spiricort®, attribuée à la prednisone alors qu'elle contient de la prednisolone (quatre occurrences). D'autres erreurs faussent l'apprentissage : un risque de malignité de 40 % non sourcé, un seuil de persistance de 4 semaines au lieu de 2, la biopsie excisionnelle présentée comme « unique » examen et un essai sur l'« éfofitamod » présenté comme prometteur alors qu'il a échoué. La V6, trop vague, n'expose pas à des erreurs dangereuses mais ne prépare pas à l'examen fédéral.</w:t>
      </w:r>
    </w:p>
    <w:p>
      <w:pPr>
        <w:spacing w:after="100"/>
        <w:jc w:val="both"/>
      </w:pPr>
      <w:r>
        <w:rPr>
          <w:sz w:val="19"/>
          <w:szCs w:val="19"/>
        </w:rPr>
        <w:t xml:space="preserve">Les priorités de correction sont les suivantes : 1) corriger immédiatement le piège sur le cotrimoxazole et la spécialité Spiricort® ; 2) régénérer les cinq fichiers en HTML5 conforme au gabarit, à raison d'un fichier par Partie, et archiver les doublons ; 3) compléter l'Appel A (tableau comparatif, algorithme, badges de rang, sources) avant toute Partie ; 4) fusionner la richesse factuelle de la V4, vérifiée sur sources, avec la langue verbale de la V6, puis ajouter fenêtres, tableaux d'interprétation, 9.c et sources numérotées ; 5) éliminer les résidus de conversion et les fautes typographiques.</w:t>
      </w:r>
    </w:p>
    <w:p>
      <w:pPr/>
      <w:r>
        <w:rPr>
          <w:i/>
          <w:color w:val="5D6D7E"/>
          <w:sz w:val="16"/>
          <w:szCs w:val="16"/>
        </w:rPr>
        <w:t xml:space="preserve">Audit produit par IA à partir des sources citées ; il ne remplace pas une validation clinique par un médecin.</w:t>
      </w:r>
    </w:p>
    <w:sectPr>
      <w:pgSz w:w="16838" w:h="11906" w:orient="landscape"/>
      <w:pgMar w:top="850" w:right="850" w:bottom="850" w:left="850" w:header="400" w:footer="400" w:gutter="0"/>
    </w:sectPr>
  </w:body>
</w:document>
</file>

<file path=word/styles.xml><?xml version="1.0" encoding="utf-8"?>
<w:styles xmlns:w="http://schemas.openxmlformats.org/wordprocessingml/2006/main">
  <w:docDefaults>
    <w:rPrDefault>
      <w:rPr>
        <w:rFonts w:ascii="Calibri" w:hAnsi="Calibri" w:eastAsia="Calibri" w:cs="Calibri"/>
        <w:sz w:val="20"/>
        <w:lang w:val="fr-CH"/>
      </w:rPr>
    </w:rPrDefault>
    <w:pPrDefault>
      <w:pPr>
        <w:spacing w:after="80" w:line="264" w:lineRule="auto"/>
      </w:pPr>
    </w:pPrDefault>
  </w:docDefaults>
  <w:style w:type="paragraph" w:default="1" w:styleId="Normal">
    <w:name w:val="Normal"/>
  </w:style>
  <w:style w:type="paragraph" w:styleId="Titre1">
    <w:name w:val="heading 1"/>
    <w:basedOn w:val="Normal"/>
    <w:pPr>
      <w:keepNext/>
      <w:spacing w:before="240" w:after="100"/>
      <w:pBdr>
        <w:bottom w:val="single" w:sz="8" w:space="2" w:color="2980B9"/>
      </w:pBdr>
      <w:outlineLvl w:val="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