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8037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D80908D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Quantitative Commentary on OCC Collateral Optimization Challenge</w:t>
      </w:r>
    </w:p>
    <w:p w14:paraId="78365181" w14:textId="77777777" w:rsidR="00E0646B" w:rsidRPr="00E0646B" w:rsidRDefault="00E0646B" w:rsidP="00E064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E1AB70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1. </w:t>
      </w:r>
    </w:p>
    <w:p w14:paraId="2A7ABEFB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Context and Objective</w:t>
      </w:r>
    </w:p>
    <w:p w14:paraId="41FD6E1D" w14:textId="77777777" w:rsidR="00E0646B" w:rsidRPr="00E0646B" w:rsidRDefault="00E0646B" w:rsidP="00E06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Context:</w:t>
      </w:r>
    </w:p>
    <w:p w14:paraId="32761A97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The firm faces increased Initial Margin (IM) requirements at the Options Clearing Corporation (OCC) when the posted collateral is highly correlated with underlying risk exposures.</w:t>
      </w:r>
    </w:p>
    <w:p w14:paraId="77E6D457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OCC’s STANS model penalizes such correlation via its joint simulation of portfolio and collateral values.</w:t>
      </w:r>
    </w:p>
    <w:p w14:paraId="6D6D045D" w14:textId="77777777" w:rsidR="00E0646B" w:rsidRPr="00E0646B" w:rsidRDefault="00E0646B" w:rsidP="00E06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Objective:</w:t>
      </w:r>
    </w:p>
    <w:p w14:paraId="0A4D603F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Develop an automated, model-driven collateral optimization framework that:</w:t>
      </w:r>
    </w:p>
    <w:p w14:paraId="5571F91F" w14:textId="77777777" w:rsidR="00E0646B" w:rsidRPr="00E0646B" w:rsidRDefault="00E0646B" w:rsidP="00E06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Minimizes total funding cost (≈ IM × funding spread).</w:t>
      </w:r>
    </w:p>
    <w:p w14:paraId="106F08DC" w14:textId="77777777" w:rsidR="00E0646B" w:rsidRPr="00E0646B" w:rsidRDefault="00E0646B" w:rsidP="00E06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Systematically allocates optimal collateral across OCC portfolios.</w:t>
      </w:r>
    </w:p>
    <w:p w14:paraId="0EB3974C" w14:textId="77777777" w:rsidR="00E0646B" w:rsidRPr="00E0646B" w:rsidRDefault="00E0646B" w:rsidP="00E064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Integrates with existing position/risk and treasury systems to produce real-time recommendations.</w:t>
      </w:r>
    </w:p>
    <w:p w14:paraId="1ABFFB01" w14:textId="77777777" w:rsidR="00E0646B" w:rsidRPr="00E0646B" w:rsidRDefault="00E0646B" w:rsidP="00E06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646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5DD241" wp14:editId="1157B6D2">
                <wp:extent cx="5943600" cy="1270"/>
                <wp:effectExtent l="0" t="31750" r="0" b="36830"/>
                <wp:docPr id="18844125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D219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0D1846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2. </w:t>
      </w:r>
    </w:p>
    <w:p w14:paraId="5B691723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Quant Framing of the Problem</w:t>
      </w:r>
    </w:p>
    <w:p w14:paraId="69A96E28" w14:textId="77777777" w:rsidR="00E0646B" w:rsidRPr="00E0646B" w:rsidRDefault="00E0646B" w:rsidP="00E064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3E992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Risk-Model Basis</w:t>
      </w:r>
    </w:p>
    <w:p w14:paraId="5F54553D" w14:textId="77777777" w:rsidR="00E0646B" w:rsidRPr="00E0646B" w:rsidRDefault="00E0646B" w:rsidP="00E06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OCC’s STANS computes portfolio IM as a 2-day, 99% Monte-Carlo VaR of net losses:</w:t>
      </w:r>
    </w:p>
    <w:p w14:paraId="4156DEC6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lastRenderedPageBreak/>
        <w:t>L_i = -(\Delta P_i + \Delta C_i)</w:t>
      </w:r>
    </w:p>
    <w:p w14:paraId="3CAD350F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where \Delta P_i = portfolio P&amp;L, \Delta C_i = collateral value change in scenario i.</w:t>
      </w:r>
    </w:p>
    <w:p w14:paraId="5BD96633" w14:textId="77777777" w:rsidR="00E0646B" w:rsidRPr="00E0646B" w:rsidRDefault="00E0646B" w:rsidP="00E06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IM ≈ quantile_{99\%}(L).</w:t>
      </w:r>
    </w:p>
    <w:p w14:paraId="3E32A5FE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 xml:space="preserve">Because </w:t>
      </w:r>
      <w:proofErr w:type="spellStart"/>
      <w:r w:rsidRPr="00E0646B">
        <w:rPr>
          <w:rFonts w:ascii="Times New Roman" w:hAnsi="Times New Roman" w:cs="Times New Roman"/>
          <w:kern w:val="0"/>
          <w14:ligatures w14:val="none"/>
        </w:rPr>
        <w:t>Cov</w:t>
      </w:r>
      <w:proofErr w:type="spellEnd"/>
      <w:r w:rsidRPr="00E0646B">
        <w:rPr>
          <w:rFonts w:ascii="Times New Roman" w:hAnsi="Times New Roman" w:cs="Times New Roman"/>
          <w:kern w:val="0"/>
          <w14:ligatures w14:val="none"/>
        </w:rPr>
        <w:t>(\Delta P,\Delta C) &gt; 0 increases the tail, wrong-way correlation → higher IM.</w:t>
      </w:r>
    </w:p>
    <w:p w14:paraId="3816D797" w14:textId="77777777" w:rsidR="00E0646B" w:rsidRPr="00E0646B" w:rsidRDefault="00E0646B" w:rsidP="00E06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Therefore, optimization ≈</w:t>
      </w:r>
    </w:p>
    <w:p w14:paraId="5F599F49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\min_{x} \text{IM}(x) + \text{FundingRate}(x)\times\text{IM}(x)</w:t>
      </w:r>
    </w:p>
    <w:p w14:paraId="0C408EC9" w14:textId="77777777" w:rsidR="00E0646B" w:rsidRPr="00E0646B" w:rsidRDefault="00E0646B" w:rsidP="00E064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0646B">
        <w:rPr>
          <w:rFonts w:ascii="Times New Roman" w:hAnsi="Times New Roman" w:cs="Times New Roman"/>
          <w:kern w:val="0"/>
          <w14:ligatures w14:val="none"/>
        </w:rPr>
        <w:t>subject to eligibility, liquidity, haircut, and concentration constraints.</w:t>
      </w:r>
    </w:p>
    <w:p w14:paraId="23B271A3" w14:textId="77777777" w:rsidR="00E0646B" w:rsidRPr="00E0646B" w:rsidRDefault="00E0646B" w:rsidP="00E064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BE5209" w14:textId="77777777" w:rsidR="00E0646B" w:rsidRPr="00E0646B" w:rsidRDefault="00E0646B" w:rsidP="00E06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6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Quantitative Drivers</w:t>
      </w:r>
    </w:p>
    <w:p w14:paraId="7FC450D3" w14:textId="77777777" w:rsidR="00E0646B" w:rsidRDefault="00E0646B">
      <w:pPr>
        <w:rPr>
          <w:rFonts w:eastAsia="DengXian"/>
          <w:lang w:eastAsia="zh-CN"/>
        </w:rPr>
      </w:pPr>
    </w:p>
    <w:p w14:paraId="5E5D65F3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3. </w:t>
      </w:r>
    </w:p>
    <w:p w14:paraId="401D02C1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Optimization Formulation</w:t>
      </w:r>
    </w:p>
    <w:p w14:paraId="33FF7A09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F96F87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Objective Function</w:t>
      </w:r>
    </w:p>
    <w:p w14:paraId="7E387A16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09B59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\min_x \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underbrace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{f_{\text{IM}}(x)}{\text{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modeled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 xml:space="preserve"> STANS proxy}} + \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underbrace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{f{\text{Funding}}(x)}{\text{repo/opportunity spread}} + \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underbrace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{f{\text{Ops}}(x)}_{\text{settlement / liquidity cost}}</w:t>
      </w:r>
    </w:p>
    <w:p w14:paraId="2D447AD4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subject to:</w:t>
      </w:r>
    </w:p>
    <w:p w14:paraId="3728D428" w14:textId="77777777" w:rsidR="00AC30B5" w:rsidRPr="00AC30B5" w:rsidRDefault="00AC30B5" w:rsidP="00AC3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 xml:space="preserve">Collateral eligibility: x_j </w:t>
      </w:r>
      <w:r w:rsidRPr="00AC30B5">
        <w:rPr>
          <w:rFonts w:ascii="Segoe UI Symbol" w:hAnsi="Segoe UI Symbol" w:cs="Segoe UI Symbol"/>
          <w:kern w:val="0"/>
          <w14:ligatures w14:val="none"/>
        </w:rPr>
        <w:t>∈</w:t>
      </w:r>
      <w:r w:rsidRPr="00AC30B5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{E}_{\text{OCC}}</w:t>
      </w:r>
    </w:p>
    <w:p w14:paraId="345FE4C3" w14:textId="77777777" w:rsidR="00AC30B5" w:rsidRPr="00AC30B5" w:rsidRDefault="00AC30B5" w:rsidP="00AC3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Haircuts: MV_j = IM_j / (1-h_j)</w:t>
      </w:r>
    </w:p>
    <w:p w14:paraId="5DD7EBB3" w14:textId="77777777" w:rsidR="00AC30B5" w:rsidRPr="00AC30B5" w:rsidRDefault="00AC30B5" w:rsidP="00AC3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Concentration limits: MV_j ≤ MV^{\max}_j</w:t>
      </w:r>
    </w:p>
    <w:p w14:paraId="3F7A0A38" w14:textId="77777777" w:rsidR="00AC30B5" w:rsidRPr="00AC30B5" w:rsidRDefault="00AC30B5" w:rsidP="00AC3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Liquidity buffer: HQLA ≥ regulatory floor.</w:t>
      </w:r>
    </w:p>
    <w:p w14:paraId="47E6D82A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FAA95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Quant Approaches</w:t>
      </w:r>
    </w:p>
    <w:p w14:paraId="54400279" w14:textId="77777777" w:rsidR="00AC30B5" w:rsidRPr="00AC30B5" w:rsidRDefault="00AC30B5" w:rsidP="00AC3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Proxy IM model:  quadratic / low-rank factor approximation of STANS VaR.</w:t>
      </w:r>
    </w:p>
    <w:p w14:paraId="36ABCED3" w14:textId="77777777" w:rsidR="00AC30B5" w:rsidRPr="00AC30B5" w:rsidRDefault="00AC30B5" w:rsidP="00AC3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Solver:  QP / mixed-integer programming with Lagrange multipliers for discrete eligibility.</w:t>
      </w:r>
    </w:p>
    <w:p w14:paraId="782A3995" w14:textId="77777777" w:rsidR="00AC30B5" w:rsidRPr="00AC30B5" w:rsidRDefault="00AC30B5" w:rsidP="00AC3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Sensitivities:  compute ∂IM/∂ρ and ∂IM/∂σ to drive what-if scenarios.</w:t>
      </w:r>
    </w:p>
    <w:p w14:paraId="06F00D88" w14:textId="77777777" w:rsidR="00AC30B5" w:rsidRPr="00AC30B5" w:rsidRDefault="00AC30B5" w:rsidP="00AC30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0B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F7B08C" wp14:editId="6D3CCA17">
                <wp:extent cx="5943600" cy="1270"/>
                <wp:effectExtent l="0" t="31750" r="0" b="36830"/>
                <wp:docPr id="21038662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089A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43CC62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4. </w:t>
      </w:r>
    </w:p>
    <w:p w14:paraId="3E04AB5C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Decomposition and Attribution</w:t>
      </w:r>
    </w:p>
    <w:p w14:paraId="542EC781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88CF6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IM Attribution</w:t>
      </w:r>
    </w:p>
    <w:p w14:paraId="5A347ED3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F24D1B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To identify top IM drivers:</w:t>
      </w:r>
    </w:p>
    <w:p w14:paraId="2C84C03A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\text{IM} = \sum_i x_i \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{\partial \text{IM}}{\partial x_i} \quad \text{(Euler allocation)}</w:t>
      </w:r>
    </w:p>
    <w:p w14:paraId="7BCF4C7B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or, for non-smooth VaR:</w:t>
      </w:r>
    </w:p>
    <w:p w14:paraId="5AB5FB99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r_i = \int_0^1 \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frac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{\partial \text{IM}(\lambda x)}{\partial x_i}\,d\lambda \quad \text{(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Aumann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–Shapley)}</w:t>
      </w:r>
    </w:p>
    <w:p w14:paraId="12821299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Outputs:</w:t>
      </w:r>
    </w:p>
    <w:p w14:paraId="23102E48" w14:textId="77777777" w:rsidR="00AC30B5" w:rsidRPr="00AC30B5" w:rsidRDefault="00AC30B5" w:rsidP="00AC3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Marginal IM by position / name / sector.</w:t>
      </w:r>
    </w:p>
    <w:p w14:paraId="3ECC4A8F" w14:textId="77777777" w:rsidR="00AC30B5" w:rsidRPr="00AC30B5" w:rsidRDefault="00AC30B5" w:rsidP="00AC3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Guide to which exposures should avoid correlated collateral.</w:t>
      </w:r>
    </w:p>
    <w:p w14:paraId="3E5537F3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0439C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Collateral Mapping</w:t>
      </w:r>
    </w:p>
    <w:p w14:paraId="303EABD0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5212DE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Construct correlation matrix between portfolio factor exposures and collateral asset returns:</w:t>
      </w:r>
    </w:p>
    <w:p w14:paraId="3AAAB35A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\rho_{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ij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} = \text{</w:t>
      </w:r>
      <w:proofErr w:type="spellStart"/>
      <w:r w:rsidRPr="00AC30B5">
        <w:rPr>
          <w:rFonts w:ascii="Times New Roman" w:hAnsi="Times New Roman" w:cs="Times New Roman"/>
          <w:kern w:val="0"/>
          <w14:ligatures w14:val="none"/>
        </w:rPr>
        <w:t>Corr</w:t>
      </w:r>
      <w:proofErr w:type="spellEnd"/>
      <w:r w:rsidRPr="00AC30B5">
        <w:rPr>
          <w:rFonts w:ascii="Times New Roman" w:hAnsi="Times New Roman" w:cs="Times New Roman"/>
          <w:kern w:val="0"/>
          <w14:ligatures w14:val="none"/>
        </w:rPr>
        <w:t>}(f_i^{\text{exposure}}, f_j^{\text{collateral}})</w:t>
      </w:r>
    </w:p>
    <w:p w14:paraId="41AF6254" w14:textId="77777777" w:rsidR="00AC30B5" w:rsidRPr="00AC30B5" w:rsidRDefault="00AC30B5" w:rsidP="00AC30B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30B5">
        <w:rPr>
          <w:rFonts w:ascii="Times New Roman" w:hAnsi="Times New Roman" w:cs="Times New Roman"/>
          <w:kern w:val="0"/>
          <w14:ligatures w14:val="none"/>
        </w:rPr>
        <w:t>Use to rank eligible collateral by wrong-way-risk intensity.</w:t>
      </w:r>
    </w:p>
    <w:p w14:paraId="005C1A2B" w14:textId="77777777" w:rsidR="00AC30B5" w:rsidRPr="00AC30B5" w:rsidRDefault="00AC30B5" w:rsidP="00AC30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0B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021CF63" wp14:editId="3C1DEC8C">
                <wp:extent cx="5943600" cy="1270"/>
                <wp:effectExtent l="0" t="31750" r="0" b="36830"/>
                <wp:docPr id="17018609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DE81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649B71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5. </w:t>
      </w:r>
    </w:p>
    <w:p w14:paraId="76AC2440" w14:textId="77777777" w:rsidR="00AC30B5" w:rsidRPr="00AC30B5" w:rsidRDefault="00AC30B5" w:rsidP="00AC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Architecture</w:t>
      </w:r>
    </w:p>
    <w:p w14:paraId="196843F4" w14:textId="77777777" w:rsidR="00F62D40" w:rsidRPr="00F62D40" w:rsidRDefault="00F62D40" w:rsidP="00F6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6. </w:t>
      </w:r>
    </w:p>
    <w:p w14:paraId="500395F2" w14:textId="77777777" w:rsidR="00F62D40" w:rsidRPr="00F62D40" w:rsidRDefault="00F62D40" w:rsidP="00F62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Quantitative Validation &amp; Testing</w:t>
      </w:r>
    </w:p>
    <w:p w14:paraId="349C487F" w14:textId="77777777" w:rsidR="00F62D40" w:rsidRPr="00F62D40" w:rsidRDefault="00F62D40" w:rsidP="00F62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62D40">
        <w:rPr>
          <w:rFonts w:ascii="Times New Roman" w:hAnsi="Times New Roman" w:cs="Times New Roman"/>
          <w:kern w:val="0"/>
          <w14:ligatures w14:val="none"/>
        </w:rPr>
        <w:t>Back-testing: compare proxy-model IM vs actual OCC STANS outputs.</w:t>
      </w:r>
    </w:p>
    <w:p w14:paraId="6A95F2F8" w14:textId="77777777" w:rsidR="00F62D40" w:rsidRPr="00F62D40" w:rsidRDefault="00F62D40" w:rsidP="00F62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62D40">
        <w:rPr>
          <w:rFonts w:ascii="Times New Roman" w:hAnsi="Times New Roman" w:cs="Times New Roman"/>
          <w:kern w:val="0"/>
          <w14:ligatures w14:val="none"/>
        </w:rPr>
        <w:t>Sensitivity testing: stress ρ, σ, haircut parameters.</w:t>
      </w:r>
    </w:p>
    <w:p w14:paraId="15971533" w14:textId="77777777" w:rsidR="00F62D40" w:rsidRPr="00F62D40" w:rsidRDefault="00F62D40" w:rsidP="00F62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62D40">
        <w:rPr>
          <w:rFonts w:ascii="Times New Roman" w:hAnsi="Times New Roman" w:cs="Times New Roman"/>
          <w:kern w:val="0"/>
          <w14:ligatures w14:val="none"/>
        </w:rPr>
        <w:t>Performance metrics:</w:t>
      </w:r>
    </w:p>
    <w:p w14:paraId="6014F7BA" w14:textId="77777777" w:rsidR="00F62D40" w:rsidRPr="00F62D40" w:rsidRDefault="00F62D40" w:rsidP="00F62D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62D40">
        <w:rPr>
          <w:rFonts w:ascii="Times New Roman" w:hAnsi="Times New Roman" w:cs="Times New Roman"/>
          <w:kern w:val="0"/>
          <w14:ligatures w14:val="none"/>
        </w:rPr>
        <w:t>ΔIM / ΔFundingCost improvements,</w:t>
      </w:r>
    </w:p>
    <w:p w14:paraId="1F708F3C" w14:textId="77777777" w:rsidR="00F62D40" w:rsidRPr="00F62D40" w:rsidRDefault="00F62D40" w:rsidP="00F62D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62D40">
        <w:rPr>
          <w:rFonts w:ascii="Times New Roman" w:hAnsi="Times New Roman" w:cs="Times New Roman"/>
          <w:kern w:val="0"/>
          <w14:ligatures w14:val="none"/>
        </w:rPr>
        <w:t>IM-forecast accuracy,</w:t>
      </w:r>
    </w:p>
    <w:p w14:paraId="3C33C385" w14:textId="77777777" w:rsidR="00F62D40" w:rsidRPr="00F62D40" w:rsidRDefault="00F62D40" w:rsidP="00F62D4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62D40">
        <w:rPr>
          <w:rFonts w:ascii="Times New Roman" w:hAnsi="Times New Roman" w:cs="Times New Roman"/>
          <w:kern w:val="0"/>
          <w14:ligatures w14:val="none"/>
        </w:rPr>
        <w:t>reduction in margin call volatility.</w:t>
      </w:r>
    </w:p>
    <w:p w14:paraId="6CFCFFEE" w14:textId="77777777" w:rsidR="00E016C3" w:rsidRPr="00E016C3" w:rsidRDefault="00E016C3" w:rsidP="00E01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16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8. </w:t>
      </w:r>
    </w:p>
    <w:p w14:paraId="40F34246" w14:textId="77777777" w:rsidR="00E016C3" w:rsidRPr="00E016C3" w:rsidRDefault="00E016C3" w:rsidP="00E01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16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Quant Takeaways</w:t>
      </w:r>
    </w:p>
    <w:p w14:paraId="4F425829" w14:textId="77777777" w:rsidR="00E016C3" w:rsidRPr="00E016C3" w:rsidRDefault="00E016C3" w:rsidP="00E01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16C3">
        <w:rPr>
          <w:rFonts w:ascii="Times New Roman" w:hAnsi="Times New Roman" w:cs="Times New Roman"/>
          <w:kern w:val="0"/>
          <w14:ligatures w14:val="none"/>
        </w:rPr>
        <w:t>Treat STANS as a VaR functional on joint (portfolio + collateral) distributions.</w:t>
      </w:r>
    </w:p>
    <w:p w14:paraId="3F3D09D7" w14:textId="77777777" w:rsidR="00E016C3" w:rsidRPr="00E016C3" w:rsidRDefault="00E016C3" w:rsidP="00E01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16C3">
        <w:rPr>
          <w:rFonts w:ascii="Times New Roman" w:hAnsi="Times New Roman" w:cs="Times New Roman"/>
          <w:kern w:val="0"/>
          <w14:ligatures w14:val="none"/>
        </w:rPr>
        <w:t>IM reduction ≈ lowering combined variance &amp; covariance terms.</w:t>
      </w:r>
    </w:p>
    <w:p w14:paraId="23AF5AFE" w14:textId="77777777" w:rsidR="00E016C3" w:rsidRPr="00E016C3" w:rsidRDefault="00E016C3" w:rsidP="00E01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16C3">
        <w:rPr>
          <w:rFonts w:ascii="Times New Roman" w:hAnsi="Times New Roman" w:cs="Times New Roman"/>
          <w:kern w:val="0"/>
          <w14:ligatures w14:val="none"/>
        </w:rPr>
        <w:t>Funding cost optimization introduces weighting by funding spreads → quant-engineering variant of mean-variance minimization.</w:t>
      </w:r>
    </w:p>
    <w:p w14:paraId="19428C9B" w14:textId="77777777" w:rsidR="00E016C3" w:rsidRPr="00E016C3" w:rsidRDefault="00E016C3" w:rsidP="00E01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16C3">
        <w:rPr>
          <w:rFonts w:ascii="Times New Roman" w:hAnsi="Times New Roman" w:cs="Times New Roman"/>
          <w:kern w:val="0"/>
          <w14:ligatures w14:val="none"/>
        </w:rPr>
        <w:t>Euler/</w:t>
      </w:r>
      <w:proofErr w:type="spellStart"/>
      <w:r w:rsidRPr="00E016C3">
        <w:rPr>
          <w:rFonts w:ascii="Times New Roman" w:hAnsi="Times New Roman" w:cs="Times New Roman"/>
          <w:kern w:val="0"/>
          <w14:ligatures w14:val="none"/>
        </w:rPr>
        <w:t>Aumann-Shapley</w:t>
      </w:r>
      <w:proofErr w:type="spellEnd"/>
      <w:r w:rsidRPr="00E016C3">
        <w:rPr>
          <w:rFonts w:ascii="Times New Roman" w:hAnsi="Times New Roman" w:cs="Times New Roman"/>
          <w:kern w:val="0"/>
          <w14:ligatures w14:val="none"/>
        </w:rPr>
        <w:t xml:space="preserve"> decomposition yields actionable risk attribution.</w:t>
      </w:r>
    </w:p>
    <w:p w14:paraId="2918D0FB" w14:textId="77777777" w:rsidR="00E016C3" w:rsidRPr="00E016C3" w:rsidRDefault="00E016C3" w:rsidP="00E01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016C3">
        <w:rPr>
          <w:rFonts w:ascii="Times New Roman" w:hAnsi="Times New Roman" w:cs="Times New Roman"/>
          <w:kern w:val="0"/>
          <w14:ligatures w14:val="none"/>
        </w:rPr>
        <w:t>Real value: translating abstract VaR math into tangible funding-cost P&amp;L savings.</w:t>
      </w:r>
    </w:p>
    <w:p w14:paraId="6D8F1584" w14:textId="77777777" w:rsidR="00AC30B5" w:rsidRPr="00AC30B5" w:rsidRDefault="00AC30B5">
      <w:pPr>
        <w:rPr>
          <w:rFonts w:eastAsia="DengXian" w:hint="eastAsia"/>
          <w:lang w:eastAsia="zh-CN"/>
        </w:rPr>
      </w:pPr>
    </w:p>
    <w:sectPr w:rsidR="00AC30B5" w:rsidRPr="00AC30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C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21F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23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F7F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027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D79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86671">
    <w:abstractNumId w:val="2"/>
  </w:num>
  <w:num w:numId="2" w16cid:durableId="1760132692">
    <w:abstractNumId w:val="0"/>
  </w:num>
  <w:num w:numId="3" w16cid:durableId="1431778987">
    <w:abstractNumId w:val="3"/>
  </w:num>
  <w:num w:numId="4" w16cid:durableId="219170887">
    <w:abstractNumId w:val="1"/>
  </w:num>
  <w:num w:numId="5" w16cid:durableId="409078521">
    <w:abstractNumId w:val="6"/>
  </w:num>
  <w:num w:numId="6" w16cid:durableId="2043941576">
    <w:abstractNumId w:val="5"/>
  </w:num>
  <w:num w:numId="7" w16cid:durableId="650794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6B"/>
    <w:rsid w:val="00A548DB"/>
    <w:rsid w:val="00AC30B5"/>
    <w:rsid w:val="00E016C3"/>
    <w:rsid w:val="00E0646B"/>
    <w:rsid w:val="00F6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65E99"/>
  <w15:chartTrackingRefBased/>
  <w15:docId w15:val="{6D11601B-B50D-3E47-94C1-E8C8EF9A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6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064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46B"/>
  </w:style>
  <w:style w:type="character" w:customStyle="1" w:styleId="apple-converted-space">
    <w:name w:val="apple-converted-space"/>
    <w:basedOn w:val="DefaultParagraphFont"/>
    <w:rsid w:val="00E0646B"/>
  </w:style>
  <w:style w:type="paragraph" w:customStyle="1" w:styleId="p2">
    <w:name w:val="p2"/>
    <w:basedOn w:val="Normal"/>
    <w:rsid w:val="00E064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0646B"/>
  </w:style>
  <w:style w:type="character" w:customStyle="1" w:styleId="s3">
    <w:name w:val="s3"/>
    <w:basedOn w:val="DefaultParagraphFont"/>
    <w:rsid w:val="00E0646B"/>
  </w:style>
  <w:style w:type="character" w:customStyle="1" w:styleId="s4">
    <w:name w:val="s4"/>
    <w:basedOn w:val="DefaultParagraphFont"/>
    <w:rsid w:val="00E0646B"/>
  </w:style>
  <w:style w:type="character" w:customStyle="1" w:styleId="s5">
    <w:name w:val="s5"/>
    <w:basedOn w:val="DefaultParagraphFont"/>
    <w:rsid w:val="00E0646B"/>
  </w:style>
  <w:style w:type="paragraph" w:customStyle="1" w:styleId="p3">
    <w:name w:val="p3"/>
    <w:basedOn w:val="Normal"/>
    <w:rsid w:val="00AC30B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2025-11-04T13:27:00Z</dcterms:created>
  <dcterms:modified xsi:type="dcterms:W3CDTF">2025-11-04T13:27:00Z</dcterms:modified>
</cp:coreProperties>
</file>