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qf78rguigb4" w:id="0"/>
      <w:bookmarkEnd w:id="0"/>
      <w:r w:rsidDel="00000000" w:rsidR="00000000" w:rsidRPr="00000000">
        <w:rPr>
          <w:rtl w:val="0"/>
        </w:rPr>
        <w:t xml:space="preserve">What should I do if I am failing my classes?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it is early in the semester, seek help from other people. Either other classmates or your professor. You can also visit the Learning Resource Center and attend tutoring sessions for some courses.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it is later in the semester, you may consider dropping the course to retain your GPA and taking it again next semester.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