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h89fchy4836f" w:id="0"/>
      <w:bookmarkEnd w:id="0"/>
      <w:r w:rsidDel="00000000" w:rsidR="00000000" w:rsidRPr="00000000">
        <w:rPr>
          <w:rtl w:val="0"/>
        </w:rPr>
        <w:t xml:space="preserve">Will dyslexia prevent me from being a good programmer?</w:t>
      </w:r>
    </w:p>
    <w:p w:rsidR="00000000" w:rsidDel="00000000" w:rsidP="00000000" w:rsidRDefault="00000000" w:rsidRPr="00000000">
      <w:pPr>
        <w:pBdr/>
        <w:contextualSpacing w:val="0"/>
        <w:rPr/>
      </w:pPr>
      <w:r w:rsidDel="00000000" w:rsidR="00000000" w:rsidRPr="00000000">
        <w:rPr>
          <w:rtl w:val="0"/>
        </w:rPr>
        <w:t xml:space="preserve">Dyslexics often can't read long flowing paragraphs or do arithmetic but they do have algorithms in their heads. They often know how to do things and find it possible to express the dynamics of a process as a static text - which is what programming is all about. </w:t>
      </w:r>
    </w:p>
    <w:p w:rsidR="00000000" w:rsidDel="00000000" w:rsidP="00000000" w:rsidRDefault="00000000" w:rsidRPr="00000000">
      <w:pPr>
        <w:pBdr/>
        <w:contextualSpacing w:val="0"/>
        <w:rPr/>
      </w:pPr>
      <w:r w:rsidDel="00000000" w:rsidR="00000000" w:rsidRPr="00000000">
        <w:rPr>
          <w:rtl w:val="0"/>
        </w:rPr>
        <w:t xml:space="preserve">Most dyslexic programmers do a good job and may even do a better job for having to battle with their problem – but this isn’t the important point. If you know that a particular programming language has a tendency to a particular type of error then you do something to guard against it. The same should be true of the programmer’s tendency to make particular types of error.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