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glc4a2seq931" w:id="0"/>
      <w:bookmarkEnd w:id="0"/>
      <w:r w:rsidDel="00000000" w:rsidR="00000000" w:rsidRPr="00000000">
        <w:rPr>
          <w:rtl w:val="0"/>
        </w:rPr>
        <w:t xml:space="preserve">Will my major restrict or limit my future working environment?</w:t>
      </w:r>
    </w:p>
    <w:p w:rsidR="00000000" w:rsidDel="00000000" w:rsidP="00000000" w:rsidRDefault="00000000" w:rsidRPr="00000000">
      <w:pPr>
        <w:pBdr/>
        <w:contextualSpacing w:val="0"/>
        <w:rPr/>
      </w:pPr>
      <w:r w:rsidDel="00000000" w:rsidR="00000000" w:rsidRPr="00000000">
        <w:rPr>
          <w:rtl w:val="0"/>
        </w:rPr>
        <w:t xml:space="preserve">No, if anything it broadens it. After completing your major, you will still have access to any job that didn’t require it, and you now have access to any job that does require it. In addition, you may even get in some jobs that want a similar major, but your skills fit what they need. Your major gives you more experience in a specific subject, but you’re the one that chooses what to do with that experience.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