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tlqcqxc6jh5o" w:id="0"/>
      <w:bookmarkEnd w:id="0"/>
      <w:r w:rsidDel="00000000" w:rsidR="00000000" w:rsidRPr="00000000">
        <w:rPr>
          <w:rtl w:val="0"/>
        </w:rPr>
        <w:t xml:space="preserve">why study computer science at Penn State Behrend?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Small class sizes foster close student-professor relationships.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Faculty typically have doctorates or significant industrial experience. Lectures and labs are taught by professors, not graduate students.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diverse and broad-based engineering education includes a strong design emphasis and practical laboratory experience.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Laboratory computers and equipment are constantly updated to keep pace with the latest technological developments. Many of the computer labs are open twenty-four hours a day, seven days a week.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Cooperative education and internship opportunities are available for academic credit.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Every student works on a team to complete a two-semester capstone design project, many sponsored by industry.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Students have the opportunity to work with faculty on undergraduate research projects and participate in the Behrend Honors and Schreyer Honors programs.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Our alumni network keeps faculty informed of internship and job openings for students.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