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Style w:val="Heading1"/>
        <w:pBdr/>
        <w:spacing w:line="276" w:lineRule="auto"/>
        <w:contextualSpacing w:val="0"/>
        <w:rPr/>
      </w:pPr>
      <w:bookmarkStart w:colFirst="0" w:colLast="0" w:name="_h1kwk1c0w14g" w:id="0"/>
      <w:bookmarkEnd w:id="0"/>
      <w:r w:rsidDel="00000000" w:rsidR="00000000" w:rsidRPr="00000000">
        <w:rPr>
          <w:rtl w:val="0"/>
        </w:rPr>
        <w:t xml:space="preserve">Are there places that I can work or study in groups?</w:t>
      </w:r>
    </w:p>
    <w:p w:rsidR="00000000" w:rsidDel="00000000" w:rsidP="00000000" w:rsidRDefault="00000000" w:rsidRPr="00000000">
      <w:pPr>
        <w:pBdr/>
        <w:spacing w:line="276" w:lineRule="auto"/>
        <w:contextualSpacing w:val="0"/>
        <w:rPr/>
      </w:pPr>
      <w:r w:rsidDel="00000000" w:rsidR="00000000" w:rsidRPr="00000000">
        <w:rPr>
          <w:rtl w:val="0"/>
        </w:rPr>
        <w:t xml:space="preserve">In the basement and 2nd floor of the library there are areas for groups to get together and discuss. There are also rooms you can reserve in the basement for groups, including rooms with multimedia functions such as video recording for presentations.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