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nkrq4wdoled" w:id="0"/>
      <w:bookmarkEnd w:id="0"/>
      <w:r w:rsidDel="00000000" w:rsidR="00000000" w:rsidRPr="00000000">
        <w:rPr>
          <w:rtl w:val="0"/>
        </w:rPr>
        <w:t xml:space="preserve">Computer Engineering Sub-Categories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the career level, computer engineering offers two central paths – hardware and software engineering – and multiple sub-specialty or areas of concentration, such as the following:[\n]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Artificial Intelligence: Designing computer systems that simulate human thinking, learning, and reasoning abilities.[\n]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Architecture: Designing and developing new, more powerful computing systems.[\n]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Design: Research, design, and development of electronic computer components, such as microchips, microprocessors, circuit boards, etc.[\n]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Operating Systems and Networks: Designing and developing software and network systems.[\n]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Robotics: Designing and developing robotic systems used in a variety of industries (e.g. industrial production).[\n]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Applications: Designing and developing computer software to research and solve problems outside of the computer engineering field (e.g. medicine).[\n]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