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bmtqzllvh86n" w:id="0"/>
      <w:bookmarkEnd w:id="0"/>
      <w:r w:rsidDel="00000000" w:rsidR="00000000" w:rsidRPr="00000000">
        <w:rPr>
          <w:rtl w:val="0"/>
        </w:rPr>
        <w:t xml:space="preserve">Does Behrend offer volunteer opportunities during the holidays?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[a]Center for Civic Engagement[/a] allows students to volunteer for different things at any time during the semester or outside of it.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[link]https://sites.psu.edu/psbcivicengagement/[/link]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