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2y4qmgyf186" w:id="0"/>
      <w:bookmarkEnd w:id="0"/>
      <w:r w:rsidDel="00000000" w:rsidR="00000000" w:rsidRPr="00000000">
        <w:rPr>
          <w:rtl w:val="0"/>
        </w:rPr>
        <w:t xml:space="preserve">Does Penn State Behrend accommodate students with disabilities?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Behrend currently accommodates the following needs: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Academic: Digital Books or on CD, Extended test-taking time, Oral exams, Note-takers, Preferential seating, Recording of lectures, Test readers/writers, Testing in a separate room, Library assistance is also available upon request, Adaptive Technologies Software: Kurzweil 3000, Dragon Naturally Speaking, JAWS v. 4.0 for Windows, Accessibility Wizard, Magnifier, Narrator, On-Screen Keyboard, and Utility Manager[\n]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Physical: Wheelchair accessibility accommodations in classrooms, Parking arrangements, Individual housing needs, Adaptive physical education curriculum, Adaptive Technologies 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