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uuitq8hnjwj" w:id="0"/>
      <w:bookmarkEnd w:id="0"/>
      <w:r w:rsidDel="00000000" w:rsidR="00000000" w:rsidRPr="00000000">
        <w:rPr>
          <w:rtl w:val="0"/>
        </w:rPr>
        <w:t xml:space="preserve">How much does Behrend Recycle?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Although Behrend’s paper consumption seems high, about 59.74 tons of paper and cardboard was recycled in 1996-97 (the last year for which figures are available). It cost slightly more (about $.25 per cubic yard) to recycle this material than to send it to a landfill. Behrend also recycled about 110 tons of material in 2001; however, it is not known what percentage is plastic, glass, etc. We will, however, begin to change our procedures to collect that information.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