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uj6sulqvgb0" w:id="0"/>
      <w:bookmarkEnd w:id="0"/>
      <w:r w:rsidDel="00000000" w:rsidR="00000000" w:rsidRPr="00000000">
        <w:rPr>
          <w:rtl w:val="0"/>
        </w:rPr>
        <w:t xml:space="preserve">How relevant is Electrical Engineering at Penn State Behrend?</w:t>
      </w:r>
    </w:p>
    <w:p w:rsidR="00000000" w:rsidDel="00000000" w:rsidP="00000000" w:rsidRDefault="00000000" w:rsidRPr="00000000">
      <w:pPr>
        <w:pBdr/>
        <w:contextualSpacing w:val="0"/>
        <w:rPr/>
      </w:pPr>
      <w:r w:rsidDel="00000000" w:rsidR="00000000" w:rsidRPr="00000000">
        <w:rPr>
          <w:rtl w:val="0"/>
        </w:rPr>
        <w:t xml:space="preserve">The Electrical Engineering program provides a strong foundation through a combination of classroom study and laboratory work. This prepares students for an electrical engineering career or for further study at the graduate level. In their senior year, students work in small teams with individual faculty to complete capstone design projects. Most projects are sponsored by industry partners, giving students the opportunity to work on industry projects while completing their education.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