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13r9e25obasx" w:id="0"/>
      <w:bookmarkEnd w:id="0"/>
      <w:r w:rsidDel="00000000" w:rsidR="00000000" w:rsidRPr="00000000">
        <w:rPr>
          <w:rtl w:val="0"/>
        </w:rPr>
        <w:t xml:space="preserve">How to contact Academic and Career Planning Center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Academic and Career Planning Center can be contacted at: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Mailing Address: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Academic and Career Planning Center[\n]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Reed Union Building, Room 125 (Second Floor)[\n]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4701 College Drive[\n]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Erie, PA 16563-0904[\n]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Email: askACPC@psu.edu (students), recruitbehrend@psu.edu (employers)[\n]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Phone: 814-898-6164[\n]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Fax: 814-898-6455[\n]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Office Hours: Monday-Friday, 8:00 a.m.-5:00 p.m.[\n]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Drop-In Hours:[\n]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Drop-In Academic Advising (for first-year/sophomore pre-major) Monday-Friday, 12:00-4:00 p.m.[\n]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Drop-In Career Planning (internship, job, grad school search) Monday-Friday, 12:00-4:00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