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99peq9qk7kul" w:id="0"/>
      <w:bookmarkEnd w:id="0"/>
      <w:r w:rsidDel="00000000" w:rsidR="00000000" w:rsidRPr="00000000">
        <w:rPr>
          <w:rtl w:val="0"/>
        </w:rPr>
        <w:t xml:space="preserve">Penn State Behrend Minor List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list of common minors at Behrend: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[ul]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[li]Accounting[/li]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[li]Applied Economics[/li]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[li]Biology[/li]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[li]Chemistry[/li]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[li]Civic and Community Engagement[/li]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[li]Communication Arts and Mass Media[/li]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[li]Computer Engineering[/li]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[li]Computer Science[/li]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[li]English[/li]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[li]Finance[/li]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[li]Game Development[/li]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[li]History[/li]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[li]Management[/li]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[li]Management Information Systems[/li]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[li]Marketing[/li]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[li]Mathematics[/li]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[li]Operations and Supply Chain Management[/li]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[li]Physics[/li]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[li]Politics and Government[/li]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[li]Project and Supply Chain Management[/li]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[li]Psychological Science[/li]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[li]Sociology[/li]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[li]Spanish[/li]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[li]Statistics[/li]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[li]Sustainability Leadership[/li]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[li]Technical Sales[/li]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[li]Transnational Perspectives[/li]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[li]Women's Studies/Gender Studies[/li]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[/ul]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[extend]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view a detailed list of Behrend’s minors, please visit [a]here[/a]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[link]</w:t>
      </w:r>
      <w:r w:rsidDel="00000000" w:rsidR="00000000" w:rsidRPr="00000000">
        <w:rPr>
          <w:color w:val="1155cc"/>
          <w:u w:val="single"/>
          <w:rtl w:val="0"/>
        </w:rPr>
        <w:t xml:space="preserve">https://psbehrend.psu.edu/Academics/academic-programs/majors-minors[/link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[/extend]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