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fmm8v1mf732" w:id="0"/>
      <w:bookmarkEnd w:id="0"/>
      <w:r w:rsidDel="00000000" w:rsidR="00000000" w:rsidRPr="00000000">
        <w:rPr>
          <w:rtl w:val="0"/>
        </w:rPr>
        <w:t xml:space="preserve">Penn State Behrend description</w:t>
      </w:r>
    </w:p>
    <w:p w:rsidR="00000000" w:rsidDel="00000000" w:rsidP="00000000" w:rsidRDefault="00000000" w:rsidRPr="00000000">
      <w:pPr>
        <w:pBdr/>
        <w:contextualSpacing w:val="0"/>
        <w:rPr/>
      </w:pPr>
      <w:r w:rsidDel="00000000" w:rsidR="00000000" w:rsidRPr="00000000">
        <w:rPr>
          <w:rtl w:val="0"/>
        </w:rPr>
        <w:t xml:space="preserve">Located on a wooded 854-acre campus, Penn State Behrend is just minutes away from the heart of Erie, Pa., the fourth largest city in the state. The campus is alive with more than 100 clubs and organizations, 22 NCAA Division III men’s and women’s varsity athletic teams (link is external), and several intercollegiate and intramural sports. More than 1,750 students live on campus in traditional residence halls, suite-style halls, and apartment buildings. A number of services are offered to students to give them a positive experience, including tutoring, career counseling, personal counseling and health and wellness centers, and campus safety initiatives.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