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70wq3ybmlu3s" w:id="0"/>
      <w:bookmarkEnd w:id="0"/>
      <w:r w:rsidDel="00000000" w:rsidR="00000000" w:rsidRPr="00000000">
        <w:rPr>
          <w:rtl w:val="0"/>
        </w:rPr>
        <w:t xml:space="preserve">What does the Financial Planning Association Club do?</w:t>
      </w:r>
    </w:p>
    <w:p w:rsidR="00000000" w:rsidDel="00000000" w:rsidP="00000000" w:rsidRDefault="00000000" w:rsidRPr="00000000">
      <w:pPr>
        <w:pBdr/>
        <w:spacing w:line="276" w:lineRule="auto"/>
        <w:contextualSpacing w:val="0"/>
        <w:rPr/>
      </w:pPr>
      <w:r w:rsidDel="00000000" w:rsidR="00000000" w:rsidRPr="00000000">
        <w:rPr>
          <w:rtl w:val="0"/>
        </w:rPr>
        <w:t xml:space="preserve">The Financial Planning Association Club is a community that fosters the value of financial planning and advances the practice and profession of financial planning. It aims to give students the opportunity to learn about financial planning, have exposure and network to financial planning professionals, obtain internship and employment opportunities, and develop leadership skills. In addition, students will learn the many different career paths of the financial planning profession.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