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k1fg82mty29" w:id="0"/>
      <w:bookmarkEnd w:id="0"/>
      <w:r w:rsidDel="00000000" w:rsidR="00000000" w:rsidRPr="00000000">
        <w:rPr>
          <w:rtl w:val="0"/>
        </w:rPr>
        <w:t xml:space="preserve">What is Penn State Behrend's alma mater?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Behrend’s alma mater is:[\n]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Glory of Old State[\n]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her founders strong and great.[\n]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the future that we wait,[\n]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Raise the song, raise the song.[\n]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Sing our love and loyalty,[\n]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Sing our hopes that bright and free[\n]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Rest, O Mother, dear with thee[\n]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with thee, all with thee.[\n]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we stood at childhood’s gate,[\n]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Shapeless in the hands of fate,[\n]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Thou didst mold us dear old State[\n]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Dear Old State, dear old State.[\n]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May no act of ours bring shame[\n]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one heart that loves thy name,[\n]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May our lives but swell thy fame,[\n]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Dear old State, dear old State.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