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jsdhhr4blhxy" w:id="0"/>
      <w:bookmarkEnd w:id="0"/>
      <w:r w:rsidDel="00000000" w:rsidR="00000000" w:rsidRPr="00000000">
        <w:rPr>
          <w:rtl w:val="0"/>
        </w:rPr>
        <w:t xml:space="preserve">Where can I learn more about scholarships?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find information for Behrend’s scholarships on their [a]website[/a].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[link]https://psbehrend.psu.edu/admissions-financial-aid/financial-aid/types-of-aid/scholarships-1[/link]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