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 October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Look up what industry is doing. (In general, this is good practice. ~6 months)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Indeed.com: See what jobs and job descriptions are associated with projects similar to ours.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Compare to find tools and techniques being used in their projects.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Figure out how this academic project could translate to something used in the industry.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Compare BlueMix and Hadoop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Building the corpus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Natural language processing techniques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Analysis: Word 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Document curating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Machine learning technology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typical algorithms in supervised/unsupervised learning (show the differences)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Check Watson references, if possible, for a partial inclusion in this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- 2011 Watson started, different techniques being used presently than initially.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"Deep Learning"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Original paper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Programming to beat Jeopardy contestant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More training, more data, better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Distinguish between differences and similarities in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How to ask questions to completely cover an area without too much overlap (allows for specificity when matching question/answers)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Cite interviews (plans to talk with Melanie Ford)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Add survey to references and include questions in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