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17 Nov,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Meeting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Dr. Su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Process flow: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1. Add questions to system in the form of short paragraphs and accompanying question.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2. Start using BlueMix and Retrieve and Rank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3. Add documents to the system to answer the questions a second time but with less directed/targeted input.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4. Continue training the system.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Dr. 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renaming the project to focus on the technology used within the application rather than the application's purpose.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reading about techniques which focus on how many questions must be asked of a user to guarantee that the acquired data is not biased and that excess data collection is not occurring.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Break down broad questions into subquestions, to create a more focused and specific topic.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