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Ghita SEBBAR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Engineer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Data Engineer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Data Engineer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