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Yvan LECLERCQ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cruter de talent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recruter de talent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recruter de talent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