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Didier JAULIAC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