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Раскрытие информации</w:t>
      </w:r>
    </w:p>
    <w:p>
      <w:pPr>
        <w:jc w:val="center"/>
      </w:pPr>
      <w:r>
        <w:t>ООО «Лида-Сервис» Лидского района</w:t>
      </w:r>
    </w:p>
    <w:p>
      <w:r>
        <w:t>Наименование: Общество с ограниченной ответственностью «Лида-Сервис» Лидского района (ООО «Лида-Сервис»).</w:t>
      </w:r>
    </w:p>
    <w:p>
      <w:r>
        <w:t>Местонахождение: г. Лида, ул. Кирова, д. 27, пом. 9.</w:t>
      </w:r>
    </w:p>
    <w:p>
      <w:r>
        <w:t>Режим работы: понедельник–пятница с 08-30 до 17-30; обеденный перерыв с 13-00 до 14-00; выходные — суббота, воскресенье.</w:t>
      </w:r>
    </w:p>
    <w:p>
      <w:r>
        <w:t>Справочные телефоны: офис в г. Лида: +375 154 65-97-75, 65-97-74; +375 29 130-19-79, 644-46-80; +375 29 675-50-32.</w:t>
      </w:r>
    </w:p>
    <w:p>
      <w:r>
        <w:t>Сайт: www.lida-servis.by</w:t>
      </w:r>
    </w:p>
    <w:p>
      <w:r>
        <w:t>E-mail: info@lida-servis.by</w:t>
      </w:r>
    </w:p>
    <w:p>
      <w:r>
        <w:t>Размер уставного фонда: 80190,64 (восемьдесят тысяч сто девяносто белорусских рублей 64 копейки).</w:t>
      </w:r>
    </w:p>
    <w:p>
      <w:pPr>
        <w:pStyle w:val="Heading1"/>
      </w:pPr>
      <w:r>
        <w:t>Виды и условия осуществляемых сделок</w:t>
      </w:r>
    </w:p>
    <w:p>
      <w:pPr>
        <w:pStyle w:val="Heading2"/>
      </w:pPr>
      <w:r>
        <w:t>Предмет лизинга</w:t>
      </w:r>
    </w:p>
    <w:p>
      <w:r>
        <w:t>Любые непотребляемые вещи, кроме земельных участков и других природных объектов.</w:t>
      </w:r>
    </w:p>
    <w:p>
      <w:pPr>
        <w:pStyle w:val="Heading2"/>
      </w:pPr>
      <w:r>
        <w:t>Срок договора лизинга</w:t>
      </w:r>
    </w:p>
    <w:p>
      <w:r>
        <w:t>От 12 до 84 месяцев.</w:t>
      </w:r>
    </w:p>
    <w:p>
      <w:pPr>
        <w:pStyle w:val="Heading2"/>
      </w:pPr>
      <w:r>
        <w:t>Сумма финансирования</w:t>
      </w:r>
    </w:p>
    <w:p>
      <w:r>
        <w:t>60%–80% стоимости предмета лизинга.</w:t>
      </w:r>
    </w:p>
    <w:p>
      <w:pPr>
        <w:pStyle w:val="Heading2"/>
      </w:pPr>
      <w:r>
        <w:t>Авансовый платёж</w:t>
      </w:r>
    </w:p>
    <w:p>
      <w:r>
        <w:t>20%–40% стоимости предмета лизинга.</w:t>
      </w:r>
    </w:p>
    <w:p>
      <w:pPr>
        <w:pStyle w:val="Heading2"/>
      </w:pPr>
      <w:r>
        <w:t>График платежей</w:t>
      </w:r>
    </w:p>
    <w:p>
      <w:r>
        <w:t>Ежемесячные, равными либо неравными долями по согласованию с лизингополучателем.</w:t>
      </w:r>
    </w:p>
    <w:p>
      <w:pPr>
        <w:pStyle w:val="Heading2"/>
      </w:pPr>
      <w:r>
        <w:t>Страхование</w:t>
      </w:r>
    </w:p>
    <w:p>
      <w:r>
        <w:t>Страхование предметов лизинга лизингодателем от всех рисков с возмещением страховых платежей лизингополучателем.</w:t>
      </w:r>
    </w:p>
    <w:p>
      <w:pPr>
        <w:pStyle w:val="Heading2"/>
      </w:pPr>
      <w:r>
        <w:t>Балансодержатель</w:t>
      </w:r>
    </w:p>
    <w:p>
      <w:r>
        <w:t>Лизингополучатель.</w:t>
      </w:r>
    </w:p>
    <w:p>
      <w:pPr>
        <w:pStyle w:val="Heading2"/>
      </w:pPr>
      <w:r>
        <w:t>Обеспечение</w:t>
      </w:r>
    </w:p>
    <w:p>
      <w:r>
        <w:t>Автотранспорт, недвижимость, основные средства, поручительство; обеспечение не требуется, если лизингополучатель участвует собственными средствами 30% и более.</w:t>
      </w:r>
    </w:p>
    <w:p>
      <w:pPr>
        <w:pStyle w:val="Heading2"/>
      </w:pPr>
      <w:r>
        <w:t>Лизингополучатели</w:t>
      </w:r>
    </w:p>
    <w:p>
      <w:r>
        <w:t>Юридические лица, индивидуальные предприниматели, физические лица.</w:t>
      </w:r>
    </w:p>
    <w:p>
      <w:pPr>
        <w:pStyle w:val="Heading2"/>
      </w:pPr>
      <w:r>
        <w:t>Поставщики</w:t>
      </w:r>
    </w:p>
    <w:p>
      <w:r>
        <w:t>Резиденты и нерезиденты РБ.</w:t>
      </w:r>
    </w:p>
    <w:p>
      <w:pPr>
        <w:pStyle w:val="Heading1"/>
      </w:pPr>
      <w:r>
        <w:t>Документы</w:t>
      </w:r>
    </w:p>
    <w:p>
      <w:pPr>
        <w:pStyle w:val="ListBullet"/>
      </w:pPr>
      <w:hyperlink r:id="rId9">
        <w:r>
          <w:rPr>
            <w:color w:val="0563C1"/>
            <w:u w:val="single"/>
          </w:rPr>
          <w:t>Устав с изменениями</w:t>
        </w:r>
      </w:hyperlink>
    </w:p>
    <w:p>
      <w:pPr>
        <w:pStyle w:val="ListBullet"/>
      </w:pPr>
      <w:hyperlink r:id="rId10">
        <w:r>
          <w:rPr>
            <w:color w:val="0563C1"/>
            <w:u w:val="single"/>
          </w:rPr>
          <w:t>Бухгалтерский баланс за последний отчетный год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Пояснительная записка к Балансу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Свидетельство о включении в реестр лизинговых организаций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Свидетельство о регистрации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da-servis.by/files/ustav.pdf" TargetMode="External"/><Relationship Id="rId10" Type="http://schemas.openxmlformats.org/officeDocument/2006/relationships/hyperlink" Target="https://lida-servis.by/files/Balans2026.pdf" TargetMode="External"/><Relationship Id="rId11" Type="http://schemas.openxmlformats.org/officeDocument/2006/relationships/hyperlink" Target="https://lida-servis.by/files/Zapiska2026.pdf" TargetMode="External"/><Relationship Id="rId12" Type="http://schemas.openxmlformats.org/officeDocument/2006/relationships/hyperlink" Target="docs/svidetelstvo-o-vkluchenii.jpg" TargetMode="External"/><Relationship Id="rId13" Type="http://schemas.openxmlformats.org/officeDocument/2006/relationships/hyperlink" Target="docs/svidetelstvo-o-registracii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